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D0BC4" w14:textId="57FA3C0D" w:rsidR="00BC095F" w:rsidRDefault="008F3BE5" w:rsidP="008F3BE5">
      <w:pPr>
        <w:ind w:firstLine="0"/>
        <w:jc w:val="center"/>
        <w:rPr>
          <w:b/>
          <w:color w:val="auto"/>
        </w:rPr>
      </w:pPr>
      <w:bookmarkStart w:id="0" w:name="_Hlk25337171"/>
      <w:r w:rsidRPr="008F3BE5">
        <w:rPr>
          <w:b/>
          <w:color w:val="auto"/>
        </w:rPr>
        <w:t xml:space="preserve">BAUDŲ UŽ LIETUVOS RESPUBLIKOS MAŽMENINĖS PREKYBOS ĮMONIŲ NESĄŽININGŲ VEIKSMŲ DRAUDIMO ĮSTATYMO PAŽEIDIMUS SKYRIMO TVARKOS APRAŠO </w:t>
      </w:r>
      <w:r w:rsidR="00BC095F" w:rsidRPr="00D058BA">
        <w:rPr>
          <w:b/>
          <w:color w:val="auto"/>
        </w:rPr>
        <w:t>PROJEKT</w:t>
      </w:r>
      <w:r w:rsidR="00082423" w:rsidRPr="00D058BA">
        <w:rPr>
          <w:b/>
          <w:color w:val="auto"/>
        </w:rPr>
        <w:t>O</w:t>
      </w:r>
      <w:r>
        <w:rPr>
          <w:b/>
          <w:color w:val="auto"/>
        </w:rPr>
        <w:t xml:space="preserve"> </w:t>
      </w:r>
      <w:bookmarkEnd w:id="0"/>
      <w:r w:rsidR="00BC095F" w:rsidRPr="00D058BA">
        <w:rPr>
          <w:b/>
          <w:color w:val="auto"/>
        </w:rPr>
        <w:t xml:space="preserve">DERINIMO PAŽYMA </w:t>
      </w:r>
    </w:p>
    <w:p w14:paraId="7F7E06A2" w14:textId="77777777" w:rsidR="00227D47" w:rsidRPr="00D058BA" w:rsidRDefault="00227D47" w:rsidP="00D058BA">
      <w:pPr>
        <w:ind w:right="-57" w:firstLine="0"/>
        <w:jc w:val="center"/>
        <w:rPr>
          <w:bCs/>
          <w:color w:val="auto"/>
        </w:rPr>
      </w:pPr>
    </w:p>
    <w:tbl>
      <w:tblPr>
        <w:tblStyle w:val="TableGrid"/>
        <w:tblW w:w="15168" w:type="dxa"/>
        <w:tblInd w:w="-176" w:type="dxa"/>
        <w:tblLayout w:type="fixed"/>
        <w:tblLook w:val="04A0" w:firstRow="1" w:lastRow="0" w:firstColumn="1" w:lastColumn="0" w:noHBand="0" w:noVBand="1"/>
      </w:tblPr>
      <w:tblGrid>
        <w:gridCol w:w="597"/>
        <w:gridCol w:w="2664"/>
        <w:gridCol w:w="5528"/>
        <w:gridCol w:w="6379"/>
      </w:tblGrid>
      <w:tr w:rsidR="00BC095F" w:rsidRPr="00BC095F" w14:paraId="04B83A34" w14:textId="77777777" w:rsidTr="00275FC7">
        <w:tc>
          <w:tcPr>
            <w:tcW w:w="597" w:type="dxa"/>
          </w:tcPr>
          <w:p w14:paraId="3E293C50" w14:textId="53F24C0F" w:rsidR="00BC095F" w:rsidRPr="006300FE" w:rsidRDefault="00BC095F" w:rsidP="005B032F">
            <w:pPr>
              <w:spacing w:before="40"/>
              <w:ind w:firstLine="0"/>
              <w:jc w:val="center"/>
              <w:rPr>
                <w:color w:val="auto"/>
              </w:rPr>
            </w:pPr>
            <w:r w:rsidRPr="006300FE">
              <w:rPr>
                <w:b/>
                <w:color w:val="auto"/>
              </w:rPr>
              <w:t>Eil</w:t>
            </w:r>
            <w:r w:rsidR="00227D47">
              <w:rPr>
                <w:b/>
                <w:color w:val="auto"/>
              </w:rPr>
              <w:t>.</w:t>
            </w:r>
          </w:p>
          <w:p w14:paraId="4EFBA84C" w14:textId="77777777" w:rsidR="00BC095F" w:rsidRPr="006300FE" w:rsidRDefault="00BC095F" w:rsidP="005B032F">
            <w:pPr>
              <w:spacing w:after="40"/>
              <w:ind w:firstLine="0"/>
              <w:jc w:val="center"/>
              <w:rPr>
                <w:b/>
                <w:color w:val="auto"/>
              </w:rPr>
            </w:pPr>
            <w:r w:rsidRPr="006300FE">
              <w:rPr>
                <w:b/>
                <w:color w:val="auto"/>
              </w:rPr>
              <w:t>Nr.</w:t>
            </w:r>
          </w:p>
        </w:tc>
        <w:tc>
          <w:tcPr>
            <w:tcW w:w="2664" w:type="dxa"/>
          </w:tcPr>
          <w:p w14:paraId="27744048" w14:textId="77777777" w:rsidR="00BC095F" w:rsidRPr="006300FE" w:rsidRDefault="00BC095F" w:rsidP="005B032F">
            <w:pPr>
              <w:spacing w:before="40" w:after="40"/>
              <w:ind w:firstLine="0"/>
              <w:jc w:val="center"/>
              <w:rPr>
                <w:b/>
                <w:color w:val="auto"/>
              </w:rPr>
            </w:pPr>
            <w:r w:rsidRPr="006300FE">
              <w:rPr>
                <w:b/>
                <w:color w:val="auto"/>
              </w:rPr>
              <w:t>Institucijos pavadinimas, rašto data ir numeris</w:t>
            </w:r>
          </w:p>
        </w:tc>
        <w:tc>
          <w:tcPr>
            <w:tcW w:w="5528" w:type="dxa"/>
          </w:tcPr>
          <w:p w14:paraId="31D2C760" w14:textId="77777777" w:rsidR="00BC095F" w:rsidRPr="006300FE" w:rsidRDefault="00BC095F" w:rsidP="005B032F">
            <w:pPr>
              <w:spacing w:before="40" w:after="40"/>
              <w:ind w:firstLine="33"/>
              <w:jc w:val="center"/>
              <w:rPr>
                <w:b/>
                <w:color w:val="auto"/>
              </w:rPr>
            </w:pPr>
            <w:r w:rsidRPr="006300FE">
              <w:rPr>
                <w:b/>
                <w:color w:val="auto"/>
              </w:rPr>
              <w:t>Pastabos ir pasiūlymai</w:t>
            </w:r>
          </w:p>
        </w:tc>
        <w:tc>
          <w:tcPr>
            <w:tcW w:w="6379" w:type="dxa"/>
          </w:tcPr>
          <w:p w14:paraId="7E3770B5" w14:textId="77777777" w:rsidR="00BC095F" w:rsidRPr="00954F85" w:rsidRDefault="00BC095F" w:rsidP="005B032F">
            <w:pPr>
              <w:spacing w:before="40"/>
              <w:ind w:firstLine="23"/>
              <w:jc w:val="center"/>
              <w:rPr>
                <w:color w:val="auto"/>
              </w:rPr>
            </w:pPr>
            <w:r w:rsidRPr="006300FE">
              <w:rPr>
                <w:b/>
                <w:color w:val="auto"/>
              </w:rPr>
              <w:t>Pastabų ir pasiūlymų</w:t>
            </w:r>
          </w:p>
          <w:p w14:paraId="2FEBD0DB" w14:textId="77777777" w:rsidR="00BC095F" w:rsidRPr="006300FE" w:rsidRDefault="00BC095F" w:rsidP="005B032F">
            <w:pPr>
              <w:spacing w:after="40"/>
              <w:ind w:firstLine="23"/>
              <w:jc w:val="center"/>
              <w:rPr>
                <w:b/>
                <w:color w:val="auto"/>
              </w:rPr>
            </w:pPr>
            <w:r w:rsidRPr="006300FE">
              <w:rPr>
                <w:b/>
                <w:color w:val="auto"/>
              </w:rPr>
              <w:t>įvertinimas</w:t>
            </w:r>
          </w:p>
        </w:tc>
      </w:tr>
      <w:tr w:rsidR="00456278" w:rsidRPr="00C04D1B" w14:paraId="3B464AED" w14:textId="77777777" w:rsidTr="00275FC7">
        <w:tc>
          <w:tcPr>
            <w:tcW w:w="597" w:type="dxa"/>
          </w:tcPr>
          <w:p w14:paraId="6D0D0926" w14:textId="68391E97" w:rsidR="00456278" w:rsidRDefault="003E434A" w:rsidP="005B032F">
            <w:pPr>
              <w:spacing w:before="40"/>
              <w:ind w:firstLine="0"/>
              <w:jc w:val="center"/>
              <w:rPr>
                <w:color w:val="auto"/>
              </w:rPr>
            </w:pPr>
            <w:r>
              <w:rPr>
                <w:color w:val="auto"/>
              </w:rPr>
              <w:t>1</w:t>
            </w:r>
            <w:r w:rsidR="00456278">
              <w:rPr>
                <w:color w:val="auto"/>
              </w:rPr>
              <w:t>.</w:t>
            </w:r>
          </w:p>
        </w:tc>
        <w:tc>
          <w:tcPr>
            <w:tcW w:w="2664" w:type="dxa"/>
          </w:tcPr>
          <w:p w14:paraId="2824EC12" w14:textId="071C9091" w:rsidR="00456278" w:rsidRPr="009D712D" w:rsidRDefault="00456278" w:rsidP="008F4EE5">
            <w:pPr>
              <w:spacing w:before="40" w:after="40"/>
              <w:ind w:firstLine="0"/>
              <w:jc w:val="left"/>
              <w:rPr>
                <w:color w:val="auto"/>
              </w:rPr>
            </w:pPr>
            <w:r w:rsidRPr="00456278">
              <w:rPr>
                <w:color w:val="auto"/>
              </w:rPr>
              <w:t>Lietuvos Respublikos teisingumo minister</w:t>
            </w:r>
            <w:r w:rsidR="00BC5C34">
              <w:rPr>
                <w:color w:val="auto"/>
              </w:rPr>
              <w:t>ija (2021 m. spalio 18 d. išvada</w:t>
            </w:r>
            <w:r w:rsidRPr="00456278">
              <w:rPr>
                <w:color w:val="auto"/>
              </w:rPr>
              <w:t xml:space="preserve"> Nr. (1.86Mr) 2T-1146)</w:t>
            </w:r>
          </w:p>
        </w:tc>
        <w:tc>
          <w:tcPr>
            <w:tcW w:w="5528" w:type="dxa"/>
          </w:tcPr>
          <w:p w14:paraId="2B812C5B" w14:textId="62359E42" w:rsidR="00456278" w:rsidRPr="006A152F" w:rsidRDefault="00456278" w:rsidP="009D712D">
            <w:pPr>
              <w:spacing w:before="40" w:after="40"/>
              <w:ind w:firstLine="0"/>
              <w:rPr>
                <w:color w:val="000000" w:themeColor="text1"/>
              </w:rPr>
            </w:pPr>
            <w:r w:rsidRPr="006A152F">
              <w:rPr>
                <w:color w:val="000000" w:themeColor="text1"/>
              </w:rPr>
              <w:t xml:space="preserve">1. Atsižvelgiant į Aprašo 1 punkte pateikiamą </w:t>
            </w:r>
            <w:r w:rsidRPr="002E3C9D">
              <w:rPr>
                <w:color w:val="000000" w:themeColor="text1"/>
              </w:rPr>
              <w:t>Lietuvos Respublikos mažmeninės prekybos įmonių nesąžiningų veiksmų draud</w:t>
            </w:r>
            <w:r>
              <w:rPr>
                <w:color w:val="000000" w:themeColor="text1"/>
              </w:rPr>
              <w:t>imo įstatymo (toliau – MPĮNVDĮ)</w:t>
            </w:r>
            <w:r w:rsidRPr="006A152F">
              <w:rPr>
                <w:color w:val="000000" w:themeColor="text1"/>
              </w:rPr>
              <w:t xml:space="preserve"> santrumpą, tikslintinas Aprašo II skyriaus pavadinimas.</w:t>
            </w:r>
          </w:p>
        </w:tc>
        <w:tc>
          <w:tcPr>
            <w:tcW w:w="6379" w:type="dxa"/>
          </w:tcPr>
          <w:p w14:paraId="21005DA3" w14:textId="77777777" w:rsidR="00456278" w:rsidRPr="002E3C9D" w:rsidRDefault="00456278" w:rsidP="00456278">
            <w:pPr>
              <w:spacing w:before="40"/>
              <w:ind w:firstLine="23"/>
              <w:rPr>
                <w:b/>
                <w:color w:val="auto"/>
              </w:rPr>
            </w:pPr>
            <w:r w:rsidRPr="002E3C9D">
              <w:rPr>
                <w:b/>
                <w:color w:val="auto"/>
              </w:rPr>
              <w:t>Neatsižvelgta.</w:t>
            </w:r>
          </w:p>
          <w:p w14:paraId="158F7348" w14:textId="2614F7DB" w:rsidR="00456278" w:rsidRPr="002E3C9D" w:rsidRDefault="00456278" w:rsidP="00456278">
            <w:pPr>
              <w:spacing w:before="40"/>
              <w:ind w:firstLine="23"/>
              <w:rPr>
                <w:b/>
                <w:color w:val="auto"/>
              </w:rPr>
            </w:pPr>
            <w:r w:rsidRPr="006A152F">
              <w:rPr>
                <w:color w:val="auto"/>
              </w:rPr>
              <w:t xml:space="preserve">1. Aprašo II skyrius reglamentuoja baudos mažmeninei prekybos įmonei skyrimą už </w:t>
            </w:r>
            <w:r w:rsidRPr="00B45426">
              <w:rPr>
                <w:color w:val="auto"/>
              </w:rPr>
              <w:t>Lietuvos Respublikos nesąžiningos prekybos praktikos žemės ūkio ir maisto produktų tiekimo grandinėje draudimo įstatymo</w:t>
            </w:r>
            <w:r w:rsidRPr="006A152F">
              <w:rPr>
                <w:color w:val="auto"/>
              </w:rPr>
              <w:t xml:space="preserve"> 4 straipsnio 1 ir 2 dalyse nurodytus pažeidimus.</w:t>
            </w:r>
          </w:p>
        </w:tc>
      </w:tr>
      <w:tr w:rsidR="003E434A" w:rsidRPr="00C04D1B" w14:paraId="2EC7FB99" w14:textId="77777777" w:rsidTr="00275FC7">
        <w:tc>
          <w:tcPr>
            <w:tcW w:w="597" w:type="dxa"/>
          </w:tcPr>
          <w:p w14:paraId="5C6C7A82" w14:textId="72576C75" w:rsidR="003E434A" w:rsidRDefault="003E434A" w:rsidP="005B032F">
            <w:pPr>
              <w:spacing w:before="40"/>
              <w:ind w:firstLine="0"/>
              <w:jc w:val="center"/>
              <w:rPr>
                <w:color w:val="auto"/>
              </w:rPr>
            </w:pPr>
            <w:r>
              <w:rPr>
                <w:color w:val="auto"/>
              </w:rPr>
              <w:t>2.</w:t>
            </w:r>
          </w:p>
        </w:tc>
        <w:tc>
          <w:tcPr>
            <w:tcW w:w="2664" w:type="dxa"/>
          </w:tcPr>
          <w:p w14:paraId="48A4A8CA" w14:textId="343535F7" w:rsidR="003E434A" w:rsidRPr="00456278" w:rsidRDefault="003E434A" w:rsidP="008F4EE5">
            <w:pPr>
              <w:spacing w:before="40" w:after="40"/>
              <w:ind w:firstLine="0"/>
              <w:jc w:val="left"/>
              <w:rPr>
                <w:color w:val="auto"/>
              </w:rPr>
            </w:pPr>
            <w:r w:rsidRPr="009D712D">
              <w:rPr>
                <w:color w:val="auto"/>
              </w:rPr>
              <w:t xml:space="preserve">Lietuvos Respublikos </w:t>
            </w:r>
            <w:r>
              <w:rPr>
                <w:color w:val="auto"/>
              </w:rPr>
              <w:t>konkurencijos taryba (2021 m. spalio 13 d. išvada</w:t>
            </w:r>
            <w:r w:rsidRPr="009D712D">
              <w:rPr>
                <w:color w:val="auto"/>
              </w:rPr>
              <w:t xml:space="preserve"> Nr. </w:t>
            </w:r>
            <w:r w:rsidRPr="00BC5C34">
              <w:rPr>
                <w:color w:val="auto"/>
              </w:rPr>
              <w:t>(2.30Mr-43)6V-1428</w:t>
            </w:r>
          </w:p>
        </w:tc>
        <w:tc>
          <w:tcPr>
            <w:tcW w:w="5528" w:type="dxa"/>
          </w:tcPr>
          <w:p w14:paraId="6FEC25DF" w14:textId="7FC6F1E3" w:rsidR="003E434A" w:rsidRPr="006A152F" w:rsidRDefault="003E434A" w:rsidP="009D712D">
            <w:pPr>
              <w:spacing w:before="40" w:after="40"/>
              <w:ind w:firstLine="0"/>
              <w:rPr>
                <w:color w:val="000000" w:themeColor="text1"/>
              </w:rPr>
            </w:pPr>
            <w:r w:rsidRPr="006A152F">
              <w:rPr>
                <w:color w:val="000000" w:themeColor="text1"/>
              </w:rPr>
              <w:t xml:space="preserve">1. </w:t>
            </w:r>
            <w:r>
              <w:rPr>
                <w:rFonts w:eastAsia="Calibri" w:cs="Arial"/>
                <w:bCs/>
                <w:noProof w:val="0"/>
                <w:color w:val="auto"/>
                <w:lang w:eastAsia="en-US"/>
              </w:rPr>
              <w:t>S</w:t>
            </w:r>
            <w:r w:rsidRPr="005E4032">
              <w:rPr>
                <w:rFonts w:eastAsia="Calibri" w:cs="Arial"/>
                <w:bCs/>
                <w:noProof w:val="0"/>
                <w:color w:val="auto"/>
                <w:lang w:eastAsia="en-US"/>
              </w:rPr>
              <w:t xml:space="preserve">iūlytina papildyti Aprašo 13 punktą, detalizuojant, kad bazinis baudos dydis </w:t>
            </w:r>
            <w:r w:rsidRPr="005E4032">
              <w:rPr>
                <w:rFonts w:eastAsia="Calibri" w:cs="Arial"/>
                <w:bCs/>
                <w:noProof w:val="0"/>
                <w:color w:val="auto"/>
                <w:u w:val="single"/>
                <w:lang w:eastAsia="en-US"/>
              </w:rPr>
              <w:t>esant  pakartotinumui ir kitoms  sunkinančioms aplinkybėms </w:t>
            </w:r>
            <w:r w:rsidRPr="005E4032">
              <w:rPr>
                <w:rFonts w:eastAsia="Calibri" w:cs="Arial"/>
                <w:bCs/>
                <w:noProof w:val="0"/>
                <w:color w:val="auto"/>
                <w:lang w:eastAsia="en-US"/>
              </w:rPr>
              <w:t xml:space="preserve"> gali būti didinamas </w:t>
            </w:r>
            <w:r>
              <w:rPr>
                <w:rFonts w:eastAsia="Calibri" w:cs="Arial"/>
                <w:bCs/>
                <w:noProof w:val="0"/>
                <w:color w:val="auto"/>
                <w:lang w:eastAsia="en-US"/>
              </w:rPr>
              <w:t xml:space="preserve">iki </w:t>
            </w:r>
            <w:r w:rsidRPr="005E4032">
              <w:rPr>
                <w:rFonts w:eastAsia="Calibri" w:cs="Arial"/>
                <w:bCs/>
                <w:noProof w:val="0"/>
                <w:color w:val="auto"/>
                <w:lang w:eastAsia="en-US"/>
              </w:rPr>
              <w:t xml:space="preserve">150 procentų. Šis papildymas padės užtikrinti, kad būtų </w:t>
            </w:r>
            <w:r w:rsidRPr="005E4032">
              <w:rPr>
                <w:rFonts w:eastAsia="Calibri"/>
                <w:noProof w:val="0"/>
                <w:color w:val="auto"/>
                <w:lang w:eastAsia="en-US"/>
              </w:rPr>
              <w:t xml:space="preserve">įgyvendintas sankcijų atgrasomasis poveikis nuo nesąžiningų prekybos tinklų veiksmų, </w:t>
            </w:r>
            <w:r w:rsidRPr="005E4032">
              <w:rPr>
                <w:rFonts w:eastAsia="Calibri" w:cs="Arial"/>
                <w:noProof w:val="0"/>
                <w:color w:val="auto"/>
                <w:lang w:eastAsia="en-US"/>
              </w:rPr>
              <w:t>ir suteiks teisinio aiškumo rinkos dalyviams.</w:t>
            </w:r>
          </w:p>
        </w:tc>
        <w:tc>
          <w:tcPr>
            <w:tcW w:w="6379" w:type="dxa"/>
          </w:tcPr>
          <w:p w14:paraId="35C1D6CA" w14:textId="77777777" w:rsidR="003E434A" w:rsidRPr="002E3C9D" w:rsidRDefault="003E434A" w:rsidP="003E434A">
            <w:pPr>
              <w:spacing w:before="40"/>
              <w:ind w:firstLine="23"/>
              <w:rPr>
                <w:b/>
                <w:color w:val="auto"/>
              </w:rPr>
            </w:pPr>
            <w:r w:rsidRPr="002E3C9D">
              <w:rPr>
                <w:b/>
                <w:color w:val="auto"/>
              </w:rPr>
              <w:t>Neatsižvelgta.</w:t>
            </w:r>
          </w:p>
          <w:p w14:paraId="5175C9B5" w14:textId="0BCF46E9" w:rsidR="00D52017" w:rsidRPr="002E3C9D" w:rsidRDefault="003E434A" w:rsidP="00A55809">
            <w:pPr>
              <w:ind w:firstLine="0"/>
              <w:rPr>
                <w:b/>
                <w:color w:val="auto"/>
              </w:rPr>
            </w:pPr>
            <w:r w:rsidRPr="006A152F">
              <w:rPr>
                <w:color w:val="auto"/>
              </w:rPr>
              <w:t xml:space="preserve">1. </w:t>
            </w:r>
            <w:r w:rsidR="00D52017">
              <w:rPr>
                <w:color w:val="auto"/>
              </w:rPr>
              <w:t xml:space="preserve">Pagal </w:t>
            </w:r>
            <w:r>
              <w:rPr>
                <w:noProof w:val="0"/>
                <w:color w:val="auto"/>
                <w:szCs w:val="20"/>
                <w:lang w:eastAsia="en-US"/>
              </w:rPr>
              <w:t>MPĮNVDĮ</w:t>
            </w:r>
            <w:r w:rsidRPr="001656BC">
              <w:rPr>
                <w:noProof w:val="0"/>
                <w:color w:val="auto"/>
                <w:szCs w:val="20"/>
                <w:lang w:eastAsia="en-US"/>
              </w:rPr>
              <w:t xml:space="preserve"> 12 straipsnio 2 d</w:t>
            </w:r>
            <w:r w:rsidR="00DC7442">
              <w:rPr>
                <w:noProof w:val="0"/>
                <w:color w:val="auto"/>
                <w:szCs w:val="20"/>
                <w:lang w:eastAsia="en-US"/>
              </w:rPr>
              <w:t>alies 3 punkte</w:t>
            </w:r>
            <w:r w:rsidR="00D52017">
              <w:rPr>
                <w:noProof w:val="0"/>
                <w:color w:val="auto"/>
                <w:szCs w:val="20"/>
                <w:lang w:eastAsia="en-US"/>
              </w:rPr>
              <w:t xml:space="preserve"> </w:t>
            </w:r>
            <w:r w:rsidRPr="001656BC">
              <w:rPr>
                <w:noProof w:val="0"/>
                <w:color w:val="auto"/>
                <w:szCs w:val="20"/>
                <w:lang w:eastAsia="en-US"/>
              </w:rPr>
              <w:t>nurodyta</w:t>
            </w:r>
            <w:r w:rsidR="00092B54">
              <w:rPr>
                <w:noProof w:val="0"/>
                <w:color w:val="auto"/>
                <w:szCs w:val="20"/>
                <w:lang w:eastAsia="en-US"/>
              </w:rPr>
              <w:t xml:space="preserve"> maksimali galima baudos dydžio riba</w:t>
            </w:r>
            <w:r w:rsidRPr="001656BC">
              <w:rPr>
                <w:noProof w:val="0"/>
                <w:color w:val="auto"/>
                <w:szCs w:val="20"/>
                <w:lang w:eastAsia="en-US"/>
              </w:rPr>
              <w:t xml:space="preserve"> iki 50 proc.,</w:t>
            </w:r>
            <w:r w:rsidR="00DA6B77">
              <w:t xml:space="preserve"> </w:t>
            </w:r>
            <w:r w:rsidR="00DA6B77" w:rsidRPr="00DA6B77">
              <w:rPr>
                <w:noProof w:val="0"/>
                <w:color w:val="auto"/>
                <w:szCs w:val="20"/>
                <w:lang w:eastAsia="en-US"/>
              </w:rPr>
              <w:t>atsižvelgiant į lengvinan</w:t>
            </w:r>
            <w:r w:rsidR="00DA6B77">
              <w:rPr>
                <w:noProof w:val="0"/>
                <w:color w:val="auto"/>
                <w:szCs w:val="20"/>
                <w:lang w:eastAsia="en-US"/>
              </w:rPr>
              <w:t>čias ir sunkinančias aplinkybes</w:t>
            </w:r>
            <w:r w:rsidR="00E81598">
              <w:t xml:space="preserve"> </w:t>
            </w:r>
            <w:r w:rsidR="00E81598" w:rsidRPr="00E81598">
              <w:rPr>
                <w:noProof w:val="0"/>
                <w:color w:val="auto"/>
                <w:szCs w:val="20"/>
                <w:lang w:eastAsia="en-US"/>
              </w:rPr>
              <w:t>(MPĮNVDĮ 12 straipsnio 2 dalies 3 punkto pirmasis sakinys)</w:t>
            </w:r>
            <w:r w:rsidR="00E81598">
              <w:rPr>
                <w:noProof w:val="0"/>
                <w:color w:val="auto"/>
                <w:szCs w:val="20"/>
                <w:lang w:eastAsia="en-US"/>
              </w:rPr>
              <w:t>,</w:t>
            </w:r>
            <w:r w:rsidRPr="001656BC">
              <w:rPr>
                <w:noProof w:val="0"/>
                <w:color w:val="auto"/>
                <w:szCs w:val="20"/>
                <w:lang w:eastAsia="en-US"/>
              </w:rPr>
              <w:t xml:space="preserve"> o </w:t>
            </w:r>
            <w:r w:rsidR="00DA6B77">
              <w:rPr>
                <w:noProof w:val="0"/>
                <w:color w:val="auto"/>
                <w:szCs w:val="20"/>
                <w:lang w:eastAsia="en-US"/>
              </w:rPr>
              <w:t>n</w:t>
            </w:r>
            <w:r w:rsidR="00DA6B77" w:rsidRPr="00DA6B77">
              <w:rPr>
                <w:noProof w:val="0"/>
                <w:color w:val="auto"/>
                <w:szCs w:val="20"/>
                <w:lang w:eastAsia="en-US"/>
              </w:rPr>
              <w:t xml:space="preserve">ustačius sunkinančią aplinkybę </w:t>
            </w:r>
            <w:r w:rsidRPr="001656BC">
              <w:rPr>
                <w:noProof w:val="0"/>
                <w:color w:val="auto"/>
                <w:szCs w:val="20"/>
                <w:lang w:eastAsia="en-US"/>
              </w:rPr>
              <w:t>pakartotinumą – iki 100 proc.</w:t>
            </w:r>
            <w:r w:rsidR="00DA6B77">
              <w:rPr>
                <w:noProof w:val="0"/>
                <w:color w:val="auto"/>
                <w:szCs w:val="20"/>
                <w:lang w:eastAsia="en-US"/>
              </w:rPr>
              <w:t xml:space="preserve"> </w:t>
            </w:r>
            <w:r w:rsidR="00DC7442" w:rsidRPr="00DC7442">
              <w:rPr>
                <w:noProof w:val="0"/>
                <w:color w:val="auto"/>
                <w:szCs w:val="20"/>
                <w:lang w:eastAsia="en-US"/>
              </w:rPr>
              <w:t>(MPĮNVDĮ 12 strai</w:t>
            </w:r>
            <w:r w:rsidR="00DC7442">
              <w:rPr>
                <w:noProof w:val="0"/>
                <w:color w:val="auto"/>
                <w:szCs w:val="20"/>
                <w:lang w:eastAsia="en-US"/>
              </w:rPr>
              <w:t>psnio 2 dalies 3 punkto antrasis</w:t>
            </w:r>
            <w:r w:rsidR="00DC7442" w:rsidRPr="00DC7442">
              <w:rPr>
                <w:noProof w:val="0"/>
                <w:color w:val="auto"/>
                <w:szCs w:val="20"/>
                <w:lang w:eastAsia="en-US"/>
              </w:rPr>
              <w:t xml:space="preserve"> sakinys)</w:t>
            </w:r>
            <w:r w:rsidR="00DC7442">
              <w:rPr>
                <w:noProof w:val="0"/>
                <w:color w:val="auto"/>
                <w:szCs w:val="20"/>
                <w:lang w:eastAsia="en-US"/>
              </w:rPr>
              <w:t>. P</w:t>
            </w:r>
            <w:r w:rsidR="00E81598">
              <w:rPr>
                <w:noProof w:val="0"/>
                <w:color w:val="auto"/>
                <w:szCs w:val="20"/>
                <w:lang w:eastAsia="en-US"/>
              </w:rPr>
              <w:t>rojekto rengėjų nuomone, s</w:t>
            </w:r>
            <w:r w:rsidR="001862C2" w:rsidRPr="001862C2">
              <w:rPr>
                <w:noProof w:val="0"/>
                <w:color w:val="auto"/>
                <w:szCs w:val="20"/>
                <w:lang w:eastAsia="en-US"/>
              </w:rPr>
              <w:t>iekiant aiškaus teisinio reguliavimo poįstatyminiame įgyvendinančiame te</w:t>
            </w:r>
            <w:r w:rsidR="00145322">
              <w:rPr>
                <w:noProof w:val="0"/>
                <w:color w:val="auto"/>
                <w:szCs w:val="20"/>
                <w:lang w:eastAsia="en-US"/>
              </w:rPr>
              <w:t xml:space="preserve">isės akte neturi būti numatyta </w:t>
            </w:r>
            <w:r w:rsidR="001862C2" w:rsidRPr="001862C2">
              <w:rPr>
                <w:noProof w:val="0"/>
                <w:color w:val="auto"/>
                <w:szCs w:val="20"/>
                <w:lang w:eastAsia="en-US"/>
              </w:rPr>
              <w:t>papildomų nuostatų</w:t>
            </w:r>
            <w:r w:rsidR="001862C2">
              <w:rPr>
                <w:noProof w:val="0"/>
                <w:color w:val="auto"/>
                <w:szCs w:val="20"/>
                <w:lang w:eastAsia="en-US"/>
              </w:rPr>
              <w:t>.</w:t>
            </w:r>
          </w:p>
        </w:tc>
      </w:tr>
      <w:tr w:rsidR="00C04D1B" w:rsidRPr="00C04D1B" w14:paraId="22D8CEE6" w14:textId="77777777" w:rsidTr="00275FC7">
        <w:tc>
          <w:tcPr>
            <w:tcW w:w="597" w:type="dxa"/>
          </w:tcPr>
          <w:p w14:paraId="27D87588" w14:textId="31745D34" w:rsidR="009D712D" w:rsidRDefault="00456278" w:rsidP="005B032F">
            <w:pPr>
              <w:spacing w:before="40"/>
              <w:ind w:firstLine="0"/>
              <w:jc w:val="center"/>
              <w:rPr>
                <w:color w:val="auto"/>
              </w:rPr>
            </w:pPr>
            <w:r>
              <w:rPr>
                <w:color w:val="auto"/>
              </w:rPr>
              <w:t>3</w:t>
            </w:r>
            <w:r w:rsidR="009D712D">
              <w:rPr>
                <w:color w:val="auto"/>
              </w:rPr>
              <w:t>.</w:t>
            </w:r>
          </w:p>
        </w:tc>
        <w:tc>
          <w:tcPr>
            <w:tcW w:w="2664" w:type="dxa"/>
          </w:tcPr>
          <w:p w14:paraId="3621980E" w14:textId="27095AB7" w:rsidR="009D712D" w:rsidRPr="00554177" w:rsidRDefault="009D712D" w:rsidP="008F4EE5">
            <w:pPr>
              <w:spacing w:before="40" w:after="40"/>
              <w:ind w:firstLine="0"/>
              <w:jc w:val="left"/>
              <w:rPr>
                <w:color w:val="auto"/>
              </w:rPr>
            </w:pPr>
            <w:r w:rsidRPr="009D712D">
              <w:rPr>
                <w:color w:val="auto"/>
              </w:rPr>
              <w:t>Lietuvos prekybos įmonių asociacija (toliau – LPĮA) (2021 m. spalio 8 d. raštas Nr. 7-61)</w:t>
            </w:r>
          </w:p>
        </w:tc>
        <w:tc>
          <w:tcPr>
            <w:tcW w:w="5528" w:type="dxa"/>
          </w:tcPr>
          <w:p w14:paraId="55A41731" w14:textId="77777777" w:rsidR="009D712D" w:rsidRDefault="009D712D" w:rsidP="00A848EE">
            <w:pPr>
              <w:spacing w:before="40" w:after="40"/>
              <w:ind w:firstLine="0"/>
              <w:rPr>
                <w:color w:val="000000" w:themeColor="text1"/>
              </w:rPr>
            </w:pPr>
            <w:r w:rsidRPr="009D712D">
              <w:rPr>
                <w:color w:val="000000" w:themeColor="text1"/>
              </w:rPr>
              <w:t>1. Manytumėm, jog nėra proporcinga didelio masto pažeidimu laikyti pažeidimą, taikomą vos dešimtadalio maisto prekių ir gėrimų tiekėjų atžvilgiu. Todėl siūlome Aprašo 10.1 punkte mažo masto pažeidimu laikyti pažeidimą, atliktą iki 15 procentų maisto prekių ir gėrimų tiekėjų atžvilgiu, atitinkamai, 10.2 punkte vidutinio masto pažeidimu – pažeidimą, atliktą nuo 15 iki 30 procentų maisto prekių ir gėrimų tiekėjų atžvilgiu, o 10.3 punkte didelio masto pažeidimu – pažeidimą, atliktą daugiau nei 30 procentų maisto prekių ir gėrimų tiekėjų atžvilgiu.</w:t>
            </w:r>
          </w:p>
          <w:p w14:paraId="41D32D06" w14:textId="06D2241D" w:rsidR="006A152F" w:rsidRPr="00C04D1B" w:rsidRDefault="006A152F" w:rsidP="00A848EE">
            <w:pPr>
              <w:spacing w:before="40" w:after="40"/>
              <w:ind w:firstLine="0"/>
              <w:rPr>
                <w:color w:val="auto"/>
              </w:rPr>
            </w:pPr>
          </w:p>
        </w:tc>
        <w:tc>
          <w:tcPr>
            <w:tcW w:w="6379" w:type="dxa"/>
          </w:tcPr>
          <w:p w14:paraId="28D9E297" w14:textId="77777777" w:rsidR="009D712D" w:rsidRPr="003D267D" w:rsidRDefault="009D712D" w:rsidP="009D712D">
            <w:pPr>
              <w:spacing w:before="40"/>
              <w:ind w:firstLine="23"/>
              <w:jc w:val="left"/>
              <w:rPr>
                <w:b/>
                <w:color w:val="auto"/>
              </w:rPr>
            </w:pPr>
            <w:r w:rsidRPr="003D267D">
              <w:rPr>
                <w:b/>
                <w:color w:val="auto"/>
              </w:rPr>
              <w:lastRenderedPageBreak/>
              <w:t>Neatsižvelgta.</w:t>
            </w:r>
          </w:p>
          <w:p w14:paraId="49D67A05" w14:textId="39C2DBD3" w:rsidR="009D712D" w:rsidRPr="00CD288E" w:rsidRDefault="00C335A8" w:rsidP="009D712D">
            <w:pPr>
              <w:spacing w:before="40"/>
              <w:ind w:firstLine="23"/>
              <w:rPr>
                <w:color w:val="auto"/>
              </w:rPr>
            </w:pPr>
            <w:r>
              <w:rPr>
                <w:color w:val="auto"/>
              </w:rPr>
              <w:t xml:space="preserve">1. </w:t>
            </w:r>
            <w:r w:rsidR="009D712D">
              <w:rPr>
                <w:color w:val="auto"/>
              </w:rPr>
              <w:t>K</w:t>
            </w:r>
            <w:r w:rsidR="009D712D" w:rsidRPr="00CD288E">
              <w:rPr>
                <w:color w:val="auto"/>
              </w:rPr>
              <w:t>aip galima matyti iš Konkurencijos tarybos praktikos didžiųjų mažmeninės prekybos tinklų prie</w:t>
            </w:r>
            <w:r w:rsidR="009D712D">
              <w:rPr>
                <w:color w:val="auto"/>
              </w:rPr>
              <w:t>žiūros srityje atliktų tyrimų</w:t>
            </w:r>
            <w:r w:rsidR="009D712D" w:rsidRPr="00735FF4">
              <w:rPr>
                <w:rFonts w:eastAsia="Calibri"/>
                <w:noProof w:val="0"/>
                <w:color w:val="auto"/>
                <w:vertAlign w:val="superscript"/>
                <w:lang w:eastAsia="en-US"/>
              </w:rPr>
              <w:footnoteReference w:id="1"/>
            </w:r>
            <w:r w:rsidR="009D712D">
              <w:rPr>
                <w:color w:val="auto"/>
              </w:rPr>
              <w:t>,</w:t>
            </w:r>
            <w:r w:rsidR="009D712D" w:rsidRPr="000C0872">
              <w:rPr>
                <w:color w:val="auto"/>
              </w:rPr>
              <w:t xml:space="preserve"> </w:t>
            </w:r>
            <w:r w:rsidR="009D712D">
              <w:rPr>
                <w:color w:val="auto"/>
              </w:rPr>
              <w:t xml:space="preserve"> </w:t>
            </w:r>
            <w:r w:rsidR="009D712D" w:rsidRPr="00CD288E">
              <w:rPr>
                <w:color w:val="auto"/>
              </w:rPr>
              <w:t xml:space="preserve"> sutartys su pažeidžiančiomis tiekėjų interesus nuostatomis nebuvo sudaromos su itin dideliu tiekėjų skaičiumi. Kas savo ruožtu suponuoja, kad tuo atveju, jei būtų padidintos baudų už mastą ribos, tikėtina, kad atliekant tyrimą didelio ar net vidutinio masto pažeidimas niekuomet nebūtų nustatytas ir didieji prekybos tinklai nebūtų atgrasomi nuo nesąžiningų veiksmų, praktikų tiekėjų atžvilgiu. Tai, yra pagrindo manyti, prieštarautų ir pačiam </w:t>
            </w:r>
            <w:r w:rsidR="009D712D" w:rsidRPr="00301EA3">
              <w:rPr>
                <w:color w:val="auto"/>
              </w:rPr>
              <w:t xml:space="preserve">2019 m. balandžio 17 </w:t>
            </w:r>
            <w:r w:rsidR="009D712D" w:rsidRPr="00301EA3">
              <w:rPr>
                <w:color w:val="auto"/>
              </w:rPr>
              <w:lastRenderedPageBreak/>
              <w:t>d. Europos Parlamento ir Tarybos direktyvos (ES) 2019/633 dėl įmonių vienų kitoms taikomos nesąžiningos prekybos praktikos žemės ūkio ir maisto produktų tiekimo grandinėje</w:t>
            </w:r>
            <w:r w:rsidR="009D712D" w:rsidRPr="00CD288E">
              <w:rPr>
                <w:color w:val="auto"/>
              </w:rPr>
              <w:t xml:space="preserve"> </w:t>
            </w:r>
            <w:r w:rsidR="009D712D" w:rsidRPr="0073720B">
              <w:rPr>
                <w:color w:val="auto"/>
              </w:rPr>
              <w:t>(</w:t>
            </w:r>
            <w:r w:rsidR="009D712D">
              <w:rPr>
                <w:color w:val="auto"/>
              </w:rPr>
              <w:t>toliau – Direktyva</w:t>
            </w:r>
            <w:r w:rsidR="009D712D" w:rsidRPr="0073720B">
              <w:rPr>
                <w:color w:val="auto"/>
              </w:rPr>
              <w:t>)</w:t>
            </w:r>
            <w:r w:rsidR="009D712D">
              <w:rPr>
                <w:color w:val="auto"/>
              </w:rPr>
              <w:t xml:space="preserve"> </w:t>
            </w:r>
            <w:r w:rsidR="009D712D" w:rsidRPr="00CD288E">
              <w:rPr>
                <w:color w:val="auto"/>
              </w:rPr>
              <w:t>tikslui, atgrasyti nuo nesąžiningų veiksmų maisto prekių ir gėrimų pirkėjus ir už atliekamus veiksmus skirti atgrasomas baudas.</w:t>
            </w:r>
          </w:p>
          <w:p w14:paraId="5D731426" w14:textId="4413F060" w:rsidR="009D712D" w:rsidRPr="003D267D" w:rsidRDefault="009D712D" w:rsidP="001656BC">
            <w:pPr>
              <w:spacing w:before="40"/>
              <w:ind w:firstLine="23"/>
              <w:rPr>
                <w:b/>
                <w:color w:val="auto"/>
              </w:rPr>
            </w:pPr>
            <w:r w:rsidRPr="00CD288E">
              <w:rPr>
                <w:color w:val="auto"/>
              </w:rPr>
              <w:t xml:space="preserve">Be to, svarbu pabrėžti, kad gali būti ne tik sudaromos sutartys su tiekėjų interesus pažeidžiančiomis nuostatomis, tačiau, didieji prekybos tinklai gali atlikti ir veiksmus tiekėjų atžvilgiu nefiksuojant jų sutartyse. Tuomet veiksmai gali būti atliekami pavienių tiekėjų atžvilgiu. Tokiu atveju pažeidimo mastas niekada nebūtų didelis, kas reiškia, kad skiriant baudas niekada nebūtų </w:t>
            </w:r>
            <w:r>
              <w:rPr>
                <w:color w:val="auto"/>
              </w:rPr>
              <w:t xml:space="preserve">skiriamos atgrasančios baudos. </w:t>
            </w:r>
            <w:r w:rsidRPr="00CD288E">
              <w:rPr>
                <w:color w:val="auto"/>
              </w:rPr>
              <w:t>Todėl, įvertinus Konkurencijos tarybos praktiką, Direktyvos tikslą atgrasyti nuo nesąžiningų veiksmų pirkėjus paskiriant jiems proporcingas baudas, didinamos baudų už mastą ribas, kaip kad siūlo LPĮA, nėra pagrindo.</w:t>
            </w:r>
          </w:p>
        </w:tc>
      </w:tr>
      <w:tr w:rsidR="003D071E" w:rsidRPr="00C04D1B" w14:paraId="23C7E190" w14:textId="77777777" w:rsidTr="00275FC7">
        <w:trPr>
          <w:trHeight w:val="585"/>
        </w:trPr>
        <w:tc>
          <w:tcPr>
            <w:tcW w:w="597" w:type="dxa"/>
            <w:vMerge w:val="restart"/>
          </w:tcPr>
          <w:p w14:paraId="7A195E06" w14:textId="46252070" w:rsidR="003D071E" w:rsidRDefault="003D071E" w:rsidP="005B032F">
            <w:pPr>
              <w:spacing w:before="40"/>
              <w:ind w:firstLine="0"/>
              <w:jc w:val="center"/>
              <w:rPr>
                <w:color w:val="auto"/>
              </w:rPr>
            </w:pPr>
            <w:r>
              <w:rPr>
                <w:color w:val="auto"/>
              </w:rPr>
              <w:lastRenderedPageBreak/>
              <w:t>4.</w:t>
            </w:r>
          </w:p>
        </w:tc>
        <w:tc>
          <w:tcPr>
            <w:tcW w:w="2664" w:type="dxa"/>
            <w:vMerge w:val="restart"/>
          </w:tcPr>
          <w:p w14:paraId="3A3905CA" w14:textId="08462133" w:rsidR="003D071E" w:rsidRPr="009D712D" w:rsidRDefault="003D071E" w:rsidP="008F4EE5">
            <w:pPr>
              <w:spacing w:before="40" w:after="40"/>
              <w:ind w:firstLine="0"/>
              <w:jc w:val="left"/>
              <w:rPr>
                <w:color w:val="auto"/>
              </w:rPr>
            </w:pPr>
            <w:r>
              <w:rPr>
                <w:color w:val="auto"/>
              </w:rPr>
              <w:t xml:space="preserve">Lietuvos Respublikos specialiųjų tyrimų tarnyba (2021 m. lapkričio </w:t>
            </w:r>
            <w:r w:rsidRPr="00DC25C7">
              <w:rPr>
                <w:color w:val="auto"/>
              </w:rPr>
              <w:t>5</w:t>
            </w:r>
            <w:r>
              <w:rPr>
                <w:color w:val="auto"/>
              </w:rPr>
              <w:t xml:space="preserve"> d. raštas Nr. </w:t>
            </w:r>
            <w:r w:rsidRPr="00AF7479">
              <w:rPr>
                <w:color w:val="auto"/>
              </w:rPr>
              <w:t>4-01-8296</w:t>
            </w:r>
            <w:r>
              <w:rPr>
                <w:color w:val="auto"/>
              </w:rPr>
              <w:t>)</w:t>
            </w:r>
          </w:p>
        </w:tc>
        <w:tc>
          <w:tcPr>
            <w:tcW w:w="5528" w:type="dxa"/>
          </w:tcPr>
          <w:p w14:paraId="7D7259C2" w14:textId="77777777" w:rsidR="003D071E" w:rsidRDefault="003D071E" w:rsidP="00A848EE">
            <w:pPr>
              <w:spacing w:before="40" w:after="40"/>
              <w:ind w:firstLine="0"/>
              <w:rPr>
                <w:color w:val="000000" w:themeColor="text1"/>
              </w:rPr>
            </w:pPr>
            <w:r>
              <w:rPr>
                <w:color w:val="000000" w:themeColor="text1"/>
              </w:rPr>
              <w:t xml:space="preserve">1. </w:t>
            </w:r>
            <w:r w:rsidRPr="00AF7479">
              <w:rPr>
                <w:color w:val="000000" w:themeColor="text1"/>
              </w:rPr>
              <w:t>Pagal Aprašo projekto 8 – 10 (10.1 – 10.3 papunkčių) punktų nuostatas, nustatant pažeidimo pobūdžio, trukmės ir masto koeficientus, atsižvelgiant į reikšmingas aplinkybes būtų pritaikomi tam tikruose intervaluose nustatytus dydžius atitinkančios konkrečios koeficientų išraiškos (pavyzdžiui, jeigu būtų padaromas trumpos trukmės pažeidimas, būtų pritaikomas koeficientas, kurio intervalas nuo 0,22 iki 0,74).</w:t>
            </w:r>
          </w:p>
          <w:p w14:paraId="389FE8BB" w14:textId="2451EBA6" w:rsidR="003D071E" w:rsidRPr="009D712D" w:rsidRDefault="003D071E" w:rsidP="00A76434">
            <w:pPr>
              <w:spacing w:before="40"/>
              <w:ind w:firstLine="34"/>
              <w:rPr>
                <w:color w:val="000000" w:themeColor="text1"/>
              </w:rPr>
            </w:pPr>
            <w:r w:rsidRPr="00A15A75">
              <w:rPr>
                <w:color w:val="000000" w:themeColor="text1"/>
              </w:rPr>
              <w:t xml:space="preserve">Šiuo atveju atkreiptinas dėmesys, kad Aprašo projektas neatskleidžia pagal kokius principus turėtų būti pasirenkamas konkretus tam tikrame intervale esantis koeficiento dydis, todėl siekiant sumažinti baudas apskaičiuojančių asmenų diskreciją (galimybes veikti nepagrįstai savo nuožiūra), siūlytume apsvarstyti Aprašo projekto nuostatų tobulinimo tikslingumą, pavyzdžiui: atskleisti, kad trumpos trukmės pažeidimų atveju mažiausia koeficiento reikšmė (0,22) nustatoma </w:t>
            </w:r>
            <w:r w:rsidRPr="00A15A75">
              <w:rPr>
                <w:color w:val="000000" w:themeColor="text1"/>
              </w:rPr>
              <w:lastRenderedPageBreak/>
              <w:t>pažeidimams, kurie truko iki 1 mėn., o didžiausia – kurie truko nuo 11 iki 12 mėn. laikotarpį (kitas reikšmes nustatant proporcingai atsižvelgiant į konkrečią pažeidimo laikotarpio trukmę) ir pan.</w:t>
            </w:r>
          </w:p>
        </w:tc>
        <w:tc>
          <w:tcPr>
            <w:tcW w:w="6379" w:type="dxa"/>
          </w:tcPr>
          <w:p w14:paraId="2D1F3CFE" w14:textId="7059884C" w:rsidR="003D071E" w:rsidRDefault="00E537C3" w:rsidP="009D712D">
            <w:pPr>
              <w:spacing w:before="40"/>
              <w:ind w:firstLine="23"/>
              <w:jc w:val="left"/>
              <w:rPr>
                <w:b/>
                <w:color w:val="auto"/>
              </w:rPr>
            </w:pPr>
            <w:r>
              <w:rPr>
                <w:b/>
                <w:color w:val="auto"/>
              </w:rPr>
              <w:lastRenderedPageBreak/>
              <w:t>Neatsižvelgta.</w:t>
            </w:r>
          </w:p>
          <w:p w14:paraId="392234D6" w14:textId="21223F1E" w:rsidR="00A5788E" w:rsidRDefault="00330FF2" w:rsidP="00A5788E">
            <w:pPr>
              <w:spacing w:before="40"/>
              <w:ind w:firstLine="23"/>
              <w:rPr>
                <w:color w:val="auto"/>
              </w:rPr>
            </w:pPr>
            <w:r>
              <w:rPr>
                <w:color w:val="auto"/>
              </w:rPr>
              <w:t xml:space="preserve">1. </w:t>
            </w:r>
            <w:r w:rsidR="00FB5169">
              <w:rPr>
                <w:color w:val="auto"/>
              </w:rPr>
              <w:t>Pagal</w:t>
            </w:r>
            <w:r w:rsidR="00C246C2" w:rsidRPr="00C246C2">
              <w:rPr>
                <w:color w:val="auto"/>
              </w:rPr>
              <w:t xml:space="preserve"> įstatymą </w:t>
            </w:r>
            <w:r w:rsidR="00FB5169" w:rsidRPr="00FB5169">
              <w:rPr>
                <w:color w:val="auto"/>
              </w:rPr>
              <w:t xml:space="preserve">MPĮNVDĮ </w:t>
            </w:r>
            <w:r w:rsidR="00FB5169">
              <w:rPr>
                <w:color w:val="auto"/>
              </w:rPr>
              <w:t xml:space="preserve">10 straipsnio </w:t>
            </w:r>
            <w:r w:rsidR="00A5788E">
              <w:rPr>
                <w:color w:val="auto"/>
              </w:rPr>
              <w:t xml:space="preserve">7 punkto nuostatas </w:t>
            </w:r>
            <w:r w:rsidR="00C246C2" w:rsidRPr="00C246C2">
              <w:rPr>
                <w:color w:val="auto"/>
              </w:rPr>
              <w:t>K</w:t>
            </w:r>
            <w:r w:rsidR="00A5788E">
              <w:rPr>
                <w:color w:val="auto"/>
              </w:rPr>
              <w:t>onkurencijos tarybos priimamas nutarimas turi būti motyvuotas. Tai yra, skirdami baudą, Konkurencijos taryba savo nutarime turi</w:t>
            </w:r>
            <w:r w:rsidR="00C246C2" w:rsidRPr="00C246C2">
              <w:rPr>
                <w:color w:val="auto"/>
              </w:rPr>
              <w:t xml:space="preserve"> detalizuoti ir motyvuot</w:t>
            </w:r>
            <w:r w:rsidR="00A5788E">
              <w:rPr>
                <w:color w:val="auto"/>
              </w:rPr>
              <w:t>i</w:t>
            </w:r>
            <w:r w:rsidR="00C246C2" w:rsidRPr="00C246C2">
              <w:rPr>
                <w:color w:val="auto"/>
              </w:rPr>
              <w:t xml:space="preserve"> baudos skaičiavimą ir nurodyt į kokias aplinkybes buvo atsižvelgta </w:t>
            </w:r>
            <w:r w:rsidR="00A5788E">
              <w:rPr>
                <w:color w:val="auto"/>
              </w:rPr>
              <w:t xml:space="preserve">ir </w:t>
            </w:r>
            <w:r w:rsidR="00C246C2" w:rsidRPr="00C246C2">
              <w:rPr>
                <w:color w:val="auto"/>
              </w:rPr>
              <w:t>nustatant</w:t>
            </w:r>
            <w:r w:rsidR="00A5788E">
              <w:rPr>
                <w:color w:val="auto"/>
              </w:rPr>
              <w:t xml:space="preserve"> baudos dydį</w:t>
            </w:r>
            <w:r w:rsidR="00C246C2" w:rsidRPr="00C246C2">
              <w:rPr>
                <w:color w:val="auto"/>
              </w:rPr>
              <w:t xml:space="preserve"> parinktas būtent toks koeficientas iš intervalo</w:t>
            </w:r>
            <w:r w:rsidR="00A657B6">
              <w:rPr>
                <w:color w:val="auto"/>
              </w:rPr>
              <w:t>.</w:t>
            </w:r>
          </w:p>
          <w:p w14:paraId="69B0194F" w14:textId="331392CC" w:rsidR="00432679" w:rsidRPr="003D071E" w:rsidRDefault="00432679" w:rsidP="00A5788E">
            <w:pPr>
              <w:spacing w:before="40"/>
              <w:ind w:firstLine="23"/>
              <w:rPr>
                <w:color w:val="auto"/>
              </w:rPr>
            </w:pPr>
          </w:p>
        </w:tc>
      </w:tr>
      <w:tr w:rsidR="003D071E" w:rsidRPr="00C04D1B" w14:paraId="7223F2C2" w14:textId="77777777" w:rsidTr="003D071E">
        <w:trPr>
          <w:trHeight w:val="3690"/>
        </w:trPr>
        <w:tc>
          <w:tcPr>
            <w:tcW w:w="597" w:type="dxa"/>
            <w:vMerge/>
          </w:tcPr>
          <w:p w14:paraId="366694EA" w14:textId="77F57819" w:rsidR="003D071E" w:rsidRDefault="003D071E" w:rsidP="005B032F">
            <w:pPr>
              <w:spacing w:before="40"/>
              <w:ind w:firstLine="0"/>
              <w:jc w:val="center"/>
              <w:rPr>
                <w:color w:val="auto"/>
              </w:rPr>
            </w:pPr>
          </w:p>
        </w:tc>
        <w:tc>
          <w:tcPr>
            <w:tcW w:w="2664" w:type="dxa"/>
            <w:vMerge/>
          </w:tcPr>
          <w:p w14:paraId="186B930D" w14:textId="77777777" w:rsidR="003D071E" w:rsidRDefault="003D071E" w:rsidP="008F4EE5">
            <w:pPr>
              <w:spacing w:before="40" w:after="40"/>
              <w:ind w:firstLine="0"/>
              <w:jc w:val="left"/>
              <w:rPr>
                <w:color w:val="auto"/>
              </w:rPr>
            </w:pPr>
          </w:p>
        </w:tc>
        <w:tc>
          <w:tcPr>
            <w:tcW w:w="5528" w:type="dxa"/>
          </w:tcPr>
          <w:p w14:paraId="38E5BB76" w14:textId="37FD3EBA" w:rsidR="003D071E" w:rsidRPr="009875C0" w:rsidRDefault="003D071E" w:rsidP="009875C0">
            <w:pPr>
              <w:spacing w:before="40" w:after="40"/>
              <w:ind w:firstLine="0"/>
              <w:rPr>
                <w:color w:val="000000" w:themeColor="text1"/>
              </w:rPr>
            </w:pPr>
            <w:r>
              <w:rPr>
                <w:color w:val="000000" w:themeColor="text1"/>
              </w:rPr>
              <w:t xml:space="preserve">2. </w:t>
            </w:r>
            <w:r w:rsidRPr="009875C0">
              <w:rPr>
                <w:color w:val="000000" w:themeColor="text1"/>
              </w:rPr>
              <w:t>Aprašo projektas nekonkretina kaip nustatomi pradiniai ir baziniai baudos dydžiai, todėl apskaičiuojant šiuos dydžius turėtų būti tiesiogiai vadovaujamasi Lietuvos Respublikos mažmeninės prekybos įmonių nesąžiningų veiksmų draudimo įstatymo (toliau – Įstatymas) 12 straipsnio 1 – 3 dalių nuostatomis</w:t>
            </w:r>
            <w:r>
              <w:rPr>
                <w:color w:val="000000" w:themeColor="text1"/>
              </w:rPr>
              <w:t>.</w:t>
            </w:r>
          </w:p>
          <w:p w14:paraId="71F51C7B" w14:textId="0EB8DA90" w:rsidR="003D071E" w:rsidRDefault="003D071E" w:rsidP="00A76434">
            <w:pPr>
              <w:spacing w:before="40" w:after="40"/>
              <w:ind w:firstLine="34"/>
              <w:rPr>
                <w:color w:val="000000" w:themeColor="text1"/>
              </w:rPr>
            </w:pPr>
            <w:r w:rsidRPr="009875C0">
              <w:rPr>
                <w:color w:val="000000" w:themeColor="text1"/>
              </w:rPr>
              <w:t>Siekiant Aprašo projektu numatomo teisinio reglamentavimo nuoseklumo ir teisinio aiškumo (taip pat žiūrėti sekančią pastabą) manytume, kad svarstytina, ar šios Įstatymo nuostatos neturėtų būti inkorporuojamos į Aprašo projektu nustatomą teisinį reglamentavimą.</w:t>
            </w:r>
          </w:p>
        </w:tc>
        <w:tc>
          <w:tcPr>
            <w:tcW w:w="6379" w:type="dxa"/>
          </w:tcPr>
          <w:p w14:paraId="5F33588F" w14:textId="77777777" w:rsidR="003D071E" w:rsidRPr="003D267D" w:rsidRDefault="003D071E" w:rsidP="00A15A75">
            <w:pPr>
              <w:spacing w:before="40"/>
              <w:ind w:firstLine="23"/>
              <w:jc w:val="left"/>
              <w:rPr>
                <w:b/>
                <w:color w:val="auto"/>
              </w:rPr>
            </w:pPr>
            <w:r w:rsidRPr="003D267D">
              <w:rPr>
                <w:b/>
                <w:color w:val="auto"/>
              </w:rPr>
              <w:t>Neatsižvelgta.</w:t>
            </w:r>
          </w:p>
          <w:p w14:paraId="6B0B8586" w14:textId="646A1AEB" w:rsidR="00396452" w:rsidRDefault="003D071E" w:rsidP="0090593D">
            <w:pPr>
              <w:tabs>
                <w:tab w:val="left" w:pos="851"/>
                <w:tab w:val="left" w:pos="1134"/>
              </w:tabs>
              <w:ind w:firstLine="318"/>
              <w:rPr>
                <w:color w:val="auto"/>
              </w:rPr>
            </w:pPr>
            <w:r>
              <w:rPr>
                <w:color w:val="auto"/>
              </w:rPr>
              <w:t>2</w:t>
            </w:r>
            <w:r w:rsidRPr="0090593D">
              <w:rPr>
                <w:color w:val="auto"/>
              </w:rPr>
              <w:t>.</w:t>
            </w:r>
            <w:r w:rsidR="0090593D" w:rsidRPr="0090593D">
              <w:rPr>
                <w:color w:val="auto"/>
              </w:rPr>
              <w:t xml:space="preserve"> </w:t>
            </w:r>
            <w:r w:rsidR="00FC4BCA">
              <w:rPr>
                <w:color w:val="auto"/>
              </w:rPr>
              <w:t xml:space="preserve">Pradinio baudos dydžio </w:t>
            </w:r>
            <w:r w:rsidR="00987684">
              <w:rPr>
                <w:color w:val="auto"/>
              </w:rPr>
              <w:t>nustatymą reglamentuoja MPĮNVDĮ 12 straipsnio 2 dalies 1 punktas ir 12 straipsnio 3</w:t>
            </w:r>
            <w:r w:rsidR="00987684" w:rsidRPr="00987684">
              <w:rPr>
                <w:color w:val="auto"/>
              </w:rPr>
              <w:t xml:space="preserve"> dalies 1 punktas</w:t>
            </w:r>
            <w:r w:rsidR="00396452">
              <w:rPr>
                <w:color w:val="auto"/>
              </w:rPr>
              <w:t>.</w:t>
            </w:r>
            <w:r w:rsidR="00031972">
              <w:t xml:space="preserve"> </w:t>
            </w:r>
            <w:r w:rsidR="00031972">
              <w:rPr>
                <w:color w:val="auto"/>
              </w:rPr>
              <w:t>B</w:t>
            </w:r>
            <w:r w:rsidR="00031972" w:rsidRPr="00031972">
              <w:rPr>
                <w:color w:val="auto"/>
              </w:rPr>
              <w:t>a</w:t>
            </w:r>
            <w:r w:rsidR="00031972">
              <w:rPr>
                <w:color w:val="auto"/>
              </w:rPr>
              <w:t xml:space="preserve">zinio baudos dydžio nustatymą reglamentuoja </w:t>
            </w:r>
            <w:r w:rsidR="00031972" w:rsidRPr="00031972">
              <w:rPr>
                <w:color w:val="auto"/>
              </w:rPr>
              <w:t>MPĮNVDĮ 12 straipsnio 2 dalies 2 punktas ir 12</w:t>
            </w:r>
            <w:r w:rsidR="00031972">
              <w:rPr>
                <w:color w:val="auto"/>
              </w:rPr>
              <w:t xml:space="preserve"> straipsnio 3 dalies 3 punktas, o detalizuoja Aprašo </w:t>
            </w:r>
            <w:r w:rsidR="009F5507">
              <w:rPr>
                <w:color w:val="auto"/>
              </w:rPr>
              <w:t>7-10 punktai.</w:t>
            </w:r>
            <w:r w:rsidR="00396452">
              <w:rPr>
                <w:color w:val="auto"/>
              </w:rPr>
              <w:t xml:space="preserve"> Aprašo 1 punkt</w:t>
            </w:r>
            <w:r w:rsidR="00031972">
              <w:rPr>
                <w:color w:val="auto"/>
              </w:rPr>
              <w:t>e įkelta nuoroda į MPĮNVDĮ 12 straipsnį, kuriuo vadovaujantis nustatomas baudos dy</w:t>
            </w:r>
            <w:r w:rsidR="009F5507">
              <w:rPr>
                <w:color w:val="auto"/>
              </w:rPr>
              <w:t xml:space="preserve">dis, apimamtis tiek pradinio baudos, tiek bazinio baudos dydžių nustatymą. Manytina, </w:t>
            </w:r>
            <w:r w:rsidR="004974E1">
              <w:rPr>
                <w:color w:val="auto"/>
              </w:rPr>
              <w:t xml:space="preserve">siekiant išvengti </w:t>
            </w:r>
            <w:r w:rsidR="004974E1" w:rsidRPr="004974E1">
              <w:rPr>
                <w:color w:val="auto"/>
              </w:rPr>
              <w:t>MPĮNVDĮ</w:t>
            </w:r>
            <w:r w:rsidR="004974E1">
              <w:rPr>
                <w:color w:val="auto"/>
              </w:rPr>
              <w:t xml:space="preserve"> nuostatų perrašymo į poįstatyminį teisės aktą, </w:t>
            </w:r>
            <w:r w:rsidR="009F5507" w:rsidRPr="009F5507">
              <w:rPr>
                <w:color w:val="auto"/>
              </w:rPr>
              <w:t>MPĮNVDĮ 12 straipsnio</w:t>
            </w:r>
            <w:r w:rsidR="009F5507">
              <w:rPr>
                <w:color w:val="auto"/>
              </w:rPr>
              <w:t xml:space="preserve"> </w:t>
            </w:r>
            <w:r w:rsidR="009F5507" w:rsidRPr="009F5507">
              <w:rPr>
                <w:color w:val="auto"/>
              </w:rPr>
              <w:t xml:space="preserve">1 – 3 </w:t>
            </w:r>
            <w:r w:rsidR="009F5507">
              <w:rPr>
                <w:color w:val="auto"/>
              </w:rPr>
              <w:t>dalių nuostatų inkorporavimas į A</w:t>
            </w:r>
            <w:r w:rsidR="004974E1">
              <w:rPr>
                <w:color w:val="auto"/>
              </w:rPr>
              <w:t>prašą yra netikslingas.</w:t>
            </w:r>
          </w:p>
          <w:p w14:paraId="635294D1" w14:textId="559794BF" w:rsidR="003D071E" w:rsidRPr="003D071E" w:rsidRDefault="003D071E" w:rsidP="009D712D">
            <w:pPr>
              <w:spacing w:before="40"/>
              <w:ind w:firstLine="23"/>
              <w:jc w:val="left"/>
              <w:rPr>
                <w:color w:val="auto"/>
              </w:rPr>
            </w:pPr>
          </w:p>
        </w:tc>
      </w:tr>
      <w:tr w:rsidR="003D071E" w:rsidRPr="00C04D1B" w14:paraId="49488225" w14:textId="77777777" w:rsidTr="003D071E">
        <w:trPr>
          <w:trHeight w:val="319"/>
        </w:trPr>
        <w:tc>
          <w:tcPr>
            <w:tcW w:w="597" w:type="dxa"/>
            <w:vMerge/>
          </w:tcPr>
          <w:p w14:paraId="1121515D" w14:textId="77777777" w:rsidR="003D071E" w:rsidRDefault="003D071E" w:rsidP="005B032F">
            <w:pPr>
              <w:spacing w:before="40"/>
              <w:ind w:firstLine="0"/>
              <w:jc w:val="center"/>
              <w:rPr>
                <w:color w:val="auto"/>
              </w:rPr>
            </w:pPr>
          </w:p>
        </w:tc>
        <w:tc>
          <w:tcPr>
            <w:tcW w:w="2664" w:type="dxa"/>
            <w:vMerge/>
          </w:tcPr>
          <w:p w14:paraId="463B26E4" w14:textId="77777777" w:rsidR="003D071E" w:rsidRDefault="003D071E" w:rsidP="008F4EE5">
            <w:pPr>
              <w:spacing w:before="40" w:after="40"/>
              <w:ind w:firstLine="0"/>
              <w:jc w:val="left"/>
              <w:rPr>
                <w:color w:val="auto"/>
              </w:rPr>
            </w:pPr>
          </w:p>
        </w:tc>
        <w:tc>
          <w:tcPr>
            <w:tcW w:w="5528" w:type="dxa"/>
            <w:tcBorders>
              <w:bottom w:val="single" w:sz="4" w:space="0" w:color="auto"/>
            </w:tcBorders>
          </w:tcPr>
          <w:p w14:paraId="2CA2AA2A" w14:textId="77777777" w:rsidR="00A76434" w:rsidRPr="00A76434" w:rsidRDefault="003D071E" w:rsidP="00A76434">
            <w:pPr>
              <w:ind w:firstLine="0"/>
              <w:rPr>
                <w:rFonts w:eastAsia="Calibri"/>
                <w:color w:val="auto"/>
              </w:rPr>
            </w:pPr>
            <w:r w:rsidRPr="00A76434">
              <w:rPr>
                <w:color w:val="000000" w:themeColor="text1"/>
              </w:rPr>
              <w:t xml:space="preserve">3. </w:t>
            </w:r>
            <w:r w:rsidR="00A76434" w:rsidRPr="00A76434">
              <w:rPr>
                <w:iCs/>
                <w:color w:val="auto"/>
                <w:lang w:eastAsia="ar-SA"/>
              </w:rPr>
              <w:t>Atkreipiame dėmesį, kad Aprašo projektu numatomas teisinis reglamentavimas yra reikšmingas įgyvendinant Įs</w:t>
            </w:r>
            <w:r w:rsidR="00A76434" w:rsidRPr="00A76434">
              <w:rPr>
                <w:rFonts w:eastAsia="Calibri"/>
                <w:color w:val="auto"/>
              </w:rPr>
              <w:t xml:space="preserve">tatymo 12 straipsnio 2 dalies 3 punkto nuostatas, nustatančias, kad apskaičiuojant baudą (už Įstatymo 3 straipsnio 1, 2 ir 3 dalyse nurodytus draudžiamus nesąžiningus veiksmus) „bazinis baudos dydis </w:t>
            </w:r>
            <w:r w:rsidR="00A76434" w:rsidRPr="00A76434">
              <w:rPr>
                <w:rFonts w:eastAsia="Calibri"/>
                <w:i/>
                <w:iCs/>
                <w:color w:val="auto"/>
              </w:rPr>
              <w:t>didinamas arba mažinamas iki 50 procentų, atsižvelgiant į lengvinančias ir sunkinančias aplinkybes.</w:t>
            </w:r>
            <w:r w:rsidR="00A76434" w:rsidRPr="00A76434">
              <w:rPr>
                <w:rFonts w:eastAsia="Calibri"/>
                <w:color w:val="auto"/>
              </w:rPr>
              <w:t xml:space="preserve"> </w:t>
            </w:r>
            <w:r w:rsidR="00A76434" w:rsidRPr="00A76434">
              <w:rPr>
                <w:rFonts w:eastAsia="Calibri"/>
                <w:color w:val="auto"/>
                <w:u w:val="single"/>
              </w:rPr>
              <w:t xml:space="preserve">Nustačius sunkinančią aplinkybę – </w:t>
            </w:r>
            <w:r w:rsidR="00A76434" w:rsidRPr="00A76434">
              <w:rPr>
                <w:rFonts w:eastAsia="Calibri"/>
                <w:i/>
                <w:iCs/>
                <w:color w:val="auto"/>
                <w:u w:val="single"/>
              </w:rPr>
              <w:t xml:space="preserve">mažmeninės prekybos įmonė per metus nuo šiame įstatyme nustatytos baudos paskyrimo pakartotinai padaro tokį pat pažeidimą – bazinis baudos dydis </w:t>
            </w:r>
            <w:r w:rsidR="00A76434" w:rsidRPr="00A76434">
              <w:rPr>
                <w:rFonts w:eastAsia="Calibri"/>
                <w:i/>
                <w:iCs/>
                <w:color w:val="auto"/>
                <w:u w:val="single"/>
              </w:rPr>
              <w:lastRenderedPageBreak/>
              <w:t>didinamas iki 100 procentų</w:t>
            </w:r>
            <w:r w:rsidR="00A76434" w:rsidRPr="00A76434">
              <w:rPr>
                <w:rFonts w:eastAsia="Calibri"/>
                <w:i/>
                <w:iCs/>
                <w:color w:val="auto"/>
              </w:rPr>
              <w:t>“.</w:t>
            </w:r>
          </w:p>
          <w:p w14:paraId="7766CED1" w14:textId="77777777" w:rsidR="00A76434" w:rsidRPr="00A76434" w:rsidRDefault="00A76434" w:rsidP="00A76434">
            <w:pPr>
              <w:ind w:firstLine="34"/>
              <w:contextualSpacing/>
              <w:rPr>
                <w:rFonts w:eastAsia="Calibri"/>
                <w:noProof w:val="0"/>
                <w:color w:val="auto"/>
                <w:lang w:eastAsia="en-US"/>
              </w:rPr>
            </w:pPr>
            <w:r w:rsidRPr="00A76434">
              <w:rPr>
                <w:rFonts w:eastAsia="Calibri"/>
                <w:noProof w:val="0"/>
                <w:color w:val="auto"/>
                <w:lang w:eastAsia="en-US"/>
              </w:rPr>
              <w:t>Specialiųjų tyrimų tarnybos nuomone, minėtos Įstatymo nuostatos gali būti suvokiamos ir taikomos dviprasmiškai</w:t>
            </w:r>
            <w:r w:rsidRPr="00A76434">
              <w:rPr>
                <w:rFonts w:eastAsia="Calibri"/>
                <w:noProof w:val="0"/>
                <w:color w:val="auto"/>
                <w:vertAlign w:val="superscript"/>
                <w:lang w:eastAsia="en-US"/>
              </w:rPr>
              <w:footnoteReference w:id="2"/>
            </w:r>
            <w:r w:rsidRPr="00A76434">
              <w:rPr>
                <w:rFonts w:eastAsia="Calibri"/>
                <w:noProof w:val="0"/>
                <w:color w:val="auto"/>
                <w:lang w:eastAsia="en-US"/>
              </w:rPr>
              <w:t>, kadangi:</w:t>
            </w:r>
          </w:p>
          <w:p w14:paraId="3E1925A8" w14:textId="77777777" w:rsidR="00A76434" w:rsidRPr="00A76434" w:rsidRDefault="00A76434" w:rsidP="00A76434">
            <w:pPr>
              <w:numPr>
                <w:ilvl w:val="0"/>
                <w:numId w:val="11"/>
              </w:numPr>
              <w:suppressAutoHyphens/>
              <w:ind w:left="0" w:firstLine="34"/>
              <w:contextualSpacing/>
              <w:rPr>
                <w:rFonts w:eastAsia="Calibri"/>
                <w:noProof w:val="0"/>
                <w:color w:val="auto"/>
                <w:lang w:eastAsia="en-US"/>
              </w:rPr>
            </w:pPr>
            <w:r w:rsidRPr="00A76434">
              <w:rPr>
                <w:rFonts w:eastAsia="Calibri"/>
                <w:noProof w:val="0"/>
                <w:color w:val="auto"/>
                <w:lang w:eastAsia="en-US"/>
              </w:rPr>
              <w:t>lieka neaišku, ar atvejais, kada mažmeninės prekybos įmonė per metus nuo šiame įstatyme nustatytos baudos paskyrimo pakartotinai padaro tokį pat pažeidimą, turėtų būti vadovaujamasi tik antro sakinio nuostatomis (t y bazinis baudos dydis turėtų būti didinamas iki 100 procentų), ar turėtų būti vadovaujamasi ir pirmojo sakinio nuostatomis, reikalaujančiomis atsižvelgti į kitas lengvinančias ir sunkinančias aplinkybes;</w:t>
            </w:r>
          </w:p>
          <w:p w14:paraId="65C67013" w14:textId="019CBA97" w:rsidR="00A76434" w:rsidRPr="00A76434" w:rsidRDefault="00A76434" w:rsidP="00A76434">
            <w:pPr>
              <w:numPr>
                <w:ilvl w:val="0"/>
                <w:numId w:val="11"/>
              </w:numPr>
              <w:suppressAutoHyphens/>
              <w:ind w:left="0" w:firstLine="34"/>
              <w:contextualSpacing/>
              <w:rPr>
                <w:rFonts w:eastAsia="Calibri"/>
                <w:noProof w:val="0"/>
                <w:color w:val="auto"/>
                <w:lang w:eastAsia="en-US"/>
              </w:rPr>
            </w:pPr>
            <w:r w:rsidRPr="00A76434">
              <w:rPr>
                <w:rFonts w:eastAsia="Calibri"/>
                <w:noProof w:val="0"/>
                <w:color w:val="auto"/>
                <w:lang w:eastAsia="en-US"/>
              </w:rPr>
              <w:t>pagal Įstatymo 12 straipsnio 8 dalies nuostatas pakartotinis pažeidimo padarymas yra atsakomybę sunkinanti aplinkybė, todėl atsižvelgiant į šią aplinkybę ir nustatant bazinį baudos dydį gali būti vadovaujamasi tiek pirmojo (realizuojant galimybę baudos dydį didinti iki 50 proc.), tiek ir antrojo sakinio (realizuojant galimybę baudos dydį didinti iki 100 proc.) nuostatomis ir kt.</w:t>
            </w:r>
          </w:p>
          <w:p w14:paraId="664FC4F4" w14:textId="7FC7BCCB" w:rsidR="003D071E" w:rsidRDefault="003D071E" w:rsidP="00A76434">
            <w:pPr>
              <w:spacing w:before="40" w:after="40"/>
              <w:ind w:firstLine="34"/>
              <w:rPr>
                <w:color w:val="000000" w:themeColor="text1"/>
              </w:rPr>
            </w:pPr>
          </w:p>
        </w:tc>
        <w:tc>
          <w:tcPr>
            <w:tcW w:w="6379" w:type="dxa"/>
            <w:tcBorders>
              <w:bottom w:val="single" w:sz="4" w:space="0" w:color="auto"/>
            </w:tcBorders>
          </w:tcPr>
          <w:p w14:paraId="0D61033C" w14:textId="0C1BDC74" w:rsidR="003D071E" w:rsidRDefault="00FD2394" w:rsidP="009D712D">
            <w:pPr>
              <w:spacing w:before="40"/>
              <w:ind w:firstLine="23"/>
              <w:jc w:val="left"/>
              <w:rPr>
                <w:b/>
                <w:color w:val="auto"/>
              </w:rPr>
            </w:pPr>
            <w:r>
              <w:rPr>
                <w:b/>
                <w:color w:val="auto"/>
              </w:rPr>
              <w:lastRenderedPageBreak/>
              <w:t>Neatsiž</w:t>
            </w:r>
            <w:r w:rsidR="00A950C8">
              <w:rPr>
                <w:b/>
                <w:color w:val="auto"/>
              </w:rPr>
              <w:t>velgta.</w:t>
            </w:r>
          </w:p>
          <w:p w14:paraId="22D5A604" w14:textId="77777777" w:rsidR="00920CC2" w:rsidRDefault="00E920E2" w:rsidP="00016438">
            <w:pPr>
              <w:spacing w:before="40"/>
              <w:ind w:firstLine="23"/>
              <w:rPr>
                <w:color w:val="auto"/>
              </w:rPr>
            </w:pPr>
            <w:r w:rsidRPr="00E920E2">
              <w:rPr>
                <w:color w:val="auto"/>
              </w:rPr>
              <w:t>3.</w:t>
            </w:r>
            <w:r w:rsidR="00145322">
              <w:rPr>
                <w:color w:val="auto"/>
              </w:rPr>
              <w:t xml:space="preserve"> </w:t>
            </w:r>
            <w:r w:rsidR="00FE5A21" w:rsidRPr="00FE5A21">
              <w:rPr>
                <w:color w:val="auto"/>
              </w:rPr>
              <w:t>MPĮNVDĮ 12 straipsnio 2 dalies 3 punktas nustato bendrąją ir specialiąj</w:t>
            </w:r>
            <w:r w:rsidR="00FE5A21">
              <w:rPr>
                <w:color w:val="auto"/>
              </w:rPr>
              <w:t xml:space="preserve">ą baudos nustatymo taisykles: </w:t>
            </w:r>
          </w:p>
          <w:p w14:paraId="5D010FED" w14:textId="578348DE" w:rsidR="00920CC2" w:rsidRDefault="00920CC2" w:rsidP="00016438">
            <w:pPr>
              <w:spacing w:before="40"/>
              <w:ind w:firstLine="23"/>
              <w:rPr>
                <w:color w:val="auto"/>
              </w:rPr>
            </w:pPr>
            <w:r>
              <w:rPr>
                <w:color w:val="auto"/>
              </w:rPr>
              <w:t>a)</w:t>
            </w:r>
            <w:r w:rsidR="00FE5A21" w:rsidRPr="00FE5A21">
              <w:rPr>
                <w:color w:val="auto"/>
              </w:rPr>
              <w:t xml:space="preserve"> pagal bendrąją taisyklę (MPĮNVDĮ 12 straipsnio 2 dalies 3 punkto pirmasis sakinys) bazinis baudos dydis gali būti didinamas arba mažinamas iki 50 procentų, atsižvelgiant į lengvinančias ir sunkinančias aplinkybes. </w:t>
            </w:r>
          </w:p>
          <w:p w14:paraId="7A9CFC1E" w14:textId="31C7E016" w:rsidR="00FE5A21" w:rsidRDefault="00920CC2" w:rsidP="00016438">
            <w:pPr>
              <w:spacing w:before="40"/>
              <w:ind w:firstLine="23"/>
              <w:rPr>
                <w:color w:val="auto"/>
              </w:rPr>
            </w:pPr>
            <w:r>
              <w:rPr>
                <w:color w:val="auto"/>
              </w:rPr>
              <w:t>b)</w:t>
            </w:r>
            <w:r w:rsidR="00FE5A21">
              <w:rPr>
                <w:color w:val="auto"/>
              </w:rPr>
              <w:t xml:space="preserve"> </w:t>
            </w:r>
            <w:r>
              <w:rPr>
                <w:color w:val="auto"/>
              </w:rPr>
              <w:t>p</w:t>
            </w:r>
            <w:r w:rsidR="00FE5A21" w:rsidRPr="00FE5A21">
              <w:rPr>
                <w:color w:val="auto"/>
              </w:rPr>
              <w:t>agal specialiąją taisyklę (MPĮNVDĮ 12 straipsnio 2 dalies 3 punkto antrasis sakinys) – nustačius sunkinančią aplinkybę – mažmeninės prekybos įmonė per metus nuo šiame įstatyme nustatytos baudos paskyrimo pakartotinai padaro tokį pat pažeidimą – bazinis baudos dydis didinamas iki 100 procentų.</w:t>
            </w:r>
          </w:p>
          <w:p w14:paraId="382F9768" w14:textId="7EC3AA7E" w:rsidR="003B65B8" w:rsidRPr="003B65B8" w:rsidRDefault="003B65B8" w:rsidP="003B65B8">
            <w:pPr>
              <w:spacing w:before="40"/>
              <w:ind w:firstLine="23"/>
              <w:rPr>
                <w:color w:val="auto"/>
              </w:rPr>
            </w:pPr>
            <w:r w:rsidRPr="003B65B8">
              <w:rPr>
                <w:color w:val="auto"/>
              </w:rPr>
              <w:lastRenderedPageBreak/>
              <w:t>Pr</w:t>
            </w:r>
            <w:r w:rsidR="00896C2B">
              <w:rPr>
                <w:color w:val="auto"/>
              </w:rPr>
              <w:t>ojekto rengėjų nuomone, bendroj</w:t>
            </w:r>
            <w:bookmarkStart w:id="1" w:name="_GoBack"/>
            <w:bookmarkEnd w:id="1"/>
            <w:r w:rsidR="00896C2B">
              <w:rPr>
                <w:color w:val="auto"/>
              </w:rPr>
              <w:t>i</w:t>
            </w:r>
            <w:r w:rsidRPr="003B65B8">
              <w:rPr>
                <w:color w:val="auto"/>
              </w:rPr>
              <w:t xml:space="preserve"> taisyklė turėtų būti taikoma tik tais atvejais, kada n</w:t>
            </w:r>
            <w:r w:rsidR="00D33F7C">
              <w:rPr>
                <w:color w:val="auto"/>
              </w:rPr>
              <w:t xml:space="preserve">ėra sunkinančios aplinkybės – </w:t>
            </w:r>
            <w:r w:rsidR="005D33CE">
              <w:rPr>
                <w:color w:val="auto"/>
              </w:rPr>
              <w:t xml:space="preserve">pakartotinumo, </w:t>
            </w:r>
            <w:r w:rsidR="00D33F7C">
              <w:rPr>
                <w:color w:val="auto"/>
              </w:rPr>
              <w:t>tai yra</w:t>
            </w:r>
            <w:r w:rsidRPr="003B65B8">
              <w:rPr>
                <w:color w:val="auto"/>
              </w:rPr>
              <w:t xml:space="preserve"> mažmeninės prekybos įmonė per metus nuo šiame įstatyme nustatytos baudos paskyrimo pakartotinai nepadaro tokio pačio pažeidimo. Tais atvejais, kada padaromas pakartotinis pažeidimas, nustatant baudos dydį taip pat turėtų būti vertinamos sunkinančios</w:t>
            </w:r>
            <w:r w:rsidR="00D33F7C">
              <w:rPr>
                <w:color w:val="auto"/>
              </w:rPr>
              <w:t xml:space="preserve"> ir lengvinančios aplinkybės (tai</w:t>
            </w:r>
            <w:r w:rsidRPr="003B65B8">
              <w:rPr>
                <w:color w:val="auto"/>
              </w:rPr>
              <w:t xml:space="preserve"> </w:t>
            </w:r>
            <w:r w:rsidR="00D33F7C">
              <w:rPr>
                <w:color w:val="auto"/>
              </w:rPr>
              <w:t>yra</w:t>
            </w:r>
            <w:r w:rsidRPr="003B65B8">
              <w:rPr>
                <w:color w:val="auto"/>
              </w:rPr>
              <w:t xml:space="preserve"> vadovaujamasi bendrosios taisyklės nuostatomis nustatytu principu), tačiau baudos dydis tokiais atvejais galėtų būti didinamas i</w:t>
            </w:r>
            <w:r w:rsidR="00D33F7C">
              <w:rPr>
                <w:color w:val="auto"/>
              </w:rPr>
              <w:t>ki 100 pro</w:t>
            </w:r>
            <w:r w:rsidR="00C86F1A">
              <w:rPr>
                <w:color w:val="auto"/>
              </w:rPr>
              <w:t>centų. N</w:t>
            </w:r>
            <w:r w:rsidRPr="003B65B8">
              <w:rPr>
                <w:color w:val="auto"/>
              </w:rPr>
              <w:t>ustatant baudos dydį pakartotinumas turėtų r</w:t>
            </w:r>
            <w:r w:rsidR="00C86F1A">
              <w:rPr>
                <w:color w:val="auto"/>
              </w:rPr>
              <w:t xml:space="preserve">eikšmės tik baudos padidinimui </w:t>
            </w:r>
            <w:r w:rsidRPr="003B65B8">
              <w:rPr>
                <w:color w:val="auto"/>
              </w:rPr>
              <w:t>ne iki 50, bet i</w:t>
            </w:r>
            <w:r w:rsidR="00C86F1A">
              <w:rPr>
                <w:color w:val="auto"/>
              </w:rPr>
              <w:t>ki 100 procentų</w:t>
            </w:r>
            <w:r w:rsidR="00D33F7C">
              <w:rPr>
                <w:color w:val="auto"/>
              </w:rPr>
              <w:t>.</w:t>
            </w:r>
          </w:p>
          <w:p w14:paraId="750C7FD8" w14:textId="6C76D6DC" w:rsidR="00920CC2" w:rsidRDefault="00920CC2" w:rsidP="003B65B8">
            <w:pPr>
              <w:spacing w:before="40"/>
              <w:ind w:firstLine="23"/>
              <w:rPr>
                <w:color w:val="auto"/>
              </w:rPr>
            </w:pPr>
            <w:r w:rsidRPr="00920CC2">
              <w:rPr>
                <w:color w:val="auto"/>
              </w:rPr>
              <w:t>Svarbu paminėti, kad siekiant įgyvendinti reguliavimą, susijusį su nesąžiningos prekybos praktikos veiksmų draudimu, ir atlikti MPĮNVDĮ taikymo peržiūrą, bus atliekamas teisinio reguliavimo poveikio ex post vertinimas, kuris įgyvendinamas per MPĮNVDĮ 15 straipsnyje numatytą pareigą Konkurencijos tarybai teikti metines ataskaitas, kuriose pateikiama informacija apie gautus skundus, atliktus tyrimus, jų santrauką ir rezultatus.</w:t>
            </w:r>
          </w:p>
          <w:p w14:paraId="11955F82" w14:textId="1A6559C1" w:rsidR="000C20EE" w:rsidRDefault="00A950C8" w:rsidP="003B65B8">
            <w:pPr>
              <w:spacing w:before="40"/>
              <w:ind w:firstLine="23"/>
              <w:rPr>
                <w:color w:val="auto"/>
              </w:rPr>
            </w:pPr>
            <w:r w:rsidRPr="001632C7">
              <w:rPr>
                <w:color w:val="auto"/>
              </w:rPr>
              <w:t xml:space="preserve">Atliekant MPĮNVDĮ taikymo peržiūrą bus </w:t>
            </w:r>
            <w:r w:rsidR="008F1E10" w:rsidRPr="001632C7">
              <w:rPr>
                <w:color w:val="auto"/>
              </w:rPr>
              <w:t>per</w:t>
            </w:r>
            <w:r w:rsidR="00D52017" w:rsidRPr="001632C7">
              <w:rPr>
                <w:color w:val="auto"/>
              </w:rPr>
              <w:t>žiūrėta</w:t>
            </w:r>
            <w:r w:rsidR="008F1E10" w:rsidRPr="001632C7">
              <w:rPr>
                <w:color w:val="auto"/>
              </w:rPr>
              <w:t xml:space="preserve">s ir MPĮNVDĮ nuostatų dėl lengvinančių ir sunkinančių </w:t>
            </w:r>
            <w:r w:rsidR="00AC6329" w:rsidRPr="001632C7">
              <w:rPr>
                <w:color w:val="auto"/>
              </w:rPr>
              <w:t xml:space="preserve">aplinkybių </w:t>
            </w:r>
            <w:r w:rsidR="00041028" w:rsidRPr="001632C7">
              <w:rPr>
                <w:color w:val="auto"/>
              </w:rPr>
              <w:t>reglamentavimas.</w:t>
            </w:r>
          </w:p>
          <w:p w14:paraId="1D43B376" w14:textId="52599397" w:rsidR="00920CC2" w:rsidRPr="00E920E2" w:rsidRDefault="00920CC2" w:rsidP="003B65B8">
            <w:pPr>
              <w:spacing w:before="40"/>
              <w:ind w:firstLine="23"/>
              <w:rPr>
                <w:color w:val="auto"/>
              </w:rPr>
            </w:pPr>
          </w:p>
        </w:tc>
      </w:tr>
    </w:tbl>
    <w:p w14:paraId="20FC8724" w14:textId="460721EA" w:rsidR="00BC095F" w:rsidRDefault="00A42557" w:rsidP="00A42557">
      <w:pPr>
        <w:ind w:firstLine="0"/>
        <w:jc w:val="center"/>
        <w:rPr>
          <w:color w:val="auto"/>
        </w:rPr>
      </w:pPr>
      <w:r>
        <w:rPr>
          <w:color w:val="auto"/>
        </w:rPr>
        <w:lastRenderedPageBreak/>
        <w:t>_______________________</w:t>
      </w:r>
      <w:r w:rsidR="002431F2">
        <w:rPr>
          <w:color w:val="auto"/>
        </w:rPr>
        <w:t>__</w:t>
      </w:r>
    </w:p>
    <w:p w14:paraId="2FDCD317" w14:textId="77777777" w:rsidR="003B65B8" w:rsidRPr="00A42557" w:rsidRDefault="003B65B8" w:rsidP="00A42557">
      <w:pPr>
        <w:ind w:firstLine="0"/>
        <w:jc w:val="center"/>
        <w:rPr>
          <w:color w:val="auto"/>
        </w:rPr>
      </w:pPr>
    </w:p>
    <w:sectPr w:rsidR="003B65B8" w:rsidRPr="00A42557" w:rsidSect="00795F21">
      <w:headerReference w:type="default" r:id="rId9"/>
      <w:pgSz w:w="16838" w:h="11906" w:orient="landscape"/>
      <w:pgMar w:top="1008" w:right="734" w:bottom="720" w:left="1411" w:header="562" w:footer="562"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6DDA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4B66" w16cex:dateUtc="2021-10-19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8882BC" w16cid:durableId="25194B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81EA6" w14:textId="77777777" w:rsidR="00A04D3A" w:rsidRDefault="00A04D3A" w:rsidP="000639AC">
      <w:r>
        <w:separator/>
      </w:r>
    </w:p>
  </w:endnote>
  <w:endnote w:type="continuationSeparator" w:id="0">
    <w:p w14:paraId="623FE3A7" w14:textId="77777777" w:rsidR="00A04D3A" w:rsidRDefault="00A04D3A" w:rsidP="0006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2E7A1" w14:textId="77777777" w:rsidR="00A04D3A" w:rsidRDefault="00A04D3A" w:rsidP="000639AC">
      <w:r>
        <w:separator/>
      </w:r>
    </w:p>
  </w:footnote>
  <w:footnote w:type="continuationSeparator" w:id="0">
    <w:p w14:paraId="43F2698A" w14:textId="77777777" w:rsidR="00A04D3A" w:rsidRDefault="00A04D3A" w:rsidP="000639AC">
      <w:r>
        <w:continuationSeparator/>
      </w:r>
    </w:p>
  </w:footnote>
  <w:footnote w:id="1">
    <w:p w14:paraId="4BF9758E" w14:textId="77777777" w:rsidR="009D712D" w:rsidRDefault="009D712D" w:rsidP="009D712D">
      <w:pPr>
        <w:pStyle w:val="FootnoteText"/>
      </w:pPr>
      <w:r>
        <w:rPr>
          <w:rStyle w:val="FootnoteReference"/>
        </w:rPr>
        <w:footnoteRef/>
      </w:r>
      <w:r>
        <w:t xml:space="preserve"> </w:t>
      </w:r>
      <w:r w:rsidRPr="00782F0B">
        <w:t>Konkurencijos tarybos nutarimai</w:t>
      </w:r>
      <w:r>
        <w:t xml:space="preserve"> (</w:t>
      </w:r>
      <w:hyperlink r:id="rId1" w:history="1">
        <w:r w:rsidRPr="00025A65">
          <w:rPr>
            <w:rStyle w:val="Hyperlink"/>
          </w:rPr>
          <w:t>http://kt.gov.lt/lt/dokumentai/mazmenine-prekyba</w:t>
        </w:r>
      </w:hyperlink>
      <w:r>
        <w:rPr>
          <w:rStyle w:val="Hyperlink"/>
          <w:rFonts w:eastAsiaTheme="majorEastAsia"/>
        </w:rPr>
        <w:t>)</w:t>
      </w:r>
    </w:p>
  </w:footnote>
  <w:footnote w:id="2">
    <w:p w14:paraId="08C68523" w14:textId="77777777" w:rsidR="00A76434" w:rsidRDefault="00A76434" w:rsidP="00A76434">
      <w:pPr>
        <w:pStyle w:val="FootnoteText"/>
        <w:jc w:val="both"/>
      </w:pPr>
      <w:r>
        <w:rPr>
          <w:rStyle w:val="FootnoteReference"/>
        </w:rPr>
        <w:footnoteRef/>
      </w:r>
      <w:r>
        <w:t xml:space="preserve"> Šią nuomonę patvirtina ir </w:t>
      </w:r>
      <w:r w:rsidRPr="00EE3D13">
        <w:t>Baudų už Lietuvos Respublikos mažmeninės prekybos įmonių nesąžiningų veiksmų draudimo įstatymo pažeidimus skyrimo tvarkos aprašo projekt</w:t>
      </w:r>
      <w:r>
        <w:t>o derinimo pažymoje (2 klausimas) dėl minėtų įstatymo nuostatų taikymo pateiktos skirtingos Lietuvos Respublikos konkurencijos tarybos ir Ekonomikos ir inovacijų ministerijos nuomonės.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5071"/>
      <w:docPartObj>
        <w:docPartGallery w:val="Page Numbers (Top of Page)"/>
        <w:docPartUnique/>
      </w:docPartObj>
    </w:sdtPr>
    <w:sdtEndPr>
      <w:rPr>
        <w:color w:val="auto"/>
        <w:sz w:val="22"/>
        <w:szCs w:val="22"/>
      </w:rPr>
    </w:sdtEndPr>
    <w:sdtContent>
      <w:p w14:paraId="132773BE" w14:textId="3703F3C6" w:rsidR="00EE065F" w:rsidRPr="00EE065F" w:rsidRDefault="00EE065F">
        <w:pPr>
          <w:pStyle w:val="Header"/>
          <w:jc w:val="center"/>
          <w:rPr>
            <w:color w:val="auto"/>
            <w:sz w:val="22"/>
            <w:szCs w:val="22"/>
          </w:rPr>
        </w:pPr>
        <w:r w:rsidRPr="00D058BA">
          <w:rPr>
            <w:color w:val="auto"/>
          </w:rPr>
          <w:fldChar w:fldCharType="begin"/>
        </w:r>
        <w:r w:rsidRPr="00D058BA">
          <w:rPr>
            <w:color w:val="auto"/>
          </w:rPr>
          <w:instrText xml:space="preserve"> PAGE   \* MERGEFORMAT </w:instrText>
        </w:r>
        <w:r w:rsidRPr="00D058BA">
          <w:rPr>
            <w:color w:val="auto"/>
          </w:rPr>
          <w:fldChar w:fldCharType="separate"/>
        </w:r>
        <w:r w:rsidR="006B0B62">
          <w:rPr>
            <w:color w:val="auto"/>
          </w:rPr>
          <w:t>4</w:t>
        </w:r>
        <w:r w:rsidRPr="00D058BA">
          <w:rPr>
            <w:color w:val="auto"/>
          </w:rPr>
          <w:fldChar w:fldCharType="end"/>
        </w:r>
      </w:p>
    </w:sdtContent>
  </w:sdt>
  <w:p w14:paraId="6B9002C8" w14:textId="77777777" w:rsidR="000639AC" w:rsidRPr="00923AFF" w:rsidRDefault="000639AC" w:rsidP="00923AFF">
    <w:pPr>
      <w:pStyle w:val="Header"/>
      <w:ind w:firstLine="0"/>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766F"/>
    <w:multiLevelType w:val="hybridMultilevel"/>
    <w:tmpl w:val="A31E4AD0"/>
    <w:lvl w:ilvl="0" w:tplc="8D1CF066">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8965B2F"/>
    <w:multiLevelType w:val="hybridMultilevel"/>
    <w:tmpl w:val="1B06213E"/>
    <w:lvl w:ilvl="0" w:tplc="86ACD3F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
    <w:nsid w:val="20256124"/>
    <w:multiLevelType w:val="hybridMultilevel"/>
    <w:tmpl w:val="D6E2484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nsid w:val="3AE766A2"/>
    <w:multiLevelType w:val="hybridMultilevel"/>
    <w:tmpl w:val="9F0041B8"/>
    <w:lvl w:ilvl="0" w:tplc="B15EFBF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428E0418"/>
    <w:multiLevelType w:val="multilevel"/>
    <w:tmpl w:val="25EE6916"/>
    <w:lvl w:ilvl="0">
      <w:start w:val="1"/>
      <w:numFmt w:val="decimal"/>
      <w:lvlText w:val="%1."/>
      <w:lvlJc w:val="left"/>
      <w:pPr>
        <w:ind w:left="928" w:hanging="360"/>
      </w:pPr>
      <w:rPr>
        <w:b w:val="0"/>
        <w:bCs/>
      </w:r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452022BB"/>
    <w:multiLevelType w:val="hybridMultilevel"/>
    <w:tmpl w:val="8AC2B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CC3DE4"/>
    <w:multiLevelType w:val="hybridMultilevel"/>
    <w:tmpl w:val="D220CF2A"/>
    <w:lvl w:ilvl="0" w:tplc="E2B82E4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
    <w:nsid w:val="6E0C170E"/>
    <w:multiLevelType w:val="multilevel"/>
    <w:tmpl w:val="C2BEAB1A"/>
    <w:lvl w:ilvl="0">
      <w:start w:val="1"/>
      <w:numFmt w:val="decimal"/>
      <w:lvlText w:val="%1."/>
      <w:lvlJc w:val="left"/>
      <w:pPr>
        <w:ind w:left="360" w:hanging="360"/>
      </w:pPr>
      <w:rPr>
        <w:rFonts w:hint="default"/>
      </w:rPr>
    </w:lvl>
    <w:lvl w:ilvl="1">
      <w:start w:val="1"/>
      <w:numFmt w:val="decimal"/>
      <w:lvlText w:val="%1.%2."/>
      <w:lvlJc w:val="left"/>
      <w:pPr>
        <w:ind w:left="894" w:hanging="360"/>
      </w:pPr>
      <w:rPr>
        <w:rFonts w:hint="default"/>
        <w:i w:val="0"/>
      </w:rPr>
    </w:lvl>
    <w:lvl w:ilvl="2">
      <w:start w:val="1"/>
      <w:numFmt w:val="decimal"/>
      <w:lvlText w:val="%1.%2.%3."/>
      <w:lvlJc w:val="left"/>
      <w:pPr>
        <w:ind w:left="1788" w:hanging="720"/>
      </w:pPr>
      <w:rPr>
        <w:rFonts w:hint="default"/>
        <w:i w:val="0"/>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8">
    <w:nsid w:val="714C3210"/>
    <w:multiLevelType w:val="hybridMultilevel"/>
    <w:tmpl w:val="9738ADEC"/>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9">
    <w:nsid w:val="78CF0046"/>
    <w:multiLevelType w:val="hybridMultilevel"/>
    <w:tmpl w:val="3DBCA94C"/>
    <w:lvl w:ilvl="0" w:tplc="79068232">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num w:numId="1">
    <w:abstractNumId w:val="8"/>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9"/>
  </w:num>
  <w:num w:numId="7">
    <w:abstractNumId w:val="6"/>
  </w:num>
  <w:num w:numId="8">
    <w:abstractNumId w:val="5"/>
  </w:num>
  <w:num w:numId="9">
    <w:abstractNumId w:val="4"/>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lėgienė Inga">
    <w15:presenceInfo w15:providerId="AD" w15:userId="S-1-5-21-1010461775-1311123373-317593308-25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95F"/>
    <w:rsid w:val="00001120"/>
    <w:rsid w:val="0001423F"/>
    <w:rsid w:val="00016438"/>
    <w:rsid w:val="00031972"/>
    <w:rsid w:val="00031AB8"/>
    <w:rsid w:val="0003401B"/>
    <w:rsid w:val="0003680B"/>
    <w:rsid w:val="00037527"/>
    <w:rsid w:val="00041028"/>
    <w:rsid w:val="00044A07"/>
    <w:rsid w:val="00044C55"/>
    <w:rsid w:val="00057E7E"/>
    <w:rsid w:val="000639AC"/>
    <w:rsid w:val="00063AF4"/>
    <w:rsid w:val="00065EC7"/>
    <w:rsid w:val="00065F7A"/>
    <w:rsid w:val="000743AC"/>
    <w:rsid w:val="00082423"/>
    <w:rsid w:val="00092B54"/>
    <w:rsid w:val="000A1883"/>
    <w:rsid w:val="000A401B"/>
    <w:rsid w:val="000A6BDF"/>
    <w:rsid w:val="000B5823"/>
    <w:rsid w:val="000B6B97"/>
    <w:rsid w:val="000C0137"/>
    <w:rsid w:val="000C0872"/>
    <w:rsid w:val="000C1DDD"/>
    <w:rsid w:val="000C20EE"/>
    <w:rsid w:val="000C371B"/>
    <w:rsid w:val="000C5FA8"/>
    <w:rsid w:val="000D18DB"/>
    <w:rsid w:val="000D45CB"/>
    <w:rsid w:val="000E183C"/>
    <w:rsid w:val="000E79BA"/>
    <w:rsid w:val="000F4297"/>
    <w:rsid w:val="00103E15"/>
    <w:rsid w:val="00116D29"/>
    <w:rsid w:val="00140411"/>
    <w:rsid w:val="00144B33"/>
    <w:rsid w:val="00145322"/>
    <w:rsid w:val="00147341"/>
    <w:rsid w:val="001632C7"/>
    <w:rsid w:val="001656BC"/>
    <w:rsid w:val="0017666F"/>
    <w:rsid w:val="001806E2"/>
    <w:rsid w:val="001862C2"/>
    <w:rsid w:val="00191967"/>
    <w:rsid w:val="00193285"/>
    <w:rsid w:val="001A0CF7"/>
    <w:rsid w:val="001A2F90"/>
    <w:rsid w:val="001A6F39"/>
    <w:rsid w:val="001B5F53"/>
    <w:rsid w:val="001B7CAB"/>
    <w:rsid w:val="001D5064"/>
    <w:rsid w:val="001D657D"/>
    <w:rsid w:val="001E2A71"/>
    <w:rsid w:val="001E2FBB"/>
    <w:rsid w:val="001F06ED"/>
    <w:rsid w:val="00207559"/>
    <w:rsid w:val="00213A7D"/>
    <w:rsid w:val="00222F70"/>
    <w:rsid w:val="00227D47"/>
    <w:rsid w:val="002376E9"/>
    <w:rsid w:val="0024085B"/>
    <w:rsid w:val="002431F2"/>
    <w:rsid w:val="00247DDB"/>
    <w:rsid w:val="0026268C"/>
    <w:rsid w:val="00266819"/>
    <w:rsid w:val="002739CC"/>
    <w:rsid w:val="00275FC7"/>
    <w:rsid w:val="00284876"/>
    <w:rsid w:val="00293053"/>
    <w:rsid w:val="00296334"/>
    <w:rsid w:val="002A419F"/>
    <w:rsid w:val="002B781F"/>
    <w:rsid w:val="002B79F2"/>
    <w:rsid w:val="002C16D7"/>
    <w:rsid w:val="002C1ACE"/>
    <w:rsid w:val="002C57C3"/>
    <w:rsid w:val="002E3C9D"/>
    <w:rsid w:val="002E7392"/>
    <w:rsid w:val="00301EA3"/>
    <w:rsid w:val="003131FD"/>
    <w:rsid w:val="003173D8"/>
    <w:rsid w:val="00327212"/>
    <w:rsid w:val="00330FF2"/>
    <w:rsid w:val="00332447"/>
    <w:rsid w:val="0033514A"/>
    <w:rsid w:val="00340F94"/>
    <w:rsid w:val="00354AFE"/>
    <w:rsid w:val="00354D84"/>
    <w:rsid w:val="003568BF"/>
    <w:rsid w:val="003666AC"/>
    <w:rsid w:val="00367F4E"/>
    <w:rsid w:val="00381836"/>
    <w:rsid w:val="003839D9"/>
    <w:rsid w:val="00391401"/>
    <w:rsid w:val="00396452"/>
    <w:rsid w:val="003968C7"/>
    <w:rsid w:val="003A06A4"/>
    <w:rsid w:val="003A0DB4"/>
    <w:rsid w:val="003B2A1F"/>
    <w:rsid w:val="003B488B"/>
    <w:rsid w:val="003B65B8"/>
    <w:rsid w:val="003C3869"/>
    <w:rsid w:val="003D071E"/>
    <w:rsid w:val="003D1608"/>
    <w:rsid w:val="003D267D"/>
    <w:rsid w:val="003E414D"/>
    <w:rsid w:val="003E434A"/>
    <w:rsid w:val="003F40ED"/>
    <w:rsid w:val="003F6E4B"/>
    <w:rsid w:val="00414497"/>
    <w:rsid w:val="00415B31"/>
    <w:rsid w:val="00423A06"/>
    <w:rsid w:val="00425960"/>
    <w:rsid w:val="0043027C"/>
    <w:rsid w:val="00432679"/>
    <w:rsid w:val="00434944"/>
    <w:rsid w:val="00434EAD"/>
    <w:rsid w:val="00440343"/>
    <w:rsid w:val="004438A5"/>
    <w:rsid w:val="00454850"/>
    <w:rsid w:val="00456278"/>
    <w:rsid w:val="00471281"/>
    <w:rsid w:val="00472056"/>
    <w:rsid w:val="00472BB8"/>
    <w:rsid w:val="0048284A"/>
    <w:rsid w:val="00482EF3"/>
    <w:rsid w:val="00496A34"/>
    <w:rsid w:val="004974E1"/>
    <w:rsid w:val="004A3937"/>
    <w:rsid w:val="004B3D4D"/>
    <w:rsid w:val="004D6535"/>
    <w:rsid w:val="004D76B4"/>
    <w:rsid w:val="004F2A6F"/>
    <w:rsid w:val="004F3710"/>
    <w:rsid w:val="004F792B"/>
    <w:rsid w:val="00503457"/>
    <w:rsid w:val="00504453"/>
    <w:rsid w:val="00504819"/>
    <w:rsid w:val="00522270"/>
    <w:rsid w:val="00532CA3"/>
    <w:rsid w:val="00536C8F"/>
    <w:rsid w:val="0053749C"/>
    <w:rsid w:val="00554177"/>
    <w:rsid w:val="005563A2"/>
    <w:rsid w:val="00560851"/>
    <w:rsid w:val="0058116E"/>
    <w:rsid w:val="00581E58"/>
    <w:rsid w:val="00582F5A"/>
    <w:rsid w:val="00593D21"/>
    <w:rsid w:val="0059424A"/>
    <w:rsid w:val="00596A32"/>
    <w:rsid w:val="005B54C8"/>
    <w:rsid w:val="005C6AD5"/>
    <w:rsid w:val="005D33CE"/>
    <w:rsid w:val="005E12F0"/>
    <w:rsid w:val="005E4032"/>
    <w:rsid w:val="005F01D0"/>
    <w:rsid w:val="005F22A4"/>
    <w:rsid w:val="005F724E"/>
    <w:rsid w:val="006017AD"/>
    <w:rsid w:val="006026D3"/>
    <w:rsid w:val="00602B0C"/>
    <w:rsid w:val="00602C9A"/>
    <w:rsid w:val="00603892"/>
    <w:rsid w:val="00606718"/>
    <w:rsid w:val="00612F61"/>
    <w:rsid w:val="006269E0"/>
    <w:rsid w:val="0065780B"/>
    <w:rsid w:val="00670C88"/>
    <w:rsid w:val="006756EE"/>
    <w:rsid w:val="0067660D"/>
    <w:rsid w:val="00686AF9"/>
    <w:rsid w:val="006A152F"/>
    <w:rsid w:val="006B0B62"/>
    <w:rsid w:val="006C0DCF"/>
    <w:rsid w:val="006C26AA"/>
    <w:rsid w:val="006C321F"/>
    <w:rsid w:val="006C644B"/>
    <w:rsid w:val="006C7EB4"/>
    <w:rsid w:val="006D3E60"/>
    <w:rsid w:val="006D7B14"/>
    <w:rsid w:val="006E0372"/>
    <w:rsid w:val="006E6104"/>
    <w:rsid w:val="006E7709"/>
    <w:rsid w:val="007007F7"/>
    <w:rsid w:val="00712C12"/>
    <w:rsid w:val="007146E8"/>
    <w:rsid w:val="007205E2"/>
    <w:rsid w:val="00721461"/>
    <w:rsid w:val="0072220C"/>
    <w:rsid w:val="0072716D"/>
    <w:rsid w:val="00732931"/>
    <w:rsid w:val="00734597"/>
    <w:rsid w:val="007359DC"/>
    <w:rsid w:val="00735FF4"/>
    <w:rsid w:val="0073720B"/>
    <w:rsid w:val="00741747"/>
    <w:rsid w:val="007477A4"/>
    <w:rsid w:val="00747A90"/>
    <w:rsid w:val="0075779C"/>
    <w:rsid w:val="00761705"/>
    <w:rsid w:val="00766570"/>
    <w:rsid w:val="007766C2"/>
    <w:rsid w:val="00782F0B"/>
    <w:rsid w:val="007840DE"/>
    <w:rsid w:val="00785F76"/>
    <w:rsid w:val="00787FB6"/>
    <w:rsid w:val="00791F08"/>
    <w:rsid w:val="007942F5"/>
    <w:rsid w:val="00795F21"/>
    <w:rsid w:val="007A064D"/>
    <w:rsid w:val="007A5BB9"/>
    <w:rsid w:val="007B131F"/>
    <w:rsid w:val="007B34B6"/>
    <w:rsid w:val="007B6181"/>
    <w:rsid w:val="007C346A"/>
    <w:rsid w:val="007F10C0"/>
    <w:rsid w:val="007F3AC8"/>
    <w:rsid w:val="007F4D7A"/>
    <w:rsid w:val="007F5C48"/>
    <w:rsid w:val="00802C7F"/>
    <w:rsid w:val="00813F00"/>
    <w:rsid w:val="008159CF"/>
    <w:rsid w:val="0082280A"/>
    <w:rsid w:val="00823F13"/>
    <w:rsid w:val="00840019"/>
    <w:rsid w:val="008450BA"/>
    <w:rsid w:val="00845B3D"/>
    <w:rsid w:val="008500DA"/>
    <w:rsid w:val="008645D3"/>
    <w:rsid w:val="00867402"/>
    <w:rsid w:val="00871CE8"/>
    <w:rsid w:val="008757E9"/>
    <w:rsid w:val="0088126B"/>
    <w:rsid w:val="00881454"/>
    <w:rsid w:val="00886D16"/>
    <w:rsid w:val="008964C8"/>
    <w:rsid w:val="00896C2B"/>
    <w:rsid w:val="008A1F92"/>
    <w:rsid w:val="008B0FF1"/>
    <w:rsid w:val="008B5EBF"/>
    <w:rsid w:val="008B7147"/>
    <w:rsid w:val="008C5DDE"/>
    <w:rsid w:val="008D35DD"/>
    <w:rsid w:val="008D61DC"/>
    <w:rsid w:val="008E2382"/>
    <w:rsid w:val="008E4B1B"/>
    <w:rsid w:val="008E505E"/>
    <w:rsid w:val="008F1E10"/>
    <w:rsid w:val="008F3BE5"/>
    <w:rsid w:val="008F4EE5"/>
    <w:rsid w:val="008F7BA0"/>
    <w:rsid w:val="009018BD"/>
    <w:rsid w:val="00903158"/>
    <w:rsid w:val="0090593D"/>
    <w:rsid w:val="009111F1"/>
    <w:rsid w:val="00915DDA"/>
    <w:rsid w:val="00920B8A"/>
    <w:rsid w:val="00920CC2"/>
    <w:rsid w:val="00923AFF"/>
    <w:rsid w:val="0092744A"/>
    <w:rsid w:val="00933C37"/>
    <w:rsid w:val="009522D7"/>
    <w:rsid w:val="00953B3C"/>
    <w:rsid w:val="0095447E"/>
    <w:rsid w:val="009646A8"/>
    <w:rsid w:val="009649CE"/>
    <w:rsid w:val="00981370"/>
    <w:rsid w:val="009833AF"/>
    <w:rsid w:val="009875C0"/>
    <w:rsid w:val="00987684"/>
    <w:rsid w:val="00987E27"/>
    <w:rsid w:val="00992EFD"/>
    <w:rsid w:val="00996A97"/>
    <w:rsid w:val="009A013E"/>
    <w:rsid w:val="009A1F10"/>
    <w:rsid w:val="009A614F"/>
    <w:rsid w:val="009A766D"/>
    <w:rsid w:val="009C196B"/>
    <w:rsid w:val="009C2406"/>
    <w:rsid w:val="009D4A59"/>
    <w:rsid w:val="009D537F"/>
    <w:rsid w:val="009D5C2D"/>
    <w:rsid w:val="009D712D"/>
    <w:rsid w:val="009E0900"/>
    <w:rsid w:val="009E26DD"/>
    <w:rsid w:val="009E2B02"/>
    <w:rsid w:val="009E43CB"/>
    <w:rsid w:val="009E5F47"/>
    <w:rsid w:val="009E602D"/>
    <w:rsid w:val="009F5507"/>
    <w:rsid w:val="009F721B"/>
    <w:rsid w:val="00A029BC"/>
    <w:rsid w:val="00A04D3A"/>
    <w:rsid w:val="00A04DE2"/>
    <w:rsid w:val="00A05D68"/>
    <w:rsid w:val="00A074A2"/>
    <w:rsid w:val="00A15A75"/>
    <w:rsid w:val="00A30EF2"/>
    <w:rsid w:val="00A41E90"/>
    <w:rsid w:val="00A42557"/>
    <w:rsid w:val="00A45853"/>
    <w:rsid w:val="00A549EB"/>
    <w:rsid w:val="00A55809"/>
    <w:rsid w:val="00A56AD7"/>
    <w:rsid w:val="00A56E77"/>
    <w:rsid w:val="00A5788E"/>
    <w:rsid w:val="00A657B6"/>
    <w:rsid w:val="00A6748C"/>
    <w:rsid w:val="00A74077"/>
    <w:rsid w:val="00A76434"/>
    <w:rsid w:val="00A82AC3"/>
    <w:rsid w:val="00A8384F"/>
    <w:rsid w:val="00A848EE"/>
    <w:rsid w:val="00A91068"/>
    <w:rsid w:val="00A950C8"/>
    <w:rsid w:val="00A9592C"/>
    <w:rsid w:val="00AA66FD"/>
    <w:rsid w:val="00AB4031"/>
    <w:rsid w:val="00AC3CE8"/>
    <w:rsid w:val="00AC6329"/>
    <w:rsid w:val="00AC6347"/>
    <w:rsid w:val="00AD42AA"/>
    <w:rsid w:val="00AE1E08"/>
    <w:rsid w:val="00AE6416"/>
    <w:rsid w:val="00AF607B"/>
    <w:rsid w:val="00AF7479"/>
    <w:rsid w:val="00B0069C"/>
    <w:rsid w:val="00B024E3"/>
    <w:rsid w:val="00B054F3"/>
    <w:rsid w:val="00B063C1"/>
    <w:rsid w:val="00B150F4"/>
    <w:rsid w:val="00B15D86"/>
    <w:rsid w:val="00B25C7A"/>
    <w:rsid w:val="00B373BA"/>
    <w:rsid w:val="00B45426"/>
    <w:rsid w:val="00B5178F"/>
    <w:rsid w:val="00B522A0"/>
    <w:rsid w:val="00B567FC"/>
    <w:rsid w:val="00B56972"/>
    <w:rsid w:val="00B60CEC"/>
    <w:rsid w:val="00B61332"/>
    <w:rsid w:val="00B615AD"/>
    <w:rsid w:val="00B71AFF"/>
    <w:rsid w:val="00B71DDA"/>
    <w:rsid w:val="00B75793"/>
    <w:rsid w:val="00B94484"/>
    <w:rsid w:val="00B96C8C"/>
    <w:rsid w:val="00BA0287"/>
    <w:rsid w:val="00BA4FB5"/>
    <w:rsid w:val="00BB6DCE"/>
    <w:rsid w:val="00BC07CB"/>
    <w:rsid w:val="00BC095F"/>
    <w:rsid w:val="00BC401A"/>
    <w:rsid w:val="00BC59E4"/>
    <w:rsid w:val="00BC5C34"/>
    <w:rsid w:val="00BD690B"/>
    <w:rsid w:val="00BD7D56"/>
    <w:rsid w:val="00BE4264"/>
    <w:rsid w:val="00BE73FC"/>
    <w:rsid w:val="00BE7466"/>
    <w:rsid w:val="00BF38F4"/>
    <w:rsid w:val="00BF4D80"/>
    <w:rsid w:val="00BF56A4"/>
    <w:rsid w:val="00C03246"/>
    <w:rsid w:val="00C04D1B"/>
    <w:rsid w:val="00C075B1"/>
    <w:rsid w:val="00C0764D"/>
    <w:rsid w:val="00C205B8"/>
    <w:rsid w:val="00C246C2"/>
    <w:rsid w:val="00C32509"/>
    <w:rsid w:val="00C335A8"/>
    <w:rsid w:val="00C3523F"/>
    <w:rsid w:val="00C402C2"/>
    <w:rsid w:val="00C4139A"/>
    <w:rsid w:val="00C44B86"/>
    <w:rsid w:val="00C54AFB"/>
    <w:rsid w:val="00C56149"/>
    <w:rsid w:val="00C6668F"/>
    <w:rsid w:val="00C74BAB"/>
    <w:rsid w:val="00C75CB3"/>
    <w:rsid w:val="00C831C9"/>
    <w:rsid w:val="00C86F1A"/>
    <w:rsid w:val="00C9703A"/>
    <w:rsid w:val="00CA0AE1"/>
    <w:rsid w:val="00CA549F"/>
    <w:rsid w:val="00CA6349"/>
    <w:rsid w:val="00CB25E8"/>
    <w:rsid w:val="00CB6E12"/>
    <w:rsid w:val="00CD288E"/>
    <w:rsid w:val="00CE028E"/>
    <w:rsid w:val="00CE0AF9"/>
    <w:rsid w:val="00CF4FB6"/>
    <w:rsid w:val="00CF5090"/>
    <w:rsid w:val="00CF5656"/>
    <w:rsid w:val="00D058BA"/>
    <w:rsid w:val="00D07873"/>
    <w:rsid w:val="00D1133B"/>
    <w:rsid w:val="00D16F5C"/>
    <w:rsid w:val="00D20117"/>
    <w:rsid w:val="00D2116E"/>
    <w:rsid w:val="00D224D1"/>
    <w:rsid w:val="00D33F7C"/>
    <w:rsid w:val="00D51D6E"/>
    <w:rsid w:val="00D52017"/>
    <w:rsid w:val="00D573E8"/>
    <w:rsid w:val="00D6419D"/>
    <w:rsid w:val="00D673FD"/>
    <w:rsid w:val="00D80C5B"/>
    <w:rsid w:val="00D9450F"/>
    <w:rsid w:val="00D95494"/>
    <w:rsid w:val="00DA0A41"/>
    <w:rsid w:val="00DA6B77"/>
    <w:rsid w:val="00DB11CE"/>
    <w:rsid w:val="00DB4D4D"/>
    <w:rsid w:val="00DC25C7"/>
    <w:rsid w:val="00DC3BBD"/>
    <w:rsid w:val="00DC7442"/>
    <w:rsid w:val="00DD56FF"/>
    <w:rsid w:val="00DE0786"/>
    <w:rsid w:val="00DE71B7"/>
    <w:rsid w:val="00DF12ED"/>
    <w:rsid w:val="00DF3BC7"/>
    <w:rsid w:val="00E0608F"/>
    <w:rsid w:val="00E07D61"/>
    <w:rsid w:val="00E16D9F"/>
    <w:rsid w:val="00E20038"/>
    <w:rsid w:val="00E22C39"/>
    <w:rsid w:val="00E27C47"/>
    <w:rsid w:val="00E34669"/>
    <w:rsid w:val="00E40251"/>
    <w:rsid w:val="00E50AD2"/>
    <w:rsid w:val="00E537C3"/>
    <w:rsid w:val="00E61975"/>
    <w:rsid w:val="00E6445C"/>
    <w:rsid w:val="00E66F7E"/>
    <w:rsid w:val="00E726FA"/>
    <w:rsid w:val="00E80B0B"/>
    <w:rsid w:val="00E81598"/>
    <w:rsid w:val="00E84288"/>
    <w:rsid w:val="00E85F74"/>
    <w:rsid w:val="00E87D83"/>
    <w:rsid w:val="00E906D9"/>
    <w:rsid w:val="00E91A9B"/>
    <w:rsid w:val="00E920E2"/>
    <w:rsid w:val="00E9339E"/>
    <w:rsid w:val="00E97C3F"/>
    <w:rsid w:val="00EA3CAE"/>
    <w:rsid w:val="00EB1CF1"/>
    <w:rsid w:val="00EC35BD"/>
    <w:rsid w:val="00ED51BD"/>
    <w:rsid w:val="00EE065F"/>
    <w:rsid w:val="00EE167A"/>
    <w:rsid w:val="00EE60CF"/>
    <w:rsid w:val="00F06DEB"/>
    <w:rsid w:val="00F10A02"/>
    <w:rsid w:val="00F12ED6"/>
    <w:rsid w:val="00F25BB5"/>
    <w:rsid w:val="00F426DA"/>
    <w:rsid w:val="00F466FB"/>
    <w:rsid w:val="00F5160E"/>
    <w:rsid w:val="00F5209F"/>
    <w:rsid w:val="00F53E29"/>
    <w:rsid w:val="00F60165"/>
    <w:rsid w:val="00F708D4"/>
    <w:rsid w:val="00F80A33"/>
    <w:rsid w:val="00F81044"/>
    <w:rsid w:val="00F83D0B"/>
    <w:rsid w:val="00F97179"/>
    <w:rsid w:val="00FA3D04"/>
    <w:rsid w:val="00FB5169"/>
    <w:rsid w:val="00FC0B04"/>
    <w:rsid w:val="00FC13E6"/>
    <w:rsid w:val="00FC4BCA"/>
    <w:rsid w:val="00FC578F"/>
    <w:rsid w:val="00FD2394"/>
    <w:rsid w:val="00FE5A21"/>
    <w:rsid w:val="00FF1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75"/>
    <w:pPr>
      <w:spacing w:after="0" w:line="240" w:lineRule="auto"/>
      <w:ind w:firstLine="720"/>
      <w:jc w:val="both"/>
    </w:pPr>
    <w:rPr>
      <w:rFonts w:ascii="Times New Roman" w:eastAsia="Times New Roman" w:hAnsi="Times New Roman" w:cs="Times New Roman"/>
      <w:noProof/>
      <w:color w:val="00B050"/>
      <w:sz w:val="24"/>
      <w:szCs w:val="24"/>
      <w:lang w:eastAsia="lt-LT"/>
    </w:rPr>
  </w:style>
  <w:style w:type="paragraph" w:styleId="Heading2">
    <w:name w:val="heading 2"/>
    <w:basedOn w:val="Normal"/>
    <w:next w:val="Normal"/>
    <w:link w:val="Heading2Char"/>
    <w:uiPriority w:val="9"/>
    <w:unhideWhenUsed/>
    <w:qFormat/>
    <w:rsid w:val="004720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E065F"/>
    <w:pPr>
      <w:ind w:firstLine="0"/>
      <w:jc w:val="left"/>
    </w:pPr>
    <w:rPr>
      <w:noProof w:val="0"/>
      <w:color w:val="auto"/>
      <w:sz w:val="20"/>
      <w:szCs w:val="20"/>
      <w:lang w:eastAsia="en-US"/>
    </w:rPr>
  </w:style>
  <w:style w:type="character" w:customStyle="1" w:styleId="FootnoteTextChar">
    <w:name w:val="Footnote Text Char"/>
    <w:basedOn w:val="DefaultParagraphFont"/>
    <w:link w:val="FootnoteText"/>
    <w:uiPriority w:val="99"/>
    <w:semiHidden/>
    <w:rsid w:val="00EE065F"/>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EE065F"/>
    <w:rPr>
      <w:rFonts w:ascii="Times New Roman" w:eastAsia="Times New Roman" w:hAnsi="Times New Roman" w:cs="Times New Roman"/>
      <w:sz w:val="24"/>
      <w:szCs w:val="24"/>
      <w:lang w:eastAsia="ar-SA"/>
    </w:rPr>
  </w:style>
  <w:style w:type="paragraph" w:styleId="ListParagraph">
    <w:name w:val="List Paragraph"/>
    <w:basedOn w:val="Normal"/>
    <w:link w:val="ListParagraphChar"/>
    <w:uiPriority w:val="34"/>
    <w:qFormat/>
    <w:rsid w:val="00EE065F"/>
    <w:pPr>
      <w:suppressAutoHyphens/>
      <w:ind w:left="720" w:firstLine="0"/>
      <w:contextualSpacing/>
      <w:jc w:val="left"/>
    </w:pPr>
    <w:rPr>
      <w:noProof w:val="0"/>
      <w:color w:val="auto"/>
      <w:lang w:eastAsia="ar-SA"/>
    </w:rPr>
  </w:style>
  <w:style w:type="character" w:styleId="FootnoteReference">
    <w:name w:val="footnote reference"/>
    <w:basedOn w:val="DefaultParagraphFont"/>
    <w:uiPriority w:val="99"/>
    <w:unhideWhenUsed/>
    <w:rsid w:val="00EE065F"/>
    <w:rPr>
      <w:w w:val="100"/>
      <w:sz w:val="20"/>
      <w:szCs w:val="20"/>
      <w:vertAlign w:val="superscript"/>
    </w:rPr>
  </w:style>
  <w:style w:type="paragraph" w:styleId="Header">
    <w:name w:val="header"/>
    <w:basedOn w:val="Normal"/>
    <w:link w:val="HeaderChar"/>
    <w:uiPriority w:val="99"/>
    <w:unhideWhenUsed/>
    <w:rsid w:val="00EE065F"/>
    <w:pPr>
      <w:tabs>
        <w:tab w:val="center" w:pos="4536"/>
        <w:tab w:val="right" w:pos="9072"/>
      </w:tabs>
    </w:pPr>
  </w:style>
  <w:style w:type="character" w:customStyle="1" w:styleId="HeaderChar">
    <w:name w:val="Header Char"/>
    <w:basedOn w:val="DefaultParagraphFont"/>
    <w:link w:val="Header"/>
    <w:uiPriority w:val="99"/>
    <w:rsid w:val="00EE065F"/>
    <w:rPr>
      <w:rFonts w:ascii="Times New Roman" w:eastAsia="Times New Roman" w:hAnsi="Times New Roman" w:cs="Times New Roman"/>
      <w:noProof/>
      <w:color w:val="00B050"/>
      <w:sz w:val="24"/>
      <w:szCs w:val="24"/>
      <w:lang w:eastAsia="lt-LT"/>
    </w:rPr>
  </w:style>
  <w:style w:type="paragraph" w:styleId="Footer">
    <w:name w:val="footer"/>
    <w:basedOn w:val="Normal"/>
    <w:link w:val="FooterChar"/>
    <w:uiPriority w:val="99"/>
    <w:unhideWhenUsed/>
    <w:rsid w:val="00EE065F"/>
    <w:pPr>
      <w:tabs>
        <w:tab w:val="center" w:pos="4536"/>
        <w:tab w:val="right" w:pos="9072"/>
      </w:tabs>
    </w:pPr>
  </w:style>
  <w:style w:type="character" w:customStyle="1" w:styleId="FooterChar">
    <w:name w:val="Footer Char"/>
    <w:basedOn w:val="DefaultParagraphFont"/>
    <w:link w:val="Footer"/>
    <w:uiPriority w:val="99"/>
    <w:rsid w:val="00EE065F"/>
    <w:rPr>
      <w:rFonts w:ascii="Times New Roman" w:eastAsia="Times New Roman" w:hAnsi="Times New Roman" w:cs="Times New Roman"/>
      <w:noProof/>
      <w:color w:val="00B050"/>
      <w:sz w:val="24"/>
      <w:szCs w:val="24"/>
      <w:lang w:eastAsia="lt-LT"/>
    </w:rPr>
  </w:style>
  <w:style w:type="character" w:styleId="Hyperlink">
    <w:name w:val="Hyperlink"/>
    <w:basedOn w:val="DefaultParagraphFont"/>
    <w:uiPriority w:val="99"/>
    <w:unhideWhenUsed/>
    <w:rsid w:val="00761705"/>
    <w:rPr>
      <w:color w:val="0000FF" w:themeColor="hyperlink"/>
      <w:u w:val="single"/>
    </w:rPr>
  </w:style>
  <w:style w:type="character" w:customStyle="1" w:styleId="mdialogpagemmetadatatree0">
    <w:name w:val="m_dialogpage_m_metadatatree_0"/>
    <w:basedOn w:val="DefaultParagraphFont"/>
    <w:rsid w:val="000743AC"/>
  </w:style>
  <w:style w:type="paragraph" w:styleId="BalloonText">
    <w:name w:val="Balloon Text"/>
    <w:basedOn w:val="Normal"/>
    <w:link w:val="BalloonTextChar"/>
    <w:uiPriority w:val="99"/>
    <w:semiHidden/>
    <w:unhideWhenUsed/>
    <w:rsid w:val="00B05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4F3"/>
    <w:rPr>
      <w:rFonts w:ascii="Segoe UI" w:eastAsia="Times New Roman" w:hAnsi="Segoe UI" w:cs="Segoe UI"/>
      <w:noProof/>
      <w:color w:val="00B050"/>
      <w:sz w:val="18"/>
      <w:szCs w:val="18"/>
      <w:lang w:eastAsia="lt-LT"/>
    </w:rPr>
  </w:style>
  <w:style w:type="paragraph" w:styleId="NoSpacing">
    <w:name w:val="No Spacing"/>
    <w:uiPriority w:val="1"/>
    <w:qFormat/>
    <w:rsid w:val="002A419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styleId="CommentReference">
    <w:name w:val="annotation reference"/>
    <w:basedOn w:val="DefaultParagraphFont"/>
    <w:uiPriority w:val="99"/>
    <w:semiHidden/>
    <w:unhideWhenUsed/>
    <w:rsid w:val="00DB11CE"/>
    <w:rPr>
      <w:sz w:val="16"/>
      <w:szCs w:val="16"/>
    </w:rPr>
  </w:style>
  <w:style w:type="paragraph" w:styleId="CommentText">
    <w:name w:val="annotation text"/>
    <w:basedOn w:val="Normal"/>
    <w:link w:val="CommentTextChar"/>
    <w:uiPriority w:val="99"/>
    <w:semiHidden/>
    <w:unhideWhenUsed/>
    <w:rsid w:val="00DB11CE"/>
    <w:rPr>
      <w:sz w:val="20"/>
      <w:szCs w:val="20"/>
    </w:rPr>
  </w:style>
  <w:style w:type="character" w:customStyle="1" w:styleId="CommentTextChar">
    <w:name w:val="Comment Text Char"/>
    <w:basedOn w:val="DefaultParagraphFont"/>
    <w:link w:val="CommentText"/>
    <w:uiPriority w:val="99"/>
    <w:semiHidden/>
    <w:rsid w:val="00DB11CE"/>
    <w:rPr>
      <w:rFonts w:ascii="Times New Roman" w:eastAsia="Times New Roman" w:hAnsi="Times New Roman" w:cs="Times New Roman"/>
      <w:noProof/>
      <w:color w:val="00B050"/>
      <w:sz w:val="20"/>
      <w:szCs w:val="20"/>
      <w:lang w:eastAsia="lt-LT"/>
    </w:rPr>
  </w:style>
  <w:style w:type="paragraph" w:styleId="CommentSubject">
    <w:name w:val="annotation subject"/>
    <w:basedOn w:val="CommentText"/>
    <w:next w:val="CommentText"/>
    <w:link w:val="CommentSubjectChar"/>
    <w:uiPriority w:val="99"/>
    <w:semiHidden/>
    <w:unhideWhenUsed/>
    <w:rsid w:val="00DB11CE"/>
    <w:rPr>
      <w:b/>
      <w:bCs/>
    </w:rPr>
  </w:style>
  <w:style w:type="character" w:customStyle="1" w:styleId="CommentSubjectChar">
    <w:name w:val="Comment Subject Char"/>
    <w:basedOn w:val="CommentTextChar"/>
    <w:link w:val="CommentSubject"/>
    <w:uiPriority w:val="99"/>
    <w:semiHidden/>
    <w:rsid w:val="00DB11CE"/>
    <w:rPr>
      <w:rFonts w:ascii="Times New Roman" w:eastAsia="Times New Roman" w:hAnsi="Times New Roman" w:cs="Times New Roman"/>
      <w:b/>
      <w:bCs/>
      <w:noProof/>
      <w:color w:val="00B050"/>
      <w:sz w:val="20"/>
      <w:szCs w:val="20"/>
      <w:lang w:eastAsia="lt-LT"/>
    </w:rPr>
  </w:style>
  <w:style w:type="character" w:customStyle="1" w:styleId="Heading2Char">
    <w:name w:val="Heading 2 Char"/>
    <w:basedOn w:val="DefaultParagraphFont"/>
    <w:link w:val="Heading2"/>
    <w:uiPriority w:val="9"/>
    <w:rsid w:val="00472056"/>
    <w:rPr>
      <w:rFonts w:asciiTheme="majorHAnsi" w:eastAsiaTheme="majorEastAsia" w:hAnsiTheme="majorHAnsi" w:cstheme="majorBidi"/>
      <w:noProof/>
      <w:color w:val="365F91" w:themeColor="accent1" w:themeShade="BF"/>
      <w:sz w:val="26"/>
      <w:szCs w:val="26"/>
      <w:lang w:eastAsia="lt-LT"/>
    </w:rPr>
  </w:style>
  <w:style w:type="paragraph" w:customStyle="1" w:styleId="Default">
    <w:name w:val="Default"/>
    <w:rsid w:val="00103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FollowedHyperlink">
    <w:name w:val="FollowedHyperlink"/>
    <w:basedOn w:val="DefaultParagraphFont"/>
    <w:uiPriority w:val="99"/>
    <w:semiHidden/>
    <w:unhideWhenUsed/>
    <w:rsid w:val="000B58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75"/>
    <w:pPr>
      <w:spacing w:after="0" w:line="240" w:lineRule="auto"/>
      <w:ind w:firstLine="720"/>
      <w:jc w:val="both"/>
    </w:pPr>
    <w:rPr>
      <w:rFonts w:ascii="Times New Roman" w:eastAsia="Times New Roman" w:hAnsi="Times New Roman" w:cs="Times New Roman"/>
      <w:noProof/>
      <w:color w:val="00B050"/>
      <w:sz w:val="24"/>
      <w:szCs w:val="24"/>
      <w:lang w:eastAsia="lt-LT"/>
    </w:rPr>
  </w:style>
  <w:style w:type="paragraph" w:styleId="Heading2">
    <w:name w:val="heading 2"/>
    <w:basedOn w:val="Normal"/>
    <w:next w:val="Normal"/>
    <w:link w:val="Heading2Char"/>
    <w:uiPriority w:val="9"/>
    <w:unhideWhenUsed/>
    <w:qFormat/>
    <w:rsid w:val="004720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E065F"/>
    <w:pPr>
      <w:ind w:firstLine="0"/>
      <w:jc w:val="left"/>
    </w:pPr>
    <w:rPr>
      <w:noProof w:val="0"/>
      <w:color w:val="auto"/>
      <w:sz w:val="20"/>
      <w:szCs w:val="20"/>
      <w:lang w:eastAsia="en-US"/>
    </w:rPr>
  </w:style>
  <w:style w:type="character" w:customStyle="1" w:styleId="FootnoteTextChar">
    <w:name w:val="Footnote Text Char"/>
    <w:basedOn w:val="DefaultParagraphFont"/>
    <w:link w:val="FootnoteText"/>
    <w:uiPriority w:val="99"/>
    <w:semiHidden/>
    <w:rsid w:val="00EE065F"/>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EE065F"/>
    <w:rPr>
      <w:rFonts w:ascii="Times New Roman" w:eastAsia="Times New Roman" w:hAnsi="Times New Roman" w:cs="Times New Roman"/>
      <w:sz w:val="24"/>
      <w:szCs w:val="24"/>
      <w:lang w:eastAsia="ar-SA"/>
    </w:rPr>
  </w:style>
  <w:style w:type="paragraph" w:styleId="ListParagraph">
    <w:name w:val="List Paragraph"/>
    <w:basedOn w:val="Normal"/>
    <w:link w:val="ListParagraphChar"/>
    <w:uiPriority w:val="34"/>
    <w:qFormat/>
    <w:rsid w:val="00EE065F"/>
    <w:pPr>
      <w:suppressAutoHyphens/>
      <w:ind w:left="720" w:firstLine="0"/>
      <w:contextualSpacing/>
      <w:jc w:val="left"/>
    </w:pPr>
    <w:rPr>
      <w:noProof w:val="0"/>
      <w:color w:val="auto"/>
      <w:lang w:eastAsia="ar-SA"/>
    </w:rPr>
  </w:style>
  <w:style w:type="character" w:styleId="FootnoteReference">
    <w:name w:val="footnote reference"/>
    <w:basedOn w:val="DefaultParagraphFont"/>
    <w:uiPriority w:val="99"/>
    <w:unhideWhenUsed/>
    <w:rsid w:val="00EE065F"/>
    <w:rPr>
      <w:w w:val="100"/>
      <w:sz w:val="20"/>
      <w:szCs w:val="20"/>
      <w:vertAlign w:val="superscript"/>
    </w:rPr>
  </w:style>
  <w:style w:type="paragraph" w:styleId="Header">
    <w:name w:val="header"/>
    <w:basedOn w:val="Normal"/>
    <w:link w:val="HeaderChar"/>
    <w:uiPriority w:val="99"/>
    <w:unhideWhenUsed/>
    <w:rsid w:val="00EE065F"/>
    <w:pPr>
      <w:tabs>
        <w:tab w:val="center" w:pos="4536"/>
        <w:tab w:val="right" w:pos="9072"/>
      </w:tabs>
    </w:pPr>
  </w:style>
  <w:style w:type="character" w:customStyle="1" w:styleId="HeaderChar">
    <w:name w:val="Header Char"/>
    <w:basedOn w:val="DefaultParagraphFont"/>
    <w:link w:val="Header"/>
    <w:uiPriority w:val="99"/>
    <w:rsid w:val="00EE065F"/>
    <w:rPr>
      <w:rFonts w:ascii="Times New Roman" w:eastAsia="Times New Roman" w:hAnsi="Times New Roman" w:cs="Times New Roman"/>
      <w:noProof/>
      <w:color w:val="00B050"/>
      <w:sz w:val="24"/>
      <w:szCs w:val="24"/>
      <w:lang w:eastAsia="lt-LT"/>
    </w:rPr>
  </w:style>
  <w:style w:type="paragraph" w:styleId="Footer">
    <w:name w:val="footer"/>
    <w:basedOn w:val="Normal"/>
    <w:link w:val="FooterChar"/>
    <w:uiPriority w:val="99"/>
    <w:unhideWhenUsed/>
    <w:rsid w:val="00EE065F"/>
    <w:pPr>
      <w:tabs>
        <w:tab w:val="center" w:pos="4536"/>
        <w:tab w:val="right" w:pos="9072"/>
      </w:tabs>
    </w:pPr>
  </w:style>
  <w:style w:type="character" w:customStyle="1" w:styleId="FooterChar">
    <w:name w:val="Footer Char"/>
    <w:basedOn w:val="DefaultParagraphFont"/>
    <w:link w:val="Footer"/>
    <w:uiPriority w:val="99"/>
    <w:rsid w:val="00EE065F"/>
    <w:rPr>
      <w:rFonts w:ascii="Times New Roman" w:eastAsia="Times New Roman" w:hAnsi="Times New Roman" w:cs="Times New Roman"/>
      <w:noProof/>
      <w:color w:val="00B050"/>
      <w:sz w:val="24"/>
      <w:szCs w:val="24"/>
      <w:lang w:eastAsia="lt-LT"/>
    </w:rPr>
  </w:style>
  <w:style w:type="character" w:styleId="Hyperlink">
    <w:name w:val="Hyperlink"/>
    <w:basedOn w:val="DefaultParagraphFont"/>
    <w:uiPriority w:val="99"/>
    <w:unhideWhenUsed/>
    <w:rsid w:val="00761705"/>
    <w:rPr>
      <w:color w:val="0000FF" w:themeColor="hyperlink"/>
      <w:u w:val="single"/>
    </w:rPr>
  </w:style>
  <w:style w:type="character" w:customStyle="1" w:styleId="mdialogpagemmetadatatree0">
    <w:name w:val="m_dialogpage_m_metadatatree_0"/>
    <w:basedOn w:val="DefaultParagraphFont"/>
    <w:rsid w:val="000743AC"/>
  </w:style>
  <w:style w:type="paragraph" w:styleId="BalloonText">
    <w:name w:val="Balloon Text"/>
    <w:basedOn w:val="Normal"/>
    <w:link w:val="BalloonTextChar"/>
    <w:uiPriority w:val="99"/>
    <w:semiHidden/>
    <w:unhideWhenUsed/>
    <w:rsid w:val="00B05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4F3"/>
    <w:rPr>
      <w:rFonts w:ascii="Segoe UI" w:eastAsia="Times New Roman" w:hAnsi="Segoe UI" w:cs="Segoe UI"/>
      <w:noProof/>
      <w:color w:val="00B050"/>
      <w:sz w:val="18"/>
      <w:szCs w:val="18"/>
      <w:lang w:eastAsia="lt-LT"/>
    </w:rPr>
  </w:style>
  <w:style w:type="paragraph" w:styleId="NoSpacing">
    <w:name w:val="No Spacing"/>
    <w:uiPriority w:val="1"/>
    <w:qFormat/>
    <w:rsid w:val="002A419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styleId="CommentReference">
    <w:name w:val="annotation reference"/>
    <w:basedOn w:val="DefaultParagraphFont"/>
    <w:uiPriority w:val="99"/>
    <w:semiHidden/>
    <w:unhideWhenUsed/>
    <w:rsid w:val="00DB11CE"/>
    <w:rPr>
      <w:sz w:val="16"/>
      <w:szCs w:val="16"/>
    </w:rPr>
  </w:style>
  <w:style w:type="paragraph" w:styleId="CommentText">
    <w:name w:val="annotation text"/>
    <w:basedOn w:val="Normal"/>
    <w:link w:val="CommentTextChar"/>
    <w:uiPriority w:val="99"/>
    <w:semiHidden/>
    <w:unhideWhenUsed/>
    <w:rsid w:val="00DB11CE"/>
    <w:rPr>
      <w:sz w:val="20"/>
      <w:szCs w:val="20"/>
    </w:rPr>
  </w:style>
  <w:style w:type="character" w:customStyle="1" w:styleId="CommentTextChar">
    <w:name w:val="Comment Text Char"/>
    <w:basedOn w:val="DefaultParagraphFont"/>
    <w:link w:val="CommentText"/>
    <w:uiPriority w:val="99"/>
    <w:semiHidden/>
    <w:rsid w:val="00DB11CE"/>
    <w:rPr>
      <w:rFonts w:ascii="Times New Roman" w:eastAsia="Times New Roman" w:hAnsi="Times New Roman" w:cs="Times New Roman"/>
      <w:noProof/>
      <w:color w:val="00B050"/>
      <w:sz w:val="20"/>
      <w:szCs w:val="20"/>
      <w:lang w:eastAsia="lt-LT"/>
    </w:rPr>
  </w:style>
  <w:style w:type="paragraph" w:styleId="CommentSubject">
    <w:name w:val="annotation subject"/>
    <w:basedOn w:val="CommentText"/>
    <w:next w:val="CommentText"/>
    <w:link w:val="CommentSubjectChar"/>
    <w:uiPriority w:val="99"/>
    <w:semiHidden/>
    <w:unhideWhenUsed/>
    <w:rsid w:val="00DB11CE"/>
    <w:rPr>
      <w:b/>
      <w:bCs/>
    </w:rPr>
  </w:style>
  <w:style w:type="character" w:customStyle="1" w:styleId="CommentSubjectChar">
    <w:name w:val="Comment Subject Char"/>
    <w:basedOn w:val="CommentTextChar"/>
    <w:link w:val="CommentSubject"/>
    <w:uiPriority w:val="99"/>
    <w:semiHidden/>
    <w:rsid w:val="00DB11CE"/>
    <w:rPr>
      <w:rFonts w:ascii="Times New Roman" w:eastAsia="Times New Roman" w:hAnsi="Times New Roman" w:cs="Times New Roman"/>
      <w:b/>
      <w:bCs/>
      <w:noProof/>
      <w:color w:val="00B050"/>
      <w:sz w:val="20"/>
      <w:szCs w:val="20"/>
      <w:lang w:eastAsia="lt-LT"/>
    </w:rPr>
  </w:style>
  <w:style w:type="character" w:customStyle="1" w:styleId="Heading2Char">
    <w:name w:val="Heading 2 Char"/>
    <w:basedOn w:val="DefaultParagraphFont"/>
    <w:link w:val="Heading2"/>
    <w:uiPriority w:val="9"/>
    <w:rsid w:val="00472056"/>
    <w:rPr>
      <w:rFonts w:asciiTheme="majorHAnsi" w:eastAsiaTheme="majorEastAsia" w:hAnsiTheme="majorHAnsi" w:cstheme="majorBidi"/>
      <w:noProof/>
      <w:color w:val="365F91" w:themeColor="accent1" w:themeShade="BF"/>
      <w:sz w:val="26"/>
      <w:szCs w:val="26"/>
      <w:lang w:eastAsia="lt-LT"/>
    </w:rPr>
  </w:style>
  <w:style w:type="paragraph" w:customStyle="1" w:styleId="Default">
    <w:name w:val="Default"/>
    <w:rsid w:val="00103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FollowedHyperlink">
    <w:name w:val="FollowedHyperlink"/>
    <w:basedOn w:val="DefaultParagraphFont"/>
    <w:uiPriority w:val="99"/>
    <w:semiHidden/>
    <w:unhideWhenUsed/>
    <w:rsid w:val="000B58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9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kt.gov.lt/lt/dokumentai/mazmenine-prek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CB6E-5CB0-4042-ABF7-681D15C2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6508</Words>
  <Characters>3711</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 Mikalauskaitė</cp:lastModifiedBy>
  <cp:revision>5</cp:revision>
  <dcterms:created xsi:type="dcterms:W3CDTF">2021-11-24T07:37:00Z</dcterms:created>
  <dcterms:modified xsi:type="dcterms:W3CDTF">2021-12-21T08:24:00Z</dcterms:modified>
</cp:coreProperties>
</file>