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9" w:type="dxa"/>
        <w:tblInd w:w="-284" w:type="dxa"/>
        <w:tblLayout w:type="fixed"/>
        <w:tblLook w:val="04A0" w:firstRow="1" w:lastRow="0" w:firstColumn="1" w:lastColumn="0" w:noHBand="0" w:noVBand="1"/>
      </w:tblPr>
      <w:tblGrid>
        <w:gridCol w:w="10139"/>
      </w:tblGrid>
      <w:tr w:rsidR="00CC0635" w:rsidRPr="0040315A" w14:paraId="72F0B4EA" w14:textId="77777777" w:rsidTr="0040315A">
        <w:tc>
          <w:tcPr>
            <w:tcW w:w="10139" w:type="dxa"/>
          </w:tcPr>
          <w:p w14:paraId="4B555766" w14:textId="77777777" w:rsidR="00E56583" w:rsidRPr="00E56583" w:rsidRDefault="00E56583" w:rsidP="00E56583">
            <w:pPr>
              <w:jc w:val="center"/>
              <w:rPr>
                <w:rFonts w:ascii="Times New Roman" w:hAnsi="Times New Roman"/>
                <w:szCs w:val="24"/>
              </w:rPr>
            </w:pPr>
            <w:r w:rsidRPr="00E56583">
              <w:rPr>
                <w:rFonts w:ascii="Times New Roman" w:hAnsi="Times New Roman"/>
                <w:noProof/>
                <w:szCs w:val="24"/>
                <w:lang w:val="en-US"/>
              </w:rPr>
              <w:drawing>
                <wp:inline distT="0" distB="0" distL="0" distR="0" wp14:anchorId="7961BA05" wp14:editId="352A52B2">
                  <wp:extent cx="676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2406CB9C" w14:textId="77777777" w:rsidR="00E56583" w:rsidRPr="00E56583" w:rsidRDefault="00E56583" w:rsidP="00E56583">
            <w:pPr>
              <w:jc w:val="center"/>
              <w:rPr>
                <w:rFonts w:ascii="Times New Roman" w:hAnsi="Times New Roman"/>
                <w:b/>
                <w:szCs w:val="24"/>
              </w:rPr>
            </w:pPr>
            <w:r w:rsidRPr="00E56583">
              <w:rPr>
                <w:rFonts w:ascii="Times New Roman" w:hAnsi="Times New Roman"/>
                <w:b/>
                <w:szCs w:val="24"/>
              </w:rPr>
              <w:t>ANYKŠČIŲ RAJONO SAVIVALDYBĖS</w:t>
            </w:r>
          </w:p>
          <w:p w14:paraId="33BDD433" w14:textId="77777777" w:rsidR="00E56583" w:rsidRPr="00E56583" w:rsidRDefault="00E56583" w:rsidP="00E56583">
            <w:pPr>
              <w:jc w:val="center"/>
              <w:rPr>
                <w:rFonts w:ascii="Times New Roman" w:hAnsi="Times New Roman"/>
                <w:b/>
                <w:szCs w:val="24"/>
              </w:rPr>
            </w:pPr>
            <w:r w:rsidRPr="00E56583">
              <w:rPr>
                <w:rFonts w:ascii="Times New Roman" w:hAnsi="Times New Roman"/>
                <w:b/>
                <w:szCs w:val="24"/>
              </w:rPr>
              <w:t>MERAS</w:t>
            </w:r>
          </w:p>
          <w:tbl>
            <w:tblPr>
              <w:tblW w:w="0" w:type="auto"/>
              <w:tblBorders>
                <w:bottom w:val="single" w:sz="6" w:space="0" w:color="auto"/>
              </w:tblBorders>
              <w:tblLayout w:type="fixed"/>
              <w:tblLook w:val="04A0" w:firstRow="1" w:lastRow="0" w:firstColumn="1" w:lastColumn="0" w:noHBand="0" w:noVBand="1"/>
            </w:tblPr>
            <w:tblGrid>
              <w:gridCol w:w="10138"/>
            </w:tblGrid>
            <w:tr w:rsidR="00E56583" w:rsidRPr="00E56583" w14:paraId="22CDC1E4" w14:textId="77777777" w:rsidTr="00737D38">
              <w:trPr>
                <w:trHeight w:val="361"/>
              </w:trPr>
              <w:tc>
                <w:tcPr>
                  <w:tcW w:w="10138" w:type="dxa"/>
                  <w:tcBorders>
                    <w:top w:val="nil"/>
                    <w:left w:val="nil"/>
                    <w:bottom w:val="single" w:sz="6" w:space="0" w:color="auto"/>
                    <w:right w:val="nil"/>
                  </w:tcBorders>
                </w:tcPr>
                <w:p w14:paraId="148268AB" w14:textId="77777777" w:rsidR="00E56583" w:rsidRPr="00E56583" w:rsidRDefault="00E56583" w:rsidP="00E56583">
                  <w:pPr>
                    <w:jc w:val="center"/>
                    <w:rPr>
                      <w:rFonts w:ascii="Times New Roman" w:hAnsi="Times New Roman"/>
                      <w:szCs w:val="24"/>
                    </w:rPr>
                  </w:pPr>
                </w:p>
                <w:p w14:paraId="69F62E2D" w14:textId="33B33A53" w:rsidR="00E56583" w:rsidRPr="00E56583" w:rsidRDefault="00E56583" w:rsidP="00E56583">
                  <w:pPr>
                    <w:jc w:val="center"/>
                    <w:rPr>
                      <w:rFonts w:ascii="Times New Roman" w:hAnsi="Times New Roman"/>
                      <w:sz w:val="18"/>
                      <w:szCs w:val="18"/>
                    </w:rPr>
                  </w:pPr>
                  <w:r w:rsidRPr="00E56583">
                    <w:rPr>
                      <w:rFonts w:ascii="Times New Roman" w:hAnsi="Times New Roman"/>
                      <w:szCs w:val="24"/>
                    </w:rPr>
                    <w:t>J</w:t>
                  </w:r>
                  <w:r w:rsidRPr="00E56583">
                    <w:rPr>
                      <w:rFonts w:ascii="Times New Roman" w:hAnsi="Times New Roman"/>
                      <w:sz w:val="18"/>
                      <w:szCs w:val="18"/>
                    </w:rPr>
                    <w:t>.</w:t>
                  </w:r>
                  <w:r w:rsidRPr="00D40C5B">
                    <w:rPr>
                      <w:rFonts w:ascii="Times New Roman" w:hAnsi="Times New Roman"/>
                      <w:sz w:val="18"/>
                      <w:szCs w:val="18"/>
                    </w:rPr>
                    <w:t xml:space="preserve"> </w:t>
                  </w:r>
                  <w:r w:rsidRPr="00E56583">
                    <w:rPr>
                      <w:rFonts w:ascii="Times New Roman" w:hAnsi="Times New Roman"/>
                      <w:sz w:val="18"/>
                      <w:szCs w:val="18"/>
                    </w:rPr>
                    <w:t xml:space="preserve">Biliūno g. 23, 29111 Anykščiai,  tel. (8 381) 58 035, faks. (8 381) 58 088,  el. p. info@anyksciai.lt </w:t>
                  </w:r>
                </w:p>
                <w:p w14:paraId="301B69B6" w14:textId="77777777" w:rsidR="00D40C5B" w:rsidRDefault="00E56583" w:rsidP="00E56583">
                  <w:pPr>
                    <w:jc w:val="center"/>
                    <w:rPr>
                      <w:rFonts w:ascii="Times New Roman" w:hAnsi="Times New Roman"/>
                      <w:szCs w:val="24"/>
                    </w:rPr>
                  </w:pPr>
                  <w:r w:rsidRPr="00E56583">
                    <w:rPr>
                      <w:rFonts w:ascii="Times New Roman" w:hAnsi="Times New Roman"/>
                      <w:sz w:val="18"/>
                      <w:szCs w:val="18"/>
                    </w:rPr>
                    <w:t>Duomenys kaupiami ir saugomi Juridinių asmenų registre, kodas 188774637</w:t>
                  </w:r>
                  <w:r w:rsidRPr="00E56583">
                    <w:rPr>
                      <w:rFonts w:ascii="Times New Roman" w:hAnsi="Times New Roman"/>
                      <w:szCs w:val="24"/>
                    </w:rPr>
                    <w:t xml:space="preserve"> </w:t>
                  </w:r>
                </w:p>
                <w:p w14:paraId="24566E2F" w14:textId="7D794365" w:rsidR="00E56583" w:rsidRPr="00E56583" w:rsidRDefault="00E56583" w:rsidP="00E56583">
                  <w:pPr>
                    <w:jc w:val="center"/>
                    <w:rPr>
                      <w:rFonts w:ascii="Times New Roman" w:hAnsi="Times New Roman"/>
                      <w:b/>
                      <w:szCs w:val="24"/>
                    </w:rPr>
                  </w:pPr>
                  <w:r w:rsidRPr="00E56583">
                    <w:rPr>
                      <w:rFonts w:ascii="Times New Roman" w:hAnsi="Times New Roman"/>
                      <w:szCs w:val="24"/>
                    </w:rPr>
                    <w:t xml:space="preserve">  </w:t>
                  </w:r>
                </w:p>
              </w:tc>
            </w:tr>
          </w:tbl>
          <w:p w14:paraId="4A93FFE0" w14:textId="77777777" w:rsidR="00E56583" w:rsidRPr="00E56583" w:rsidRDefault="00E56583" w:rsidP="00E56583">
            <w:pPr>
              <w:spacing w:line="360" w:lineRule="auto"/>
              <w:jc w:val="both"/>
              <w:rPr>
                <w:rFonts w:ascii="Times New Roman" w:hAnsi="Times New Roman"/>
                <w:szCs w:val="24"/>
              </w:rPr>
            </w:pPr>
          </w:p>
          <w:tbl>
            <w:tblPr>
              <w:tblW w:w="9750" w:type="dxa"/>
              <w:tblLayout w:type="fixed"/>
              <w:tblLook w:val="04A0" w:firstRow="1" w:lastRow="0" w:firstColumn="1" w:lastColumn="0" w:noHBand="0" w:noVBand="1"/>
            </w:tblPr>
            <w:tblGrid>
              <w:gridCol w:w="5159"/>
              <w:gridCol w:w="480"/>
              <w:gridCol w:w="4111"/>
            </w:tblGrid>
            <w:tr w:rsidR="00E56583" w:rsidRPr="00E56583" w14:paraId="08672E23" w14:textId="77777777" w:rsidTr="00737D38">
              <w:tc>
                <w:tcPr>
                  <w:tcW w:w="5159" w:type="dxa"/>
                </w:tcPr>
                <w:p w14:paraId="2ACC091F" w14:textId="77777777" w:rsidR="00E56583" w:rsidRPr="00E56583" w:rsidRDefault="00E56583" w:rsidP="00E56583">
                  <w:pPr>
                    <w:rPr>
                      <w:szCs w:val="24"/>
                    </w:rPr>
                  </w:pPr>
                  <w:r w:rsidRPr="00E56583">
                    <w:rPr>
                      <w:szCs w:val="24"/>
                    </w:rPr>
                    <w:t>Lietuvos Respublikos finansų ministerijai</w:t>
                  </w:r>
                </w:p>
                <w:p w14:paraId="7086AE72" w14:textId="7388A826" w:rsidR="00E56583" w:rsidRDefault="00E56583" w:rsidP="00E56583">
                  <w:pPr>
                    <w:rPr>
                      <w:szCs w:val="24"/>
                    </w:rPr>
                  </w:pPr>
                </w:p>
                <w:p w14:paraId="5CA7BD01" w14:textId="77777777" w:rsidR="0040315A" w:rsidRPr="00E56583" w:rsidRDefault="0040315A" w:rsidP="00E56583">
                  <w:pPr>
                    <w:rPr>
                      <w:szCs w:val="24"/>
                    </w:rPr>
                  </w:pPr>
                </w:p>
                <w:tbl>
                  <w:tblPr>
                    <w:tblW w:w="0" w:type="auto"/>
                    <w:tblLayout w:type="fixed"/>
                    <w:tblLook w:val="04A0" w:firstRow="1" w:lastRow="0" w:firstColumn="1" w:lastColumn="0" w:noHBand="0" w:noVBand="1"/>
                  </w:tblPr>
                  <w:tblGrid>
                    <w:gridCol w:w="4503"/>
                  </w:tblGrid>
                  <w:tr w:rsidR="00E56583" w:rsidRPr="00E56583" w14:paraId="02542CF7" w14:textId="77777777" w:rsidTr="00737D38">
                    <w:tc>
                      <w:tcPr>
                        <w:tcW w:w="4503" w:type="dxa"/>
                      </w:tcPr>
                      <w:p w14:paraId="79DF307D" w14:textId="77777777" w:rsidR="00E56583" w:rsidRPr="00E56583" w:rsidRDefault="00E56583" w:rsidP="00E56583">
                        <w:pPr>
                          <w:rPr>
                            <w:szCs w:val="24"/>
                          </w:rPr>
                        </w:pPr>
                      </w:p>
                    </w:tc>
                  </w:tr>
                </w:tbl>
                <w:p w14:paraId="5CC8E1E2" w14:textId="77777777" w:rsidR="00E56583" w:rsidRPr="00E56583" w:rsidRDefault="00E56583" w:rsidP="00E56583">
                  <w:pPr>
                    <w:ind w:right="-108"/>
                    <w:rPr>
                      <w:rFonts w:ascii="Times New Roman" w:hAnsi="Times New Roman"/>
                      <w:szCs w:val="24"/>
                    </w:rPr>
                  </w:pPr>
                </w:p>
              </w:tc>
              <w:tc>
                <w:tcPr>
                  <w:tcW w:w="480" w:type="dxa"/>
                </w:tcPr>
                <w:p w14:paraId="218E935D" w14:textId="77777777" w:rsidR="00E56583" w:rsidRPr="00E56583" w:rsidRDefault="00E56583" w:rsidP="00E56583">
                  <w:pPr>
                    <w:rPr>
                      <w:rFonts w:ascii="Times New Roman" w:hAnsi="Times New Roman"/>
                      <w:szCs w:val="24"/>
                    </w:rPr>
                  </w:pPr>
                  <w:r w:rsidRPr="00E56583">
                    <w:rPr>
                      <w:rFonts w:ascii="Times New Roman" w:hAnsi="Times New Roman"/>
                      <w:szCs w:val="24"/>
                    </w:rPr>
                    <w:t xml:space="preserve">                            </w:t>
                  </w:r>
                </w:p>
                <w:p w14:paraId="75B81EB7" w14:textId="77777777" w:rsidR="00E56583" w:rsidRPr="00E56583" w:rsidRDefault="00E56583" w:rsidP="00E56583">
                  <w:pPr>
                    <w:rPr>
                      <w:rFonts w:ascii="Times New Roman" w:hAnsi="Times New Roman"/>
                      <w:szCs w:val="24"/>
                    </w:rPr>
                  </w:pPr>
                </w:p>
              </w:tc>
              <w:tc>
                <w:tcPr>
                  <w:tcW w:w="4111" w:type="dxa"/>
                  <w:hideMark/>
                </w:tcPr>
                <w:p w14:paraId="337F3AB5" w14:textId="77777777" w:rsidR="00E56583" w:rsidRPr="00E56583" w:rsidRDefault="00E56583" w:rsidP="00E56583">
                  <w:pPr>
                    <w:rPr>
                      <w:rFonts w:ascii="Times New Roman" w:hAnsi="Times New Roman"/>
                      <w:szCs w:val="24"/>
                    </w:rPr>
                  </w:pPr>
                  <w:r w:rsidRPr="00E56583">
                    <w:rPr>
                      <w:rFonts w:ascii="Times New Roman" w:hAnsi="Times New Roman"/>
                      <w:szCs w:val="24"/>
                    </w:rPr>
                    <w:t>2021-03-        Nr. 1-SD-</w:t>
                  </w:r>
                </w:p>
                <w:p w14:paraId="32FBFEB5" w14:textId="77777777" w:rsidR="00E56583" w:rsidRPr="00E56583" w:rsidRDefault="00E56583" w:rsidP="00E56583">
                  <w:pPr>
                    <w:rPr>
                      <w:rFonts w:ascii="Times New Roman" w:hAnsi="Times New Roman"/>
                      <w:szCs w:val="24"/>
                    </w:rPr>
                  </w:pPr>
                </w:p>
              </w:tc>
            </w:tr>
          </w:tbl>
          <w:p w14:paraId="139FC261" w14:textId="77777777" w:rsidR="00CC0635" w:rsidRPr="0040315A" w:rsidRDefault="00CC0635" w:rsidP="00E56583">
            <w:pPr>
              <w:overflowPunct/>
              <w:autoSpaceDE/>
              <w:autoSpaceDN/>
              <w:adjustRightInd/>
              <w:spacing w:after="200"/>
              <w:rPr>
                <w:rFonts w:ascii="Times New Roman" w:hAnsi="Times New Roman"/>
                <w:szCs w:val="24"/>
              </w:rPr>
            </w:pPr>
          </w:p>
        </w:tc>
      </w:tr>
    </w:tbl>
    <w:p w14:paraId="17595F42" w14:textId="788C9777" w:rsidR="00204EEE" w:rsidRPr="0040315A" w:rsidRDefault="00745787" w:rsidP="00926DE2">
      <w:pPr>
        <w:spacing w:line="360" w:lineRule="auto"/>
        <w:jc w:val="both"/>
        <w:rPr>
          <w:b/>
          <w:szCs w:val="24"/>
        </w:rPr>
      </w:pPr>
      <w:bookmarkStart w:id="0" w:name="_Hlk528569355"/>
      <w:r w:rsidRPr="0040315A">
        <w:rPr>
          <w:b/>
          <w:szCs w:val="24"/>
        </w:rPr>
        <w:t>D</w:t>
      </w:r>
      <w:r w:rsidR="0057333F" w:rsidRPr="0040315A">
        <w:rPr>
          <w:b/>
          <w:szCs w:val="24"/>
        </w:rPr>
        <w:t xml:space="preserve">ĖL </w:t>
      </w:r>
      <w:r w:rsidR="00005CA5" w:rsidRPr="0040315A">
        <w:rPr>
          <w:b/>
          <w:szCs w:val="24"/>
        </w:rPr>
        <w:t xml:space="preserve">VALSTYBĖS </w:t>
      </w:r>
      <w:r w:rsidR="00E56583" w:rsidRPr="0040315A">
        <w:rPr>
          <w:b/>
          <w:szCs w:val="24"/>
        </w:rPr>
        <w:t>NEKILNOJAMOJO TURTO PERDAVIMO ANYKŠČIŲ RAJONO SAVIVALDYBĖS NUOSAVYBĖN</w:t>
      </w:r>
    </w:p>
    <w:bookmarkEnd w:id="0"/>
    <w:p w14:paraId="5AA83054" w14:textId="77777777" w:rsidR="00775F3E" w:rsidRDefault="00775F3E" w:rsidP="0057333F">
      <w:pPr>
        <w:spacing w:line="360" w:lineRule="auto"/>
        <w:jc w:val="both"/>
      </w:pPr>
    </w:p>
    <w:p w14:paraId="77630616" w14:textId="5E4E7B2D" w:rsidR="00E56583" w:rsidRDefault="00E56583" w:rsidP="00AF4351">
      <w:pPr>
        <w:spacing w:line="360" w:lineRule="auto"/>
        <w:ind w:firstLine="720"/>
        <w:jc w:val="both"/>
      </w:pPr>
      <w:r>
        <w:t>Vadovau</w:t>
      </w:r>
      <w:r w:rsidR="008024D1">
        <w:t>damiesi</w:t>
      </w:r>
      <w:r>
        <w:t xml:space="preserve"> Lietuvos Respublikos Vyriausybės 2001 m. sausio 5 d. nutarimo Nr. 16 „Dėl valstybės turto perdavimo patikėjimo teise ir savivaldybių  nuosavybėn“ IV skyriumi,  prašome Lietuvos Respublikos Vyriausybei pateikti nutarimo projektą dėl valstyb</w:t>
      </w:r>
      <w:r w:rsidR="00CD49F0">
        <w:t>ei</w:t>
      </w:r>
      <w:r>
        <w:t xml:space="preserve"> </w:t>
      </w:r>
      <w:r w:rsidR="00CD49F0">
        <w:t>nuosavybės teise priklausančio, šiuo metu Anykščių rajono savivaldybės patikėjimo teise valdomo</w:t>
      </w:r>
      <w:r w:rsidR="00A1043D">
        <w:t>,</w:t>
      </w:r>
      <w:r w:rsidR="00CD49F0">
        <w:t xml:space="preserve"> </w:t>
      </w:r>
      <w:r>
        <w:t xml:space="preserve">nekilnojamojo turto </w:t>
      </w:r>
      <w:r w:rsidR="00020A5E">
        <w:t xml:space="preserve">(patikėjimo teise perduotas Lietuvos Respublikos Vyriausybės 2002 m. rugpjūčio 10 d. nutarimu Nr. 1273 „Dėl turto perdavimo“) </w:t>
      </w:r>
      <w:r>
        <w:t xml:space="preserve">J. Biliūno g. 19, Anykščių m., perdavimo Anykščių rajono savivaldybės nuosavybėn. </w:t>
      </w:r>
    </w:p>
    <w:p w14:paraId="581C6B74" w14:textId="77777777" w:rsidR="00317CF7" w:rsidRDefault="00AF4351" w:rsidP="00317CF7">
      <w:pPr>
        <w:spacing w:line="360" w:lineRule="auto"/>
        <w:ind w:firstLine="720"/>
        <w:jc w:val="both"/>
      </w:pPr>
      <w:r>
        <w:t xml:space="preserve">Prašomas perduoti </w:t>
      </w:r>
      <w:r w:rsidR="00E56583">
        <w:t>nekilnojam</w:t>
      </w:r>
      <w:r>
        <w:t>asis</w:t>
      </w:r>
      <w:r w:rsidR="00E56583">
        <w:t xml:space="preserve"> turt</w:t>
      </w:r>
      <w:r>
        <w:t>as</w:t>
      </w:r>
      <w:r w:rsidR="00E56583">
        <w:t>:</w:t>
      </w:r>
    </w:p>
    <w:p w14:paraId="2BB4CD94" w14:textId="77777777" w:rsidR="00317CF7" w:rsidRDefault="00317CF7" w:rsidP="00317CF7">
      <w:pPr>
        <w:spacing w:line="360" w:lineRule="auto"/>
        <w:ind w:firstLine="720"/>
        <w:jc w:val="both"/>
      </w:pPr>
      <w:r>
        <w:t>1. P</w:t>
      </w:r>
      <w:r w:rsidR="00E56583">
        <w:t>astat</w:t>
      </w:r>
      <w:r w:rsidR="00074FE7">
        <w:t>as</w:t>
      </w:r>
      <w:r w:rsidR="00E56583">
        <w:t>-administracin</w:t>
      </w:r>
      <w:r w:rsidR="00074FE7">
        <w:t>is</w:t>
      </w:r>
      <w:r w:rsidR="00E56583">
        <w:t xml:space="preserve"> (unikalus Nr. 3492-8000-1010, nekilnojamojo turto kadastro duomenų bylos plane pastatas pažymėtas indeksu 1B2p, paskirtis – administracinė, bendras plotas – 444,84 kv. m, aukštų skaičius – 2, statybos metai – 1928, registro Nr. 44/1365449);</w:t>
      </w:r>
    </w:p>
    <w:p w14:paraId="2D2C6513" w14:textId="77777777" w:rsidR="00317CF7" w:rsidRDefault="00317CF7" w:rsidP="00317CF7">
      <w:pPr>
        <w:spacing w:line="360" w:lineRule="auto"/>
        <w:ind w:firstLine="720"/>
        <w:jc w:val="both"/>
      </w:pPr>
      <w:r>
        <w:t>2. P</w:t>
      </w:r>
      <w:r w:rsidR="00E56583">
        <w:t>astat</w:t>
      </w:r>
      <w:r w:rsidR="00074FE7">
        <w:t>as</w:t>
      </w:r>
      <w:r w:rsidR="00E56583">
        <w:t>-garaž</w:t>
      </w:r>
      <w:r w:rsidR="00074FE7">
        <w:t>as</w:t>
      </w:r>
      <w:r w:rsidR="00E56583">
        <w:t xml:space="preserve"> (unikalus Nr. 3492-8000-1021, nekilnojamojo turto kadastro duomenų bylos plane pastatas pažymėtas indeksu 2G1p, paskirtis – garažų, bendras plotas – 19,86 kv. m, aukštų skaičius – 1, statybos metai – 1975, registro Nr. 44/1365449);</w:t>
      </w:r>
    </w:p>
    <w:p w14:paraId="0B34B56B" w14:textId="77777777" w:rsidR="00317CF7" w:rsidRDefault="00317CF7" w:rsidP="00317CF7">
      <w:pPr>
        <w:spacing w:line="360" w:lineRule="auto"/>
        <w:ind w:firstLine="720"/>
        <w:jc w:val="both"/>
      </w:pPr>
      <w:r>
        <w:t>3. P</w:t>
      </w:r>
      <w:r w:rsidR="00E56583">
        <w:t>astat</w:t>
      </w:r>
      <w:r>
        <w:t>as</w:t>
      </w:r>
      <w:r w:rsidR="00E56583">
        <w:t>-garaž</w:t>
      </w:r>
      <w:r>
        <w:t>as</w:t>
      </w:r>
      <w:r w:rsidR="00E56583">
        <w:t xml:space="preserve"> (unikalus Nr. 3492-8000-1032, nekilnojamojo turto kadastro duomenų bylos plane pastatas pažymėtas indeksu 3G1p, paskirtis – garažų, bendras plotas – 147,98 kv. m, aukštų skaičius – 1, statybos metai – 1975, registro Nr. 44/1365449);</w:t>
      </w:r>
    </w:p>
    <w:p w14:paraId="45B68902" w14:textId="6ECA453F" w:rsidR="00A1043D" w:rsidRDefault="00317CF7" w:rsidP="00A1043D">
      <w:pPr>
        <w:spacing w:line="360" w:lineRule="auto"/>
        <w:ind w:firstLine="720"/>
        <w:jc w:val="both"/>
      </w:pPr>
      <w:r>
        <w:t>4. K</w:t>
      </w:r>
      <w:r w:rsidR="00E56583">
        <w:t>it</w:t>
      </w:r>
      <w:r>
        <w:t>i</w:t>
      </w:r>
      <w:r w:rsidR="00E56583">
        <w:t xml:space="preserve"> inžinerini</w:t>
      </w:r>
      <w:r>
        <w:t>ai</w:t>
      </w:r>
      <w:r w:rsidR="00E56583">
        <w:t xml:space="preserve"> statini</w:t>
      </w:r>
      <w:r>
        <w:t>ai</w:t>
      </w:r>
      <w:r w:rsidR="00E56583">
        <w:t>-kiemo statini</w:t>
      </w:r>
      <w:r>
        <w:t>ai</w:t>
      </w:r>
      <w:r w:rsidR="00E56583">
        <w:t xml:space="preserve"> (aikštel</w:t>
      </w:r>
      <w:r>
        <w:t>ė</w:t>
      </w:r>
      <w:r w:rsidR="00E56583">
        <w:t>) (unikalus Nr. 3492-8000-1043, paskirtis – kitų inžinerinių statinių, statybos metai – 1978, registro Nr. 44/1365449).</w:t>
      </w:r>
    </w:p>
    <w:p w14:paraId="60CF7B32" w14:textId="7F2E1D60" w:rsidR="009D727F" w:rsidRDefault="009D727F" w:rsidP="00A1043D">
      <w:pPr>
        <w:spacing w:line="360" w:lineRule="auto"/>
        <w:ind w:firstLine="720"/>
        <w:jc w:val="both"/>
      </w:pPr>
      <w:r>
        <w:lastRenderedPageBreak/>
        <w:t>Anykščių rajono savivaldybės nuosavybėn perduotus statinius naudosime savarankiškųjų savivaldybių funkcijų – biudžetinių įstaigų steigimas ir išlaikymas, viešųjų įstaigų, savivaldybės įmonių ir kitų savivaldybės juridinių asmenų steigimas ir socialinių paslaugų teikimo užtikrinimas planuojant ir organizuojant socialines paslaugas, kontroliuojant bendrųjų socialinių paslaugų ir socialinės priežiūros kokybę, taip pat socialinių įstaigų steigimas ir išlaikymas – įgyvendinimui</w:t>
      </w:r>
      <w:r w:rsidR="00F31359">
        <w:t xml:space="preserve"> (pridedamas Anykščių rajono savivaldybės tarybos sprendimas).</w:t>
      </w:r>
    </w:p>
    <w:p w14:paraId="7BB4E958" w14:textId="03D8447E" w:rsidR="00E56583" w:rsidRDefault="008E060B" w:rsidP="005D388E">
      <w:pPr>
        <w:spacing w:line="360" w:lineRule="auto"/>
        <w:ind w:firstLine="720"/>
        <w:jc w:val="both"/>
      </w:pPr>
      <w:r>
        <w:t>Informuojame, kad a</w:t>
      </w:r>
      <w:r w:rsidR="00E56583">
        <w:t xml:space="preserve">tlikus administracinio pastato J. Biliūno g. 19, Anykščių m. </w:t>
      </w:r>
      <w:r w:rsidR="00097522">
        <w:t>(konstrukcinė schema – mūrinės išilginės laikančiosios ir skersinės sienos, medinė sijinė perdanga, gegninių konstrukcijų šlaitinis stogas</w:t>
      </w:r>
      <w:r w:rsidR="008024D1">
        <w:t>,</w:t>
      </w:r>
      <w:r w:rsidR="00097522">
        <w:t xml:space="preserve"> dengtas skardos lakštais) </w:t>
      </w:r>
      <w:r w:rsidR="00E56583">
        <w:t>apžiūrą, nustatyta</w:t>
      </w:r>
      <w:r>
        <w:t xml:space="preserve"> </w:t>
      </w:r>
      <w:r w:rsidR="005341C7">
        <w:t>p</w:t>
      </w:r>
      <w:r w:rsidR="00E56583">
        <w:t>aviršini</w:t>
      </w:r>
      <w:r w:rsidR="00446872">
        <w:t>o</w:t>
      </w:r>
      <w:r w:rsidR="00E56583">
        <w:t xml:space="preserve"> mūro sluoksni</w:t>
      </w:r>
      <w:r w:rsidR="00446872">
        <w:t>o</w:t>
      </w:r>
      <w:r w:rsidR="00E56583">
        <w:t xml:space="preserve"> erozijos ir korozijos</w:t>
      </w:r>
      <w:r w:rsidR="005341C7">
        <w:t xml:space="preserve"> </w:t>
      </w:r>
      <w:r w:rsidR="00446872">
        <w:t xml:space="preserve">pažeidimai: </w:t>
      </w:r>
      <w:r w:rsidR="005341C7">
        <w:t>f</w:t>
      </w:r>
      <w:r w:rsidR="00E56583">
        <w:t>asadinių sienų mūro erozija – keraminių plytų suirimas ir siūlių skiedinio ištrupėjimas (išdūlėjimas)</w:t>
      </w:r>
      <w:r w:rsidR="005341C7">
        <w:t xml:space="preserve"> dėl</w:t>
      </w:r>
      <w:r w:rsidR="00E56583">
        <w:t xml:space="preserve"> ilg</w:t>
      </w:r>
      <w:r w:rsidR="005341C7">
        <w:t>alaikio</w:t>
      </w:r>
      <w:r w:rsidR="00E56583">
        <w:t xml:space="preserve"> abrazyvini</w:t>
      </w:r>
      <w:r w:rsidR="005341C7">
        <w:t>o</w:t>
      </w:r>
      <w:r w:rsidR="00E56583">
        <w:t xml:space="preserve"> vėjo, smėlio ir kritulių poveiki</w:t>
      </w:r>
      <w:r w:rsidR="005341C7">
        <w:t>o</w:t>
      </w:r>
      <w:r w:rsidR="00B23E66" w:rsidRPr="00B23E66">
        <w:t xml:space="preserve"> </w:t>
      </w:r>
      <w:r w:rsidR="00B23E66">
        <w:t>(išdūlėjimas pakankamai gilus, vietomis siekia 40–80 mm)</w:t>
      </w:r>
      <w:r w:rsidR="003426CC">
        <w:t xml:space="preserve">, </w:t>
      </w:r>
      <w:r w:rsidR="005341C7">
        <w:t>t</w:t>
      </w:r>
      <w:r w:rsidR="00E56583">
        <w:t xml:space="preserve">echniškai esamos pastato mūro plytos pasiekę šalčio ciklų atlaikymo ribą ir dėl to </w:t>
      </w:r>
      <w:r w:rsidR="005341C7">
        <w:t>pradėjusios</w:t>
      </w:r>
      <w:r w:rsidR="00E56583">
        <w:t xml:space="preserve"> irti</w:t>
      </w:r>
      <w:r w:rsidR="00B23E66">
        <w:t xml:space="preserve">. </w:t>
      </w:r>
      <w:r w:rsidR="00E56583">
        <w:t>Erozijos pažeistas plytų mūras (nuglūdinti plytų kampai, praretinta jų paviršinių sluoksnių struktūra, suardytas mūrinys) sumažina laikančių plytų sienų laikomąją galią.</w:t>
      </w:r>
      <w:r w:rsidR="00B23E66" w:rsidRPr="00B23E66">
        <w:t xml:space="preserve"> </w:t>
      </w:r>
      <w:r w:rsidR="00B23E66">
        <w:t>Taip pat a</w:t>
      </w:r>
      <w:r w:rsidR="00E56583">
        <w:t>titvarinės ir laikančiosios priestato ir pagrindinio pastato plytų mūro sienos ar jų dalys įdrėkę tinkamai neapsaugotose nuo tiesioginių kritulių vietose. Prie stogo karnizų pasireiškė būdingi jų paviršinių sluoksnių ardymo požymiai. Juostinių betono ir akmenbetonio pamatų būklė nepatenkinama: dėl pamatų pagrindų nuosėdžių ir deformacijų atsivėrę įstriži ir vertikalūs plyšiai, deformuotos atskiros pamatų dalys (20–50 mm). Paviršinis lietaus ir sniego tirpsmo vanduo kaupiasi prie pamatų, įmirkydami pamatų pagrindus</w:t>
      </w:r>
      <w:r w:rsidR="005D388E">
        <w:t xml:space="preserve">. </w:t>
      </w:r>
      <w:r w:rsidR="00E56583">
        <w:t>Pastato perdangos medinės</w:t>
      </w:r>
      <w:r w:rsidR="005D388E">
        <w:t>,</w:t>
      </w:r>
      <w:r w:rsidR="00E56583">
        <w:t xml:space="preserve"> sijos netenkina mechaninio atsparumo ir pastovumo, naudojimo saugos, estetinių ir psichologinių reikalavimų. Stogas neapšiltintas, jaučiamas karštis ir pelėsio kvapas</w:t>
      </w:r>
      <w:r w:rsidR="00F31359" w:rsidRPr="00F31359">
        <w:t xml:space="preserve"> </w:t>
      </w:r>
      <w:r w:rsidR="00F31359">
        <w:t>patalpose</w:t>
      </w:r>
      <w:r w:rsidR="00E56583">
        <w:t>, neatitinka higienos reikalavimų.</w:t>
      </w:r>
    </w:p>
    <w:p w14:paraId="2C5C7579" w14:textId="493D305E" w:rsidR="009D727F" w:rsidRDefault="00D55402" w:rsidP="00E56583">
      <w:pPr>
        <w:spacing w:line="360" w:lineRule="auto"/>
        <w:jc w:val="both"/>
      </w:pPr>
      <w:r>
        <w:tab/>
      </w:r>
      <w:r w:rsidR="009D727F">
        <w:t>Statiniai yra centrinėje Anykščių miesto J. Biliūno gatvėje, dabartinė jų būklė gadina miesto estetinį vaizdą.</w:t>
      </w:r>
      <w:r w:rsidR="00B42C60">
        <w:t xml:space="preserve"> </w:t>
      </w:r>
      <w:r w:rsidR="009E64AE">
        <w:t>Kadangi statinius valdome tik patikėjimo teise, apsunkinama galimybė juos racionaliai panaudoti, skirti lėšas iš Savivaldybės biudžeto statinių rekonstrukcijai ar remontui.</w:t>
      </w:r>
    </w:p>
    <w:p w14:paraId="4B61E447" w14:textId="47A22676" w:rsidR="00E56583" w:rsidRDefault="00D55402" w:rsidP="009E64AE">
      <w:pPr>
        <w:spacing w:line="360" w:lineRule="auto"/>
        <w:ind w:firstLine="720"/>
        <w:jc w:val="both"/>
      </w:pPr>
      <w:r>
        <w:t xml:space="preserve">Pagal atliktus paskaičiavimus orientacinė rekonstrukcijos darbų, projektavimo ir kitų inžinerinių paslaugų kaina sudarytų </w:t>
      </w:r>
      <w:r w:rsidR="00222ACC">
        <w:t xml:space="preserve">apie </w:t>
      </w:r>
      <w:r>
        <w:t>54</w:t>
      </w:r>
      <w:r w:rsidR="00222ACC">
        <w:t xml:space="preserve">9 tūkstančius </w:t>
      </w:r>
      <w:r>
        <w:t>eur</w:t>
      </w:r>
      <w:r w:rsidR="00222ACC">
        <w:t>ų</w:t>
      </w:r>
      <w:r w:rsidR="009E64AE">
        <w:t>,</w:t>
      </w:r>
      <w:r w:rsidR="00222ACC">
        <w:t xml:space="preserve"> kuriuos, perimus </w:t>
      </w:r>
      <w:r w:rsidR="00320273">
        <w:t>statini</w:t>
      </w:r>
      <w:r w:rsidR="003F29AD">
        <w:t>us</w:t>
      </w:r>
      <w:r w:rsidR="00222ACC">
        <w:t xml:space="preserve"> Savivaldybės nuosavybėn, </w:t>
      </w:r>
      <w:r w:rsidR="00E56583">
        <w:t>skirt</w:t>
      </w:r>
      <w:r w:rsidR="00222ACC">
        <w:t>ume</w:t>
      </w:r>
      <w:r w:rsidR="00E56583">
        <w:t xml:space="preserve"> iš Anykščių rajono savivaldybės biudžeto.</w:t>
      </w:r>
    </w:p>
    <w:p w14:paraId="32AC324E" w14:textId="34F14856" w:rsidR="00B10F1A" w:rsidRDefault="00456BA1" w:rsidP="009E64AE">
      <w:pPr>
        <w:spacing w:line="360" w:lineRule="auto"/>
        <w:ind w:firstLine="720"/>
        <w:jc w:val="both"/>
      </w:pPr>
      <w:r>
        <w:t>Pažymime, kad Savivaldybė nėra įtraukusi į Savivaldybės tarybos patvirtintą Viešajame aukcione parduodamo Savivaldybės nekilnojamojo turto, taip pat nėra išnuomojusi</w:t>
      </w:r>
      <w:r w:rsidR="001117D2">
        <w:t xml:space="preserve"> ar perdavusi panaudos pagrindais subjektams, kurie pagal Lietuvos Respublikos viešojo sektoriaus atskaitomybės įstatymą nėra laikomi viešojo sektoriaus subjektais, Savivaldybės nekilnojamojo turto, esančio toje pačioje Savivaldybės teritorijoje, kurioje yra prašomi perduoti valstybei priklausantys statiniai ir kurių </w:t>
      </w:r>
      <w:r w:rsidR="001117D2">
        <w:lastRenderedPageBreak/>
        <w:t>naudojimo paskirtis atitinka prašomų perduoti statinių naudojimo paskirtį (</w:t>
      </w:r>
      <w:r w:rsidR="00197B5D">
        <w:t>informacija apie Viešajame aukcione parduodamą Savivaldybės nekilnojamąjį turtą, nuomojamąjį ir panaudos pagrindais perduotą Savivaldybės nekilnojamąjį turtą skelbiama Savivaldybės internetiniame puslapyje</w:t>
      </w:r>
      <w:r w:rsidR="00284BA2">
        <w:t xml:space="preserve">). </w:t>
      </w:r>
    </w:p>
    <w:p w14:paraId="2E0B353E" w14:textId="42DD175A" w:rsidR="00A65C8B" w:rsidRDefault="00BC7425" w:rsidP="00284BA2">
      <w:pPr>
        <w:spacing w:line="360" w:lineRule="auto"/>
        <w:ind w:firstLine="720"/>
        <w:jc w:val="both"/>
      </w:pPr>
      <w:r>
        <w:t>PRIDEDAMA</w:t>
      </w:r>
      <w:r w:rsidR="00284BA2">
        <w:t>:</w:t>
      </w:r>
    </w:p>
    <w:p w14:paraId="51E4FE95" w14:textId="3AA36F36" w:rsidR="00284BA2" w:rsidRDefault="00284BA2" w:rsidP="00284BA2">
      <w:pPr>
        <w:spacing w:line="360" w:lineRule="auto"/>
        <w:ind w:firstLine="720"/>
        <w:jc w:val="both"/>
      </w:pPr>
      <w:r>
        <w:t xml:space="preserve">1. </w:t>
      </w:r>
      <w:r w:rsidR="003B559B">
        <w:t>Lietuvos Respublikos Vyriausybės nutarimo „Dėl valstybės nekilnojamojo turto perdavimo Anykščių rajono savivaldybės nuosavybėn“ projektas, 2 lapai.</w:t>
      </w:r>
    </w:p>
    <w:p w14:paraId="36D5AFBD" w14:textId="7A006E37" w:rsidR="00284BA2" w:rsidRDefault="00284BA2" w:rsidP="00284BA2">
      <w:pPr>
        <w:spacing w:line="360" w:lineRule="auto"/>
        <w:ind w:firstLine="720"/>
        <w:jc w:val="both"/>
      </w:pPr>
      <w:r>
        <w:t xml:space="preserve">2. </w:t>
      </w:r>
      <w:r w:rsidRPr="00284BA2">
        <w:t xml:space="preserve">Anykščių rajono savivaldybės tarybos 2020 m. lapkričio 26 d. sprendimas Nr. 1-TS-338 „Dėl </w:t>
      </w:r>
      <w:r w:rsidR="005D2A41">
        <w:t xml:space="preserve">sutikimo </w:t>
      </w:r>
      <w:r w:rsidRPr="00284BA2">
        <w:t>per</w:t>
      </w:r>
      <w:r w:rsidR="005D2A41">
        <w:t>imti statinius J. Biliūno g. 19, Anykščių m., Anykščių rajono savivaldybės nuosavybėn ir jų perdavimo</w:t>
      </w:r>
      <w:r w:rsidRPr="00284BA2">
        <w:t xml:space="preserve"> valdyti, naudoti ir disponuoti jais patikėjimo teise“, 4 lapai</w:t>
      </w:r>
      <w:r w:rsidR="005D2A41">
        <w:t>;</w:t>
      </w:r>
    </w:p>
    <w:p w14:paraId="7D91299D" w14:textId="012DBDA3" w:rsidR="005D2A41" w:rsidRDefault="005D2A41" w:rsidP="00284BA2">
      <w:pPr>
        <w:spacing w:line="360" w:lineRule="auto"/>
        <w:ind w:firstLine="720"/>
        <w:jc w:val="both"/>
      </w:pPr>
      <w:r>
        <w:t xml:space="preserve">3. Valstybės įmonės Turto banko 2020 m. gruodžio 28 d. raštas Nr. (15.1E-45)-SK45-14182 „Dėl nekilnojamojo turto perdavimo Anykščių rajono savivaldybės nuosavybėn“, </w:t>
      </w:r>
      <w:r w:rsidR="00454617">
        <w:t>2</w:t>
      </w:r>
      <w:r>
        <w:t xml:space="preserve"> lapai;</w:t>
      </w:r>
    </w:p>
    <w:p w14:paraId="620D0252" w14:textId="310F835E" w:rsidR="005D2A41" w:rsidRDefault="005D2A41" w:rsidP="00284BA2">
      <w:pPr>
        <w:spacing w:line="360" w:lineRule="auto"/>
        <w:ind w:firstLine="720"/>
        <w:jc w:val="both"/>
      </w:pPr>
      <w:r>
        <w:t>4. Anykščių rajono savivaldybės tarybos 2021 m. sausio 28 d. sprendimas Nr. 1-TS-25 „Dėl Anykščių rajono</w:t>
      </w:r>
      <w:r w:rsidR="003A4FE6">
        <w:t xml:space="preserve"> savivaldybės patikėjimo teise valdomo valstybės turto pripažinimo nereikalingu valstybės funkcijoms įgyvendinti“, </w:t>
      </w:r>
      <w:r w:rsidR="00454617">
        <w:t>3</w:t>
      </w:r>
      <w:r w:rsidR="003A4FE6">
        <w:t xml:space="preserve"> lapai.</w:t>
      </w:r>
    </w:p>
    <w:p w14:paraId="24F106F8" w14:textId="77777777" w:rsidR="00E21E5E" w:rsidRDefault="00E21E5E" w:rsidP="007B751C">
      <w:pPr>
        <w:tabs>
          <w:tab w:val="left" w:pos="720"/>
        </w:tabs>
        <w:spacing w:line="360" w:lineRule="auto"/>
        <w:jc w:val="both"/>
        <w:rPr>
          <w:rFonts w:ascii="Times New Roman" w:hAnsi="Times New Roman"/>
        </w:rPr>
      </w:pPr>
    </w:p>
    <w:p w14:paraId="4DA521BF" w14:textId="77777777" w:rsidR="006B211C" w:rsidRDefault="006B211C" w:rsidP="007B751C">
      <w:pPr>
        <w:tabs>
          <w:tab w:val="left" w:pos="720"/>
        </w:tabs>
        <w:spacing w:line="360" w:lineRule="auto"/>
        <w:jc w:val="both"/>
        <w:rPr>
          <w:rFonts w:ascii="Times New Roman" w:hAnsi="Times New Roman"/>
        </w:rPr>
      </w:pPr>
    </w:p>
    <w:p w14:paraId="530C8B6E" w14:textId="02B8BBDF" w:rsidR="00745787" w:rsidRDefault="00D40C5B" w:rsidP="007B751C">
      <w:pPr>
        <w:tabs>
          <w:tab w:val="left" w:pos="720"/>
        </w:tabs>
        <w:spacing w:line="360" w:lineRule="auto"/>
        <w:jc w:val="both"/>
        <w:rPr>
          <w:rFonts w:ascii="Times New Roman" w:hAnsi="Times New Roman"/>
        </w:rPr>
      </w:pPr>
      <w:r>
        <w:rPr>
          <w:rFonts w:ascii="Times New Roman" w:hAnsi="Times New Roman"/>
        </w:rPr>
        <w:t>Meras</w:t>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r>
      <w:r w:rsidR="0079245D">
        <w:rPr>
          <w:rFonts w:ascii="Times New Roman" w:hAnsi="Times New Roman"/>
        </w:rPr>
        <w:tab/>
        <w:t xml:space="preserve">       </w:t>
      </w:r>
      <w:r>
        <w:rPr>
          <w:rFonts w:ascii="Times New Roman" w:hAnsi="Times New Roman"/>
        </w:rPr>
        <w:tab/>
      </w:r>
      <w:r>
        <w:rPr>
          <w:rFonts w:ascii="Times New Roman" w:hAnsi="Times New Roman"/>
        </w:rPr>
        <w:tab/>
        <w:t xml:space="preserve">               Sigutis Obelevičius</w:t>
      </w:r>
    </w:p>
    <w:p w14:paraId="234DDC25" w14:textId="77777777" w:rsidR="007F4D23" w:rsidRDefault="007F4D23" w:rsidP="001C6555">
      <w:pPr>
        <w:spacing w:line="360" w:lineRule="auto"/>
        <w:jc w:val="both"/>
        <w:outlineLvl w:val="0"/>
        <w:rPr>
          <w:rFonts w:ascii="Times New Roman" w:hAnsi="Times New Roman"/>
        </w:rPr>
      </w:pPr>
    </w:p>
    <w:p w14:paraId="05EF774C" w14:textId="28E61A10" w:rsidR="002F3085" w:rsidRDefault="002F3085" w:rsidP="001C6555">
      <w:pPr>
        <w:spacing w:line="360" w:lineRule="auto"/>
        <w:jc w:val="both"/>
        <w:outlineLvl w:val="0"/>
        <w:rPr>
          <w:rFonts w:ascii="Times New Roman" w:hAnsi="Times New Roman"/>
        </w:rPr>
      </w:pPr>
    </w:p>
    <w:p w14:paraId="1E82A1D6" w14:textId="148744A8" w:rsidR="002A0C72" w:rsidRDefault="002A0C72" w:rsidP="001C6555">
      <w:pPr>
        <w:spacing w:line="360" w:lineRule="auto"/>
        <w:jc w:val="both"/>
        <w:outlineLvl w:val="0"/>
        <w:rPr>
          <w:rFonts w:ascii="Times New Roman" w:hAnsi="Times New Roman"/>
        </w:rPr>
      </w:pPr>
    </w:p>
    <w:p w14:paraId="24619BD1" w14:textId="4FA3544A" w:rsidR="002A0C72" w:rsidRDefault="002A0C72" w:rsidP="001C6555">
      <w:pPr>
        <w:spacing w:line="360" w:lineRule="auto"/>
        <w:jc w:val="both"/>
        <w:outlineLvl w:val="0"/>
        <w:rPr>
          <w:rFonts w:ascii="Times New Roman" w:hAnsi="Times New Roman"/>
        </w:rPr>
      </w:pPr>
    </w:p>
    <w:p w14:paraId="47E57549" w14:textId="48D13DF2" w:rsidR="002A0C72" w:rsidRDefault="002A0C72" w:rsidP="001C6555">
      <w:pPr>
        <w:spacing w:line="360" w:lineRule="auto"/>
        <w:jc w:val="both"/>
        <w:outlineLvl w:val="0"/>
        <w:rPr>
          <w:rFonts w:ascii="Times New Roman" w:hAnsi="Times New Roman"/>
        </w:rPr>
      </w:pPr>
    </w:p>
    <w:p w14:paraId="1E42513F" w14:textId="713399AD" w:rsidR="002A0C72" w:rsidRDefault="002A0C72" w:rsidP="001C6555">
      <w:pPr>
        <w:spacing w:line="360" w:lineRule="auto"/>
        <w:jc w:val="both"/>
        <w:outlineLvl w:val="0"/>
        <w:rPr>
          <w:rFonts w:ascii="Times New Roman" w:hAnsi="Times New Roman"/>
        </w:rPr>
      </w:pPr>
    </w:p>
    <w:p w14:paraId="639B801A" w14:textId="5F8E41D5" w:rsidR="002A0C72" w:rsidRDefault="002A0C72" w:rsidP="001C6555">
      <w:pPr>
        <w:spacing w:line="360" w:lineRule="auto"/>
        <w:jc w:val="both"/>
        <w:outlineLvl w:val="0"/>
        <w:rPr>
          <w:rFonts w:ascii="Times New Roman" w:hAnsi="Times New Roman"/>
        </w:rPr>
      </w:pPr>
    </w:p>
    <w:p w14:paraId="6F8060CB" w14:textId="2B0E3279" w:rsidR="002A0C72" w:rsidRDefault="002A0C72" w:rsidP="001C6555">
      <w:pPr>
        <w:spacing w:line="360" w:lineRule="auto"/>
        <w:jc w:val="both"/>
        <w:outlineLvl w:val="0"/>
        <w:rPr>
          <w:rFonts w:ascii="Times New Roman" w:hAnsi="Times New Roman"/>
        </w:rPr>
      </w:pPr>
    </w:p>
    <w:p w14:paraId="5AB326FE" w14:textId="25EBD2B7" w:rsidR="002A0C72" w:rsidRDefault="002A0C72" w:rsidP="001C6555">
      <w:pPr>
        <w:spacing w:line="360" w:lineRule="auto"/>
        <w:jc w:val="both"/>
        <w:outlineLvl w:val="0"/>
        <w:rPr>
          <w:rFonts w:ascii="Times New Roman" w:hAnsi="Times New Roman"/>
        </w:rPr>
      </w:pPr>
    </w:p>
    <w:p w14:paraId="62FF744B" w14:textId="7D1D5BD3" w:rsidR="002A0C72" w:rsidRDefault="002A0C72" w:rsidP="001C6555">
      <w:pPr>
        <w:spacing w:line="360" w:lineRule="auto"/>
        <w:jc w:val="both"/>
        <w:outlineLvl w:val="0"/>
        <w:rPr>
          <w:rFonts w:ascii="Times New Roman" w:hAnsi="Times New Roman"/>
        </w:rPr>
      </w:pPr>
    </w:p>
    <w:p w14:paraId="7A525B82" w14:textId="448D73CD" w:rsidR="002A0C72" w:rsidRDefault="002A0C72" w:rsidP="001C6555">
      <w:pPr>
        <w:spacing w:line="360" w:lineRule="auto"/>
        <w:jc w:val="both"/>
        <w:outlineLvl w:val="0"/>
        <w:rPr>
          <w:rFonts w:ascii="Times New Roman" w:hAnsi="Times New Roman"/>
        </w:rPr>
      </w:pPr>
    </w:p>
    <w:p w14:paraId="01A056C5" w14:textId="7F2D6821" w:rsidR="002A0C72" w:rsidRDefault="002A0C72" w:rsidP="001C6555">
      <w:pPr>
        <w:spacing w:line="360" w:lineRule="auto"/>
        <w:jc w:val="both"/>
        <w:outlineLvl w:val="0"/>
        <w:rPr>
          <w:rFonts w:ascii="Times New Roman" w:hAnsi="Times New Roman"/>
        </w:rPr>
      </w:pPr>
    </w:p>
    <w:p w14:paraId="0C00AC69" w14:textId="10E2DEE3" w:rsidR="002A0C72" w:rsidRDefault="002A0C72" w:rsidP="001C6555">
      <w:pPr>
        <w:spacing w:line="360" w:lineRule="auto"/>
        <w:jc w:val="both"/>
        <w:outlineLvl w:val="0"/>
        <w:rPr>
          <w:rFonts w:ascii="Times New Roman" w:hAnsi="Times New Roman"/>
        </w:rPr>
      </w:pPr>
    </w:p>
    <w:p w14:paraId="0532D719" w14:textId="77777777" w:rsidR="00032EB3" w:rsidRPr="001C6555" w:rsidRDefault="000D5DF1" w:rsidP="001C6555">
      <w:pPr>
        <w:spacing w:line="360" w:lineRule="auto"/>
        <w:jc w:val="both"/>
        <w:outlineLvl w:val="0"/>
        <w:rPr>
          <w:lang w:val="en-US"/>
        </w:rPr>
      </w:pPr>
      <w:r>
        <w:rPr>
          <w:rFonts w:ascii="Times New Roman" w:hAnsi="Times New Roman"/>
        </w:rPr>
        <w:t>N. Kiliuvienė</w:t>
      </w:r>
      <w:r w:rsidR="00CC0635">
        <w:rPr>
          <w:rFonts w:ascii="Times New Roman" w:hAnsi="Times New Roman"/>
        </w:rPr>
        <w:t xml:space="preserve">, (8 381) </w:t>
      </w:r>
      <w:r w:rsidR="00FC2CE3">
        <w:rPr>
          <w:rFonts w:ascii="Times New Roman" w:hAnsi="Times New Roman"/>
        </w:rPr>
        <w:t>42372</w:t>
      </w:r>
      <w:r w:rsidR="00CC0635">
        <w:rPr>
          <w:rFonts w:ascii="Times New Roman" w:hAnsi="Times New Roman"/>
        </w:rPr>
        <w:t>, el. p</w:t>
      </w:r>
      <w:r w:rsidR="001C6555">
        <w:rPr>
          <w:rFonts w:ascii="Times New Roman" w:hAnsi="Times New Roman"/>
        </w:rPr>
        <w:t xml:space="preserve">. </w:t>
      </w:r>
      <w:r w:rsidR="00FC2CE3">
        <w:rPr>
          <w:rFonts w:ascii="Times New Roman" w:hAnsi="Times New Roman"/>
        </w:rPr>
        <w:t>natasa.kiliuviene</w:t>
      </w:r>
      <w:r w:rsidR="001C6555">
        <w:rPr>
          <w:rFonts w:ascii="Times New Roman" w:hAnsi="Times New Roman"/>
          <w:lang w:val="en-US"/>
        </w:rPr>
        <w:t>@anyksciai.lt</w:t>
      </w:r>
    </w:p>
    <w:sectPr w:rsidR="00032EB3" w:rsidRPr="001C6555" w:rsidSect="00A83DC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094D"/>
    <w:multiLevelType w:val="hybridMultilevel"/>
    <w:tmpl w:val="ED080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02698"/>
    <w:multiLevelType w:val="hybridMultilevel"/>
    <w:tmpl w:val="CA8E2A90"/>
    <w:lvl w:ilvl="0" w:tplc="1EBA3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E46A86"/>
    <w:multiLevelType w:val="hybridMultilevel"/>
    <w:tmpl w:val="6002C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B5217"/>
    <w:multiLevelType w:val="hybridMultilevel"/>
    <w:tmpl w:val="A84266E4"/>
    <w:lvl w:ilvl="0" w:tplc="71727B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5678B3"/>
    <w:multiLevelType w:val="hybridMultilevel"/>
    <w:tmpl w:val="5A084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19052B"/>
    <w:multiLevelType w:val="hybridMultilevel"/>
    <w:tmpl w:val="83CCB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F37B93"/>
    <w:multiLevelType w:val="hybridMultilevel"/>
    <w:tmpl w:val="FE0CC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893C11"/>
    <w:multiLevelType w:val="hybridMultilevel"/>
    <w:tmpl w:val="20D03F9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754A7F"/>
    <w:multiLevelType w:val="hybridMultilevel"/>
    <w:tmpl w:val="0046C546"/>
    <w:lvl w:ilvl="0" w:tplc="EDDEFA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4F54E4"/>
    <w:multiLevelType w:val="hybridMultilevel"/>
    <w:tmpl w:val="D4541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4414DC2"/>
    <w:multiLevelType w:val="hybridMultilevel"/>
    <w:tmpl w:val="ECC6F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0E7598"/>
    <w:multiLevelType w:val="multilevel"/>
    <w:tmpl w:val="2BE088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A51F71"/>
    <w:multiLevelType w:val="hybridMultilevel"/>
    <w:tmpl w:val="B1C41BCC"/>
    <w:lvl w:ilvl="0" w:tplc="D780FD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5EB0969"/>
    <w:multiLevelType w:val="hybridMultilevel"/>
    <w:tmpl w:val="1DC6BB00"/>
    <w:lvl w:ilvl="0" w:tplc="CDACCD22">
      <w:start w:val="1"/>
      <w:numFmt w:val="decimal"/>
      <w:lvlText w:val="%1."/>
      <w:lvlJc w:val="left"/>
      <w:pPr>
        <w:ind w:left="1015" w:hanging="360"/>
      </w:pPr>
      <w:rPr>
        <w:rFonts w:hint="default"/>
      </w:rPr>
    </w:lvl>
    <w:lvl w:ilvl="1" w:tplc="04270019" w:tentative="1">
      <w:start w:val="1"/>
      <w:numFmt w:val="lowerLetter"/>
      <w:lvlText w:val="%2."/>
      <w:lvlJc w:val="left"/>
      <w:pPr>
        <w:ind w:left="1735" w:hanging="360"/>
      </w:pPr>
    </w:lvl>
    <w:lvl w:ilvl="2" w:tplc="0427001B" w:tentative="1">
      <w:start w:val="1"/>
      <w:numFmt w:val="lowerRoman"/>
      <w:lvlText w:val="%3."/>
      <w:lvlJc w:val="right"/>
      <w:pPr>
        <w:ind w:left="2455" w:hanging="180"/>
      </w:pPr>
    </w:lvl>
    <w:lvl w:ilvl="3" w:tplc="0427000F" w:tentative="1">
      <w:start w:val="1"/>
      <w:numFmt w:val="decimal"/>
      <w:lvlText w:val="%4."/>
      <w:lvlJc w:val="left"/>
      <w:pPr>
        <w:ind w:left="3175" w:hanging="360"/>
      </w:pPr>
    </w:lvl>
    <w:lvl w:ilvl="4" w:tplc="04270019" w:tentative="1">
      <w:start w:val="1"/>
      <w:numFmt w:val="lowerLetter"/>
      <w:lvlText w:val="%5."/>
      <w:lvlJc w:val="left"/>
      <w:pPr>
        <w:ind w:left="3895" w:hanging="360"/>
      </w:pPr>
    </w:lvl>
    <w:lvl w:ilvl="5" w:tplc="0427001B" w:tentative="1">
      <w:start w:val="1"/>
      <w:numFmt w:val="lowerRoman"/>
      <w:lvlText w:val="%6."/>
      <w:lvlJc w:val="right"/>
      <w:pPr>
        <w:ind w:left="4615" w:hanging="180"/>
      </w:pPr>
    </w:lvl>
    <w:lvl w:ilvl="6" w:tplc="0427000F" w:tentative="1">
      <w:start w:val="1"/>
      <w:numFmt w:val="decimal"/>
      <w:lvlText w:val="%7."/>
      <w:lvlJc w:val="left"/>
      <w:pPr>
        <w:ind w:left="5335" w:hanging="360"/>
      </w:pPr>
    </w:lvl>
    <w:lvl w:ilvl="7" w:tplc="04270019" w:tentative="1">
      <w:start w:val="1"/>
      <w:numFmt w:val="lowerLetter"/>
      <w:lvlText w:val="%8."/>
      <w:lvlJc w:val="left"/>
      <w:pPr>
        <w:ind w:left="6055" w:hanging="360"/>
      </w:pPr>
    </w:lvl>
    <w:lvl w:ilvl="8" w:tplc="0427001B" w:tentative="1">
      <w:start w:val="1"/>
      <w:numFmt w:val="lowerRoman"/>
      <w:lvlText w:val="%9."/>
      <w:lvlJc w:val="right"/>
      <w:pPr>
        <w:ind w:left="6775" w:hanging="180"/>
      </w:pPr>
    </w:lvl>
  </w:abstractNum>
  <w:abstractNum w:abstractNumId="14" w15:restartNumberingAfterBreak="0">
    <w:nsid w:val="78384CBF"/>
    <w:multiLevelType w:val="hybridMultilevel"/>
    <w:tmpl w:val="DDB89B66"/>
    <w:lvl w:ilvl="0" w:tplc="9DBA6A2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F6A62AD"/>
    <w:multiLevelType w:val="hybridMultilevel"/>
    <w:tmpl w:val="EE7A40DA"/>
    <w:lvl w:ilvl="0" w:tplc="377C02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3"/>
  </w:num>
  <w:num w:numId="5">
    <w:abstractNumId w:val="14"/>
  </w:num>
  <w:num w:numId="6">
    <w:abstractNumId w:val="7"/>
  </w:num>
  <w:num w:numId="7">
    <w:abstractNumId w:val="15"/>
  </w:num>
  <w:num w:numId="8">
    <w:abstractNumId w:val="8"/>
  </w:num>
  <w:num w:numId="9">
    <w:abstractNumId w:val="0"/>
  </w:num>
  <w:num w:numId="10">
    <w:abstractNumId w:val="12"/>
  </w:num>
  <w:num w:numId="11">
    <w:abstractNumId w:val="6"/>
  </w:num>
  <w:num w:numId="12">
    <w:abstractNumId w:val="2"/>
  </w:num>
  <w:num w:numId="13">
    <w:abstractNumId w:val="1"/>
  </w:num>
  <w:num w:numId="14">
    <w:abstractNumId w:val="1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79"/>
    <w:rsid w:val="00005CA5"/>
    <w:rsid w:val="00011A29"/>
    <w:rsid w:val="000204BD"/>
    <w:rsid w:val="00020A5E"/>
    <w:rsid w:val="00020B7B"/>
    <w:rsid w:val="00021A3D"/>
    <w:rsid w:val="00032EB3"/>
    <w:rsid w:val="00045F4A"/>
    <w:rsid w:val="0006068C"/>
    <w:rsid w:val="0006194A"/>
    <w:rsid w:val="00066E2C"/>
    <w:rsid w:val="0007371E"/>
    <w:rsid w:val="00074AA3"/>
    <w:rsid w:val="00074FE7"/>
    <w:rsid w:val="00075291"/>
    <w:rsid w:val="00075A16"/>
    <w:rsid w:val="00092315"/>
    <w:rsid w:val="00092A97"/>
    <w:rsid w:val="00092B48"/>
    <w:rsid w:val="0009588B"/>
    <w:rsid w:val="00097522"/>
    <w:rsid w:val="000B608F"/>
    <w:rsid w:val="000D2E2E"/>
    <w:rsid w:val="000D4A05"/>
    <w:rsid w:val="000D5DF1"/>
    <w:rsid w:val="000E30BE"/>
    <w:rsid w:val="000E359A"/>
    <w:rsid w:val="000E73D4"/>
    <w:rsid w:val="000F211C"/>
    <w:rsid w:val="001117D2"/>
    <w:rsid w:val="001165BA"/>
    <w:rsid w:val="00116DB2"/>
    <w:rsid w:val="00123617"/>
    <w:rsid w:val="00135702"/>
    <w:rsid w:val="00144DB2"/>
    <w:rsid w:val="0016589D"/>
    <w:rsid w:val="00190FC8"/>
    <w:rsid w:val="00191711"/>
    <w:rsid w:val="00197B5D"/>
    <w:rsid w:val="001A59AE"/>
    <w:rsid w:val="001A7F84"/>
    <w:rsid w:val="001B39DF"/>
    <w:rsid w:val="001C27AC"/>
    <w:rsid w:val="001C6555"/>
    <w:rsid w:val="001D5F4D"/>
    <w:rsid w:val="001E460B"/>
    <w:rsid w:val="0020032C"/>
    <w:rsid w:val="00203EE3"/>
    <w:rsid w:val="00204EEE"/>
    <w:rsid w:val="002167FE"/>
    <w:rsid w:val="00222ACC"/>
    <w:rsid w:val="0023726E"/>
    <w:rsid w:val="00237320"/>
    <w:rsid w:val="0024472E"/>
    <w:rsid w:val="0025043C"/>
    <w:rsid w:val="002619AC"/>
    <w:rsid w:val="00264A68"/>
    <w:rsid w:val="00270156"/>
    <w:rsid w:val="0027373A"/>
    <w:rsid w:val="00282FF8"/>
    <w:rsid w:val="0028497F"/>
    <w:rsid w:val="00284BA2"/>
    <w:rsid w:val="00287B06"/>
    <w:rsid w:val="00295FC1"/>
    <w:rsid w:val="002A0C72"/>
    <w:rsid w:val="002A2B70"/>
    <w:rsid w:val="002B61D9"/>
    <w:rsid w:val="002C6387"/>
    <w:rsid w:val="002C79F5"/>
    <w:rsid w:val="002E6B5E"/>
    <w:rsid w:val="002F3085"/>
    <w:rsid w:val="0030641E"/>
    <w:rsid w:val="0031708B"/>
    <w:rsid w:val="00317CF7"/>
    <w:rsid w:val="00320273"/>
    <w:rsid w:val="00324389"/>
    <w:rsid w:val="00326E17"/>
    <w:rsid w:val="0032702F"/>
    <w:rsid w:val="003426CC"/>
    <w:rsid w:val="0036448B"/>
    <w:rsid w:val="003645B5"/>
    <w:rsid w:val="00376923"/>
    <w:rsid w:val="003A486D"/>
    <w:rsid w:val="003A4FE6"/>
    <w:rsid w:val="003B559B"/>
    <w:rsid w:val="003B66A0"/>
    <w:rsid w:val="003C1BC3"/>
    <w:rsid w:val="003D69E9"/>
    <w:rsid w:val="003E490B"/>
    <w:rsid w:val="003F00EC"/>
    <w:rsid w:val="003F29AD"/>
    <w:rsid w:val="00401769"/>
    <w:rsid w:val="0040315A"/>
    <w:rsid w:val="00404D17"/>
    <w:rsid w:val="004120E7"/>
    <w:rsid w:val="00424EC9"/>
    <w:rsid w:val="00426BED"/>
    <w:rsid w:val="00446872"/>
    <w:rsid w:val="004507ED"/>
    <w:rsid w:val="00454617"/>
    <w:rsid w:val="00456BA1"/>
    <w:rsid w:val="0047673A"/>
    <w:rsid w:val="00476CB6"/>
    <w:rsid w:val="00480D1D"/>
    <w:rsid w:val="00491EF9"/>
    <w:rsid w:val="004942E1"/>
    <w:rsid w:val="004B3E39"/>
    <w:rsid w:val="004C52B8"/>
    <w:rsid w:val="004D63E3"/>
    <w:rsid w:val="004D66DE"/>
    <w:rsid w:val="00501C74"/>
    <w:rsid w:val="005222DA"/>
    <w:rsid w:val="00524331"/>
    <w:rsid w:val="005309EA"/>
    <w:rsid w:val="005341C7"/>
    <w:rsid w:val="00536A4A"/>
    <w:rsid w:val="005410A5"/>
    <w:rsid w:val="0055229B"/>
    <w:rsid w:val="00557F2F"/>
    <w:rsid w:val="00564E65"/>
    <w:rsid w:val="00567932"/>
    <w:rsid w:val="005712ED"/>
    <w:rsid w:val="0057333F"/>
    <w:rsid w:val="0057688C"/>
    <w:rsid w:val="005911F2"/>
    <w:rsid w:val="00596CB9"/>
    <w:rsid w:val="005D2A41"/>
    <w:rsid w:val="005D388E"/>
    <w:rsid w:val="005D6EE2"/>
    <w:rsid w:val="005E0B62"/>
    <w:rsid w:val="00607A3E"/>
    <w:rsid w:val="00612860"/>
    <w:rsid w:val="00613000"/>
    <w:rsid w:val="00613535"/>
    <w:rsid w:val="006165E9"/>
    <w:rsid w:val="00622D1A"/>
    <w:rsid w:val="00633F62"/>
    <w:rsid w:val="00644B9F"/>
    <w:rsid w:val="006670FB"/>
    <w:rsid w:val="00675232"/>
    <w:rsid w:val="00675FBD"/>
    <w:rsid w:val="006A1ACF"/>
    <w:rsid w:val="006A7B68"/>
    <w:rsid w:val="006B211C"/>
    <w:rsid w:val="007005C3"/>
    <w:rsid w:val="00704C22"/>
    <w:rsid w:val="007065C7"/>
    <w:rsid w:val="007067BC"/>
    <w:rsid w:val="00706E0F"/>
    <w:rsid w:val="0072027D"/>
    <w:rsid w:val="00727ED4"/>
    <w:rsid w:val="00736951"/>
    <w:rsid w:val="00736DEF"/>
    <w:rsid w:val="00745787"/>
    <w:rsid w:val="00764958"/>
    <w:rsid w:val="00767F5A"/>
    <w:rsid w:val="00771331"/>
    <w:rsid w:val="00775F3E"/>
    <w:rsid w:val="007800BD"/>
    <w:rsid w:val="0078319D"/>
    <w:rsid w:val="0078783D"/>
    <w:rsid w:val="0079245D"/>
    <w:rsid w:val="007943EA"/>
    <w:rsid w:val="007A38FA"/>
    <w:rsid w:val="007A535A"/>
    <w:rsid w:val="007B751C"/>
    <w:rsid w:val="007C6051"/>
    <w:rsid w:val="007E3423"/>
    <w:rsid w:val="007F22B3"/>
    <w:rsid w:val="007F4D23"/>
    <w:rsid w:val="007F7D38"/>
    <w:rsid w:val="008024D1"/>
    <w:rsid w:val="00806F0C"/>
    <w:rsid w:val="00814679"/>
    <w:rsid w:val="00815C07"/>
    <w:rsid w:val="008438F7"/>
    <w:rsid w:val="00863922"/>
    <w:rsid w:val="00864599"/>
    <w:rsid w:val="00874B42"/>
    <w:rsid w:val="008771E0"/>
    <w:rsid w:val="008916AC"/>
    <w:rsid w:val="00891A07"/>
    <w:rsid w:val="00895EEE"/>
    <w:rsid w:val="008A11EB"/>
    <w:rsid w:val="008A2C90"/>
    <w:rsid w:val="008B7F1B"/>
    <w:rsid w:val="008C5D2A"/>
    <w:rsid w:val="008C7E3D"/>
    <w:rsid w:val="008E060B"/>
    <w:rsid w:val="008E1B5A"/>
    <w:rsid w:val="00902C5E"/>
    <w:rsid w:val="00926DE2"/>
    <w:rsid w:val="009405E4"/>
    <w:rsid w:val="00943830"/>
    <w:rsid w:val="00947657"/>
    <w:rsid w:val="0095450B"/>
    <w:rsid w:val="00957CF4"/>
    <w:rsid w:val="0097015B"/>
    <w:rsid w:val="0098254C"/>
    <w:rsid w:val="0099099C"/>
    <w:rsid w:val="0099578D"/>
    <w:rsid w:val="009A31FA"/>
    <w:rsid w:val="009A3CD0"/>
    <w:rsid w:val="009A494C"/>
    <w:rsid w:val="009A6B0D"/>
    <w:rsid w:val="009A7D14"/>
    <w:rsid w:val="009B128F"/>
    <w:rsid w:val="009B37EE"/>
    <w:rsid w:val="009C48B8"/>
    <w:rsid w:val="009D727F"/>
    <w:rsid w:val="009E64AE"/>
    <w:rsid w:val="009E7510"/>
    <w:rsid w:val="00A1043D"/>
    <w:rsid w:val="00A1090A"/>
    <w:rsid w:val="00A30CE9"/>
    <w:rsid w:val="00A36CAF"/>
    <w:rsid w:val="00A37D9C"/>
    <w:rsid w:val="00A40A91"/>
    <w:rsid w:val="00A44390"/>
    <w:rsid w:val="00A47D92"/>
    <w:rsid w:val="00A51347"/>
    <w:rsid w:val="00A55EA7"/>
    <w:rsid w:val="00A6012D"/>
    <w:rsid w:val="00A60627"/>
    <w:rsid w:val="00A613A4"/>
    <w:rsid w:val="00A65C8B"/>
    <w:rsid w:val="00A67CBC"/>
    <w:rsid w:val="00A811F6"/>
    <w:rsid w:val="00A83DC0"/>
    <w:rsid w:val="00AA1566"/>
    <w:rsid w:val="00AA168A"/>
    <w:rsid w:val="00AA7BCE"/>
    <w:rsid w:val="00AB2A97"/>
    <w:rsid w:val="00AC5BC2"/>
    <w:rsid w:val="00AF4351"/>
    <w:rsid w:val="00B063C0"/>
    <w:rsid w:val="00B10F1A"/>
    <w:rsid w:val="00B115BE"/>
    <w:rsid w:val="00B23E66"/>
    <w:rsid w:val="00B42C60"/>
    <w:rsid w:val="00B50B4A"/>
    <w:rsid w:val="00B537A9"/>
    <w:rsid w:val="00B5529D"/>
    <w:rsid w:val="00B639CD"/>
    <w:rsid w:val="00B63ECA"/>
    <w:rsid w:val="00B66E73"/>
    <w:rsid w:val="00B91BA9"/>
    <w:rsid w:val="00BB56CA"/>
    <w:rsid w:val="00BC1266"/>
    <w:rsid w:val="00BC7425"/>
    <w:rsid w:val="00BD6B2D"/>
    <w:rsid w:val="00BF08CB"/>
    <w:rsid w:val="00C47E24"/>
    <w:rsid w:val="00C65BE5"/>
    <w:rsid w:val="00C76B54"/>
    <w:rsid w:val="00C778D2"/>
    <w:rsid w:val="00C77D27"/>
    <w:rsid w:val="00C806F9"/>
    <w:rsid w:val="00C830AE"/>
    <w:rsid w:val="00C83447"/>
    <w:rsid w:val="00C94588"/>
    <w:rsid w:val="00CA4BFD"/>
    <w:rsid w:val="00CC0635"/>
    <w:rsid w:val="00CD49F0"/>
    <w:rsid w:val="00CD6887"/>
    <w:rsid w:val="00CF1DF3"/>
    <w:rsid w:val="00D010ED"/>
    <w:rsid w:val="00D0759F"/>
    <w:rsid w:val="00D1023E"/>
    <w:rsid w:val="00D17ECF"/>
    <w:rsid w:val="00D27BC5"/>
    <w:rsid w:val="00D32FA3"/>
    <w:rsid w:val="00D35A40"/>
    <w:rsid w:val="00D36AB9"/>
    <w:rsid w:val="00D40C5B"/>
    <w:rsid w:val="00D55402"/>
    <w:rsid w:val="00D65858"/>
    <w:rsid w:val="00D728FC"/>
    <w:rsid w:val="00D96A21"/>
    <w:rsid w:val="00DB392A"/>
    <w:rsid w:val="00DC35EB"/>
    <w:rsid w:val="00DC739A"/>
    <w:rsid w:val="00DE0675"/>
    <w:rsid w:val="00DF0764"/>
    <w:rsid w:val="00E106D0"/>
    <w:rsid w:val="00E15DCF"/>
    <w:rsid w:val="00E21E5E"/>
    <w:rsid w:val="00E233BA"/>
    <w:rsid w:val="00E45F47"/>
    <w:rsid w:val="00E467AE"/>
    <w:rsid w:val="00E50821"/>
    <w:rsid w:val="00E512C6"/>
    <w:rsid w:val="00E5586C"/>
    <w:rsid w:val="00E56583"/>
    <w:rsid w:val="00E57297"/>
    <w:rsid w:val="00E77EEB"/>
    <w:rsid w:val="00E81CCC"/>
    <w:rsid w:val="00E83FDA"/>
    <w:rsid w:val="00E96622"/>
    <w:rsid w:val="00EA2AF3"/>
    <w:rsid w:val="00EA51B2"/>
    <w:rsid w:val="00EB460F"/>
    <w:rsid w:val="00EC2279"/>
    <w:rsid w:val="00EC50C6"/>
    <w:rsid w:val="00EC741B"/>
    <w:rsid w:val="00EE401A"/>
    <w:rsid w:val="00F10BDE"/>
    <w:rsid w:val="00F10EDA"/>
    <w:rsid w:val="00F2052B"/>
    <w:rsid w:val="00F31359"/>
    <w:rsid w:val="00F63AB9"/>
    <w:rsid w:val="00F772B9"/>
    <w:rsid w:val="00F7757F"/>
    <w:rsid w:val="00F82197"/>
    <w:rsid w:val="00FC0082"/>
    <w:rsid w:val="00FC12F7"/>
    <w:rsid w:val="00FC2CE3"/>
    <w:rsid w:val="00FE01B6"/>
    <w:rsid w:val="00FE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E39A"/>
  <w15:docId w15:val="{3A57C325-5071-466B-A252-28D372CC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635"/>
    <w:pPr>
      <w:overflowPunct w:val="0"/>
      <w:autoSpaceDE w:val="0"/>
      <w:autoSpaceDN w:val="0"/>
      <w:adjustRightInd w:val="0"/>
      <w:spacing w:after="0"/>
    </w:pPr>
    <w:rPr>
      <w:rFonts w:ascii="TimesLT" w:eastAsia="Times New Roman" w:hAnsi="TimesLT"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C0635"/>
    <w:rPr>
      <w:color w:val="0000FF" w:themeColor="hyperlink"/>
      <w:u w:val="single"/>
    </w:rPr>
  </w:style>
  <w:style w:type="paragraph" w:styleId="Debesliotekstas">
    <w:name w:val="Balloon Text"/>
    <w:basedOn w:val="prastasis"/>
    <w:link w:val="DebesliotekstasDiagrama"/>
    <w:uiPriority w:val="99"/>
    <w:semiHidden/>
    <w:unhideWhenUsed/>
    <w:rsid w:val="00CC06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635"/>
    <w:rPr>
      <w:rFonts w:ascii="Tahoma" w:eastAsia="Times New Roman" w:hAnsi="Tahoma" w:cs="Tahoma"/>
      <w:sz w:val="16"/>
      <w:szCs w:val="16"/>
      <w:lang w:val="lt-LT"/>
    </w:rPr>
  </w:style>
  <w:style w:type="paragraph" w:styleId="Sraopastraipa">
    <w:name w:val="List Paragraph"/>
    <w:basedOn w:val="prastasis"/>
    <w:uiPriority w:val="34"/>
    <w:qFormat/>
    <w:rsid w:val="00424EC9"/>
    <w:pPr>
      <w:ind w:left="720"/>
      <w:contextualSpacing/>
    </w:pPr>
  </w:style>
  <w:style w:type="character" w:styleId="Neapdorotaspaminjimas">
    <w:name w:val="Unresolved Mention"/>
    <w:basedOn w:val="Numatytasispastraiposriftas"/>
    <w:uiPriority w:val="99"/>
    <w:semiHidden/>
    <w:unhideWhenUsed/>
    <w:rsid w:val="0019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16902">
      <w:bodyDiv w:val="1"/>
      <w:marLeft w:val="0"/>
      <w:marRight w:val="0"/>
      <w:marTop w:val="0"/>
      <w:marBottom w:val="0"/>
      <w:divBdr>
        <w:top w:val="none" w:sz="0" w:space="0" w:color="auto"/>
        <w:left w:val="none" w:sz="0" w:space="0" w:color="auto"/>
        <w:bottom w:val="none" w:sz="0" w:space="0" w:color="auto"/>
        <w:right w:val="none" w:sz="0" w:space="0" w:color="auto"/>
      </w:divBdr>
    </w:div>
    <w:div w:id="2910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4073</Words>
  <Characters>2323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Nataša</cp:lastModifiedBy>
  <cp:revision>90</cp:revision>
  <cp:lastPrinted>2019-10-15T13:48:00Z</cp:lastPrinted>
  <dcterms:created xsi:type="dcterms:W3CDTF">2020-04-23T11:56:00Z</dcterms:created>
  <dcterms:modified xsi:type="dcterms:W3CDTF">2021-03-17T14:11:00Z</dcterms:modified>
</cp:coreProperties>
</file>