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50942" w14:textId="45812789" w:rsidR="00E9041B" w:rsidRPr="007B5A4B" w:rsidRDefault="00BD7BCB">
      <w:pPr>
        <w:tabs>
          <w:tab w:val="left" w:pos="426"/>
        </w:tabs>
        <w:ind w:firstLine="851"/>
        <w:jc w:val="center"/>
        <w:rPr>
          <w:rFonts w:ascii="Times New Roman" w:hAnsi="Times New Roman" w:cs="Times New Roman"/>
          <w:b/>
          <w:sz w:val="24"/>
          <w:szCs w:val="24"/>
        </w:rPr>
      </w:pPr>
      <w:r w:rsidRPr="007B5A4B">
        <w:rPr>
          <w:rFonts w:ascii="Times New Roman" w:hAnsi="Times New Roman" w:cs="Times New Roman"/>
          <w:b/>
          <w:sz w:val="24"/>
          <w:szCs w:val="24"/>
        </w:rPr>
        <w:t>DĖL LIETUVOS RESPUBLIKOS SAUGAUS EISMO AUTOMOBILIŲ KELIAIS ĮSTATYMO NR. VIII-2043 10, 22 IR 24 STRAIPSNIŲ PAKEITIMO ĮSTATYMO, LIETUVOS RESPUBLIKOS ADMINISTRACINIŲ NUSIŽENGIMŲ KODEKSO 29, 31</w:t>
      </w:r>
      <w:r w:rsidRPr="007B5A4B">
        <w:rPr>
          <w:rFonts w:ascii="Times New Roman" w:hAnsi="Times New Roman" w:cs="Times New Roman"/>
          <w:b/>
          <w:sz w:val="24"/>
          <w:szCs w:val="24"/>
          <w:vertAlign w:val="superscript"/>
        </w:rPr>
        <w:t>1</w:t>
      </w:r>
      <w:r w:rsidRPr="007B5A4B">
        <w:rPr>
          <w:rFonts w:ascii="Times New Roman" w:hAnsi="Times New Roman" w:cs="Times New Roman"/>
          <w:b/>
          <w:sz w:val="24"/>
          <w:szCs w:val="24"/>
        </w:rPr>
        <w:t>, 71, 416, 420, 423, 426, 427, 686 STRAIPSNIŲ PAKEITIMO ĮSTATYMO IR LIETUVOS RESPUBLIKOS BAUDŽIAMOJO KODEKSO 68 STRAIPSNIO PAKEITIMO ĮSTATYMO PROJEKTŲ DERINIM</w:t>
      </w:r>
      <w:bookmarkStart w:id="0" w:name="_Hlk54877951"/>
      <w:bookmarkEnd w:id="0"/>
      <w:r w:rsidRPr="007B5A4B">
        <w:rPr>
          <w:rFonts w:ascii="Times New Roman" w:hAnsi="Times New Roman" w:cs="Times New Roman"/>
          <w:b/>
          <w:sz w:val="24"/>
          <w:szCs w:val="24"/>
        </w:rPr>
        <w:t>O</w:t>
      </w:r>
      <w:r w:rsidR="00A30FF4" w:rsidRPr="007B5A4B">
        <w:rPr>
          <w:rFonts w:ascii="Times New Roman" w:hAnsi="Times New Roman" w:cs="Times New Roman"/>
          <w:b/>
          <w:sz w:val="24"/>
          <w:szCs w:val="24"/>
        </w:rPr>
        <w:t xml:space="preserve"> PAŽYMA</w:t>
      </w:r>
    </w:p>
    <w:tbl>
      <w:tblPr>
        <w:tblStyle w:val="Lentelstinklelis"/>
        <w:tblW w:w="15452" w:type="dxa"/>
        <w:tblInd w:w="-856" w:type="dxa"/>
        <w:tblLook w:val="04A0" w:firstRow="1" w:lastRow="0" w:firstColumn="1" w:lastColumn="0" w:noHBand="0" w:noVBand="1"/>
      </w:tblPr>
      <w:tblGrid>
        <w:gridCol w:w="1647"/>
        <w:gridCol w:w="9143"/>
        <w:gridCol w:w="4662"/>
      </w:tblGrid>
      <w:tr w:rsidR="00E9041B" w:rsidRPr="007B5A4B" w14:paraId="5BB519CB" w14:textId="77777777">
        <w:tc>
          <w:tcPr>
            <w:tcW w:w="1647" w:type="dxa"/>
            <w:vAlign w:val="center"/>
          </w:tcPr>
          <w:p w14:paraId="1EA105D1" w14:textId="77777777" w:rsidR="00E9041B" w:rsidRPr="007B5A4B" w:rsidRDefault="00BD7BCB">
            <w:pPr>
              <w:jc w:val="center"/>
              <w:rPr>
                <w:rFonts w:ascii="Times New Roman" w:hAnsi="Times New Roman" w:cs="Times New Roman"/>
                <w:sz w:val="24"/>
                <w:szCs w:val="24"/>
              </w:rPr>
            </w:pPr>
            <w:r w:rsidRPr="007B5A4B">
              <w:rPr>
                <w:rFonts w:ascii="Times New Roman" w:hAnsi="Times New Roman" w:cs="Times New Roman"/>
                <w:b/>
                <w:bCs/>
                <w:sz w:val="24"/>
                <w:szCs w:val="24"/>
              </w:rPr>
              <w:t>Institucijos pavadinimas, rašto data ir numeris</w:t>
            </w:r>
          </w:p>
        </w:tc>
        <w:tc>
          <w:tcPr>
            <w:tcW w:w="9143" w:type="dxa"/>
            <w:vAlign w:val="center"/>
          </w:tcPr>
          <w:p w14:paraId="2268D86D" w14:textId="77777777" w:rsidR="00E9041B" w:rsidRPr="007B5A4B" w:rsidRDefault="00BD7BCB">
            <w:pPr>
              <w:jc w:val="center"/>
              <w:rPr>
                <w:rFonts w:ascii="Times New Roman" w:hAnsi="Times New Roman" w:cs="Times New Roman"/>
                <w:sz w:val="24"/>
                <w:szCs w:val="24"/>
              </w:rPr>
            </w:pPr>
            <w:r w:rsidRPr="007B5A4B">
              <w:rPr>
                <w:rFonts w:ascii="Times New Roman" w:hAnsi="Times New Roman" w:cs="Times New Roman"/>
                <w:b/>
                <w:sz w:val="24"/>
                <w:szCs w:val="24"/>
              </w:rPr>
              <w:t>Pastabos ir pasiūlymai</w:t>
            </w:r>
          </w:p>
        </w:tc>
        <w:tc>
          <w:tcPr>
            <w:tcW w:w="4662" w:type="dxa"/>
            <w:vAlign w:val="center"/>
          </w:tcPr>
          <w:p w14:paraId="2B439B99" w14:textId="30F8B04E" w:rsidR="00E9041B" w:rsidRPr="007B5A4B" w:rsidRDefault="00BD7BCB">
            <w:pPr>
              <w:jc w:val="center"/>
              <w:rPr>
                <w:rFonts w:ascii="Times New Roman" w:hAnsi="Times New Roman" w:cs="Times New Roman"/>
                <w:sz w:val="24"/>
                <w:szCs w:val="24"/>
              </w:rPr>
            </w:pPr>
            <w:r w:rsidRPr="007B5A4B">
              <w:rPr>
                <w:rFonts w:ascii="Times New Roman" w:hAnsi="Times New Roman" w:cs="Times New Roman"/>
                <w:b/>
                <w:bCs/>
              </w:rPr>
              <w:t>Argumentai, kodėl neatsižvelgta arba tik iš dalies atsižvelgta į pastabas ir pasiūlymus</w:t>
            </w:r>
          </w:p>
        </w:tc>
      </w:tr>
      <w:tr w:rsidR="00E9041B" w:rsidRPr="007B5A4B" w14:paraId="23DAC9C8" w14:textId="77777777">
        <w:tc>
          <w:tcPr>
            <w:tcW w:w="1647" w:type="dxa"/>
            <w:vMerge w:val="restart"/>
            <w:vAlign w:val="center"/>
          </w:tcPr>
          <w:p w14:paraId="4DAB5916" w14:textId="46DA2C50" w:rsidR="00E9041B" w:rsidRPr="007B5A4B" w:rsidRDefault="00BD7BCB">
            <w:pPr>
              <w:pStyle w:val="Sraopastraipa"/>
              <w:ind w:left="0"/>
              <w:rPr>
                <w:b/>
                <w:bCs/>
              </w:rPr>
            </w:pPr>
            <w:r w:rsidRPr="007B5A4B">
              <w:rPr>
                <w:b/>
                <w:bCs/>
              </w:rPr>
              <w:t>Lietuvos Respublikos teisingumo ministerijos</w:t>
            </w:r>
            <w:r w:rsidR="00804612" w:rsidRPr="007B5A4B">
              <w:rPr>
                <w:b/>
                <w:bCs/>
              </w:rPr>
              <w:t xml:space="preserve"> </w:t>
            </w:r>
            <w:r w:rsidR="00804612" w:rsidRPr="007B5A4B">
              <w:rPr>
                <w:b/>
                <w:bCs/>
                <w:color w:val="000000"/>
                <w:shd w:val="clear" w:color="auto" w:fill="FFFFFF"/>
              </w:rPr>
              <w:t>2021-04-06</w:t>
            </w:r>
            <w:r w:rsidRPr="007B5A4B">
              <w:rPr>
                <w:b/>
                <w:bCs/>
              </w:rPr>
              <w:t xml:space="preserve"> raštas</w:t>
            </w:r>
            <w:r w:rsidR="00804612" w:rsidRPr="007B5A4B">
              <w:rPr>
                <w:b/>
                <w:bCs/>
              </w:rPr>
              <w:t xml:space="preserve"> Nr. </w:t>
            </w:r>
            <w:r w:rsidR="00804612" w:rsidRPr="007B5A4B">
              <w:rPr>
                <w:b/>
                <w:bCs/>
                <w:color w:val="000000"/>
                <w:shd w:val="clear" w:color="auto" w:fill="FFFFFF"/>
              </w:rPr>
              <w:t>21-21493</w:t>
            </w:r>
          </w:p>
        </w:tc>
        <w:tc>
          <w:tcPr>
            <w:tcW w:w="9143" w:type="dxa"/>
            <w:vAlign w:val="center"/>
          </w:tcPr>
          <w:p w14:paraId="418580C0" w14:textId="77777777" w:rsidR="00E9041B" w:rsidRPr="007B5A4B" w:rsidRDefault="00BD7BCB">
            <w:pPr>
              <w:jc w:val="both"/>
              <w:rPr>
                <w:rFonts w:ascii="Times New Roman" w:hAnsi="Times New Roman" w:cs="Times New Roman"/>
                <w:b/>
                <w:sz w:val="24"/>
                <w:szCs w:val="24"/>
              </w:rPr>
            </w:pPr>
            <w:r w:rsidRPr="007B5A4B">
              <w:rPr>
                <w:rFonts w:ascii="Times New Roman" w:eastAsia="Times New Roman" w:hAnsi="Times New Roman" w:cs="Times New Roman"/>
                <w:lang w:eastAsia="ar-SA"/>
              </w:rPr>
              <w:t>2. ANK projekto 3 straipsnyje keičiamoje ANK 416 straipsnio 7 dalyje siūloma nustatyti, kad už šio straipsnio 6 dalyje numatytą administracinį nusižengimą privaloma skirti teisės vairuoti transporto priemones atėmimą nuo vienų metų iki vienų metų ir šešių mėnesių, be kita ko, neturintiems teisės vairuoti transporto priemones asmenims. Siūlytina įvertinti, ar nereikėtų analogišką poveikio priemonę taikyti taip pat asmenims, kurie padarė nurodytą administracinį nusižengimą neturėdami teisės vairuoti šios kategorijos transporto priemonę.</w:t>
            </w:r>
          </w:p>
        </w:tc>
        <w:tc>
          <w:tcPr>
            <w:tcW w:w="4662" w:type="dxa"/>
            <w:vAlign w:val="center"/>
          </w:tcPr>
          <w:p w14:paraId="39A924D6" w14:textId="77777777" w:rsidR="00E9041B" w:rsidRPr="007B5A4B" w:rsidRDefault="00BD7BCB">
            <w:pPr>
              <w:jc w:val="both"/>
              <w:rPr>
                <w:rFonts w:ascii="Times New Roman" w:eastAsia="Times New Roman" w:hAnsi="Times New Roman" w:cs="Times New Roman"/>
                <w:b/>
                <w:bCs/>
                <w:lang w:eastAsia="ar-SA"/>
              </w:rPr>
            </w:pPr>
            <w:r w:rsidRPr="007B5A4B">
              <w:rPr>
                <w:rFonts w:ascii="Times New Roman" w:eastAsia="Times New Roman" w:hAnsi="Times New Roman" w:cs="Times New Roman"/>
                <w:b/>
                <w:bCs/>
                <w:lang w:eastAsia="ar-SA"/>
              </w:rPr>
              <w:t>Neatsižvelgta.</w:t>
            </w:r>
          </w:p>
          <w:p w14:paraId="28F6EC7A" w14:textId="77777777" w:rsidR="00E9041B" w:rsidRPr="007B5A4B" w:rsidRDefault="00BD7BCB">
            <w:pPr>
              <w:jc w:val="both"/>
              <w:rPr>
                <w:rFonts w:ascii="Times New Roman" w:hAnsi="Times New Roman" w:cs="Times New Roman"/>
                <w:b/>
                <w:sz w:val="24"/>
                <w:szCs w:val="24"/>
              </w:rPr>
            </w:pPr>
            <w:r w:rsidRPr="007B5A4B">
              <w:rPr>
                <w:rFonts w:ascii="Times New Roman" w:eastAsia="Times New Roman" w:hAnsi="Times New Roman" w:cs="Times New Roman"/>
                <w:lang w:eastAsia="ar-SA"/>
              </w:rPr>
              <w:t>ANK 416 str. 7 d. siūloma dėstyti analogiškai, kaip numatyta galiojančio ANK  420 str. 1, 2 d., 423 str. 3 d., 426 str. 1, 2, 5 d., 427 str. 1 d. Mūsų nuomone,  toks siūlymas galėtų sukelti neaiškumą.</w:t>
            </w:r>
          </w:p>
        </w:tc>
      </w:tr>
      <w:tr w:rsidR="00E9041B" w:rsidRPr="007B5A4B" w14:paraId="51F4E03D" w14:textId="77777777">
        <w:tc>
          <w:tcPr>
            <w:tcW w:w="1647" w:type="dxa"/>
            <w:vMerge/>
          </w:tcPr>
          <w:p w14:paraId="1B7BBFBF" w14:textId="77777777" w:rsidR="00E9041B" w:rsidRPr="007B5A4B" w:rsidRDefault="00E9041B">
            <w:pPr>
              <w:pStyle w:val="Sraopastraipa"/>
              <w:ind w:left="0"/>
              <w:rPr>
                <w:b/>
                <w:bCs/>
                <w:sz w:val="22"/>
                <w:szCs w:val="22"/>
              </w:rPr>
            </w:pPr>
          </w:p>
        </w:tc>
        <w:tc>
          <w:tcPr>
            <w:tcW w:w="9143" w:type="dxa"/>
            <w:shd w:val="clear" w:color="auto" w:fill="auto"/>
          </w:tcPr>
          <w:p w14:paraId="7577BDCD" w14:textId="77777777" w:rsidR="00E9041B" w:rsidRPr="007B5A4B" w:rsidRDefault="00BD7BCB">
            <w:pPr>
              <w:pStyle w:val="Sraopastraipa"/>
              <w:tabs>
                <w:tab w:val="left" w:pos="1134"/>
                <w:tab w:val="left" w:pos="1530"/>
              </w:tabs>
              <w:ind w:left="0"/>
              <w:jc w:val="both"/>
              <w:rPr>
                <w:sz w:val="22"/>
                <w:szCs w:val="22"/>
              </w:rPr>
            </w:pPr>
            <w:r w:rsidRPr="007B5A4B">
              <w:rPr>
                <w:sz w:val="22"/>
                <w:szCs w:val="22"/>
              </w:rPr>
              <w:t xml:space="preserve">3. BK projektu teikiamais BK 68 straipsnio pakeitimais siūloma įtvirtinti specialų, sugriežtintą baudžiamojo poveikio priemonės – uždraudimo naudotis specialiomis teisėmis, skyrimo terminą numatant, kad „už BK 281 straipsnio 2, 4, 6 dalyse ar 2811 straipsnyje numatytas padarytas nusikalstamas veikas teisė vairuoti kelių transporto priemones gali būti atimama nuo vienerių iki septynerių metų“. Projekto autoriai aiškinamajame rašte pažymi, kad siūlomi pakeitimai yra būtinai siekiant užtikrinti, kad „transporto priemones pakartotinai vairavę neblaivūs ar apsvaigę ir nusikalstamą veiką padarę asmenys nebūtų švelniau baudžiami nei tie, kurie padarė administracinį nusižengimą“. Teisingumo ministerijos vertinimu, siūlomi BK 68 straipsnio pakeitimai nėra pakankamai motyvuoti galiojančio teisinio reglamentavimo trūkumais ar spragomis bei galima netinkama šios baudžiamojo poveikio priemonės taikymo praktika, taip pat nepagrįstai sugriežtintų baudžiamąją politiką neblaivių vairuotojų atžvilgiu, kuri ir taip yra pakankamai griežta. Šiame kontekste pažymėtina, kad nėra pagrindo teigti, jog asmenys, net ir pakartotinai padarę atitinkamus ANK įtvirtintus nusižengimus, būtų baudžiami švelniau negu padarę BK įtvirtintą nusikalstamą veiką (šiuo atveju – BK 281 ar 2811 straipsniuose įtvirtintas nusikalstamas veikas). Atkreiptinas dėmesys į tai, kad BK 68 straipsnyje įtvirtinta baudžiamojo poveikio priemonė yra tik viena iš baudžiamosios atsakomybės realizavimo formų, kuri visais atvejais yra skiriama kartu su kriminaline bausme. Neabejotina, kad net ir pačios švelniausios sankcijų rūšys (pavyzdžiui, baudos bausmės dydis už lengviausią iš aptariamų nusikaltimų svyruoja nuo 20 (1000 Eur) iki 750 (37 500 Eur) MGL dydžio), įtvirtintos aptariamuose straipsniuose, dėl savo griežtumo pobūdžio ir laipsnio negali būti prilyginamos ANK įtvirtintoms piniginėms sankcijomis bei administracinio poveikio priemonėms, ypatingai atkreipiant dėmesį į tai, kad už aptariamų nusikalstamų veikų padarymą gali būti skiriamas realus laisvės atėmimas, kuris BK 281 straipsnyje įtvirtintų veikų kontekste gali siekti net iki 10 metų laisvės atėmimo (BK 281 straipsnio 6 dalis). Kartu pažymėtina ir tai, kad ANK jau šiuo metu </w:t>
            </w:r>
            <w:r w:rsidRPr="007B5A4B">
              <w:rPr>
                <w:sz w:val="22"/>
                <w:szCs w:val="22"/>
              </w:rPr>
              <w:lastRenderedPageBreak/>
              <w:t>atitinkamais atvejais numato galimybę skirti ilgesnį specialios teisės – teisės vairuoti transporto priemonę, atėmimo terminą (pavyzdžiui, ANK 426 straipsnio 7 dalis numato galimybę aptariamą teisę atimti nuo 3 iki 5 metų), negu įtvirtintas BK 68 straipsnyje (nuo 1 iki 5 metų), tačiau vien aptariamos baudžiamojo poveikio priemonės termino ribos negali suponuoti išvados, kad ANK yra įtvirtinta griežtesnė atsakomybės forma. Taip pat pažymėtina ir tai, kad BK 2811 yra įtvirtintas nesunkus tyčinis nusikaltimas, kuris ne tik sukuria prielaidas skirti laisvės atėmimo bausmę asmenims, kurie tiesiog atsisako pasitikrinti blaivumą (kas ilgą laika buvo laikoma administraciniu nusižengimu), bet ir tokiam asmeniui užtraukia teistumą, kas ženkliai apsunkina tokio asmens teisinę padėtį, atitinkamais atvejais neleidžia tokio asmens laikyti turint nepriekaištingą reputaciją. Atsižvelgiant į tai, Teisingumo ministerija neabejoja, kad asmenys (ypatingai neblaivūs vairuotojai), patraukti baudžiamojon atsakomybėn pagal BK 281 ir 2811 straipsniuose įtvirtintas nusikalstamas veikas, visuomet yra ženkliai griežčiau baudžiami, todėl dar labiau griežtinti baudžiamąją politiką šių asmenų atžvilgiu, būtinybės bei pakankamo pagrindo nemato. Taip pat manytina, kad BK projektu siūlomi pakeitimai iš esmės tik formaliai sugriežtintų teisės vairuoti atėmimo taikymą, kadangi yra didinamas tik maksimalus šios baudžiamojo poveikio priemonės skyrimo terminas, kuris ir šiuo metu praktikoje yra skiriamas tik išimtiniais atvejais. Atsižvelgiant į tai, aptariamos teisės atėmimo maksimalaus termino pakėlimas iki 7 metų, nedidinant minimalaus termino (pavyzdžiui, kaip BK 682 straipsnio atveju buvo pakelta tiek žemutinė, tiek viršutinė skirtino termino riba vietoj 1–5 metų, iki 3–7 metų), vargu ar šios baudžiamojo poveikio priemonės skyrimo praktiką ženkliai pakeistų. Todėl, BK projektu siūlomi pokyčiai kvestionuotini ir pridėtinės vertės stokos kontekste. Kartu pabrėžtina ir tai, kad iš esmės analogišku pagrindu 2019 m. sausio 11 d. įstatymu Nr. XIII-1929 (toliau – Įstatymas Nr. XIII-1929) jau buvo sugriežtintas BK 68 straipsnyje įtvirtintas baudžiamojo poveikio priemonės maksimalus terminas (nuo 3 iki 5 metų), kas iš esmės reikštų, kad vos per dvejus metus iš esmės analogiškais argumentais aptariama baudžiamojo poveikio priemonė būtų sugriežtinta net du kartus, kas, Teisingumo ministerijos vertinimu, neatitiktų nuoseklios, logiškos proporcingos teisėkūros bei baudžiamosios politikos formavimo principų. Be to, šiame kontekste pažymėtina, kad Įstatymu Nr. XIII-1929 baudžiamoji atsakomybė už neblaivų vairavimą taip pat buvo ženkliai sugriežtinta pakeičiant BK 2811 straipsnyje įtvirtinto nusikaltimo sudėtį, įtvirtinant šiame straipsnyje neatsargią kaltės formą, taip pat numatant baudžiamosios atsakomybės taikymo galimybę ne tik už vairavimą esant neblaiviam, bet ir už atsisakymą tikrintis blaivumą.</w:t>
            </w:r>
          </w:p>
          <w:p w14:paraId="0DB96340" w14:textId="77777777" w:rsidR="00E9041B" w:rsidRPr="007B5A4B" w:rsidRDefault="00BD7BCB">
            <w:pPr>
              <w:tabs>
                <w:tab w:val="left" w:pos="1530"/>
                <w:tab w:val="left" w:pos="1710"/>
              </w:tabs>
              <w:jc w:val="both"/>
              <w:rPr>
                <w:rFonts w:ascii="Times New Roman" w:eastAsia="Times New Roman" w:hAnsi="Times New Roman" w:cs="Times New Roman"/>
                <w:lang w:eastAsia="ar-SA"/>
              </w:rPr>
            </w:pPr>
            <w:bookmarkStart w:id="1" w:name="_Hlk58321909"/>
            <w:r w:rsidRPr="007B5A4B">
              <w:rPr>
                <w:rFonts w:ascii="Times New Roman" w:eastAsia="Times New Roman" w:hAnsi="Times New Roman" w:cs="Times New Roman"/>
                <w:lang w:eastAsia="ar-SA"/>
              </w:rPr>
              <w:t xml:space="preserve">Atsižvelgiant į tai, </w:t>
            </w:r>
            <w:proofErr w:type="spellStart"/>
            <w:r w:rsidRPr="007B5A4B">
              <w:rPr>
                <w:rFonts w:ascii="Times New Roman" w:eastAsia="Times New Roman" w:hAnsi="Times New Roman" w:cs="Times New Roman"/>
                <w:lang w:eastAsia="ar-SA"/>
              </w:rPr>
              <w:t>teigtina</w:t>
            </w:r>
            <w:proofErr w:type="spellEnd"/>
            <w:r w:rsidRPr="007B5A4B">
              <w:rPr>
                <w:rFonts w:ascii="Times New Roman" w:eastAsia="Times New Roman" w:hAnsi="Times New Roman" w:cs="Times New Roman"/>
                <w:lang w:eastAsia="ar-SA"/>
              </w:rPr>
              <w:t>, kad BK projekto autorių siūloma valstybės baudžiamąją politiką griežtinanti išimtis BK 68 straipsnyje nėra tinkamai pagrįsta galiojančio baudžiamosios atsakomybės reglamentavimo nepakankamumu ar spragomis ir (ar) aptariamos baudžiamojo poveikio priemonės praktinio taikymo trūkumais, kartu kelianti pagrįstas abejones dėl baudžiamojo įstatymo analogiškų normų griežtinimo per labai trumpą laikotarpį proporcingumo ir pridėtinės vertės.</w:t>
            </w:r>
            <w:bookmarkEnd w:id="1"/>
          </w:p>
        </w:tc>
        <w:tc>
          <w:tcPr>
            <w:tcW w:w="4662" w:type="dxa"/>
          </w:tcPr>
          <w:p w14:paraId="1C2158CE" w14:textId="77777777" w:rsidR="00E9041B" w:rsidRPr="007B5A4B" w:rsidRDefault="00BD7BCB">
            <w:pPr>
              <w:jc w:val="both"/>
              <w:rPr>
                <w:rFonts w:ascii="Times New Roman" w:eastAsia="Times New Roman" w:hAnsi="Times New Roman" w:cs="Times New Roman"/>
                <w:b/>
                <w:bCs/>
                <w:lang w:eastAsia="ar-SA"/>
              </w:rPr>
            </w:pPr>
            <w:r w:rsidRPr="007B5A4B">
              <w:rPr>
                <w:rFonts w:ascii="Times New Roman" w:eastAsia="Times New Roman" w:hAnsi="Times New Roman" w:cs="Times New Roman"/>
                <w:b/>
                <w:bCs/>
                <w:lang w:eastAsia="ar-SA"/>
              </w:rPr>
              <w:lastRenderedPageBreak/>
              <w:t>Neatsižvelgta.</w:t>
            </w:r>
          </w:p>
          <w:p w14:paraId="4658A669" w14:textId="77777777" w:rsidR="00E9041B" w:rsidRPr="007B5A4B" w:rsidRDefault="00BD7BCB">
            <w:pPr>
              <w:jc w:val="both"/>
              <w:rPr>
                <w:rFonts w:ascii="Times New Roman" w:hAnsi="Times New Roman" w:cs="Times New Roman"/>
              </w:rPr>
            </w:pPr>
            <w:r w:rsidRPr="007B5A4B">
              <w:rPr>
                <w:rFonts w:ascii="Times New Roman" w:eastAsia="Times New Roman" w:hAnsi="Times New Roman" w:cs="Times New Roman"/>
                <w:lang w:eastAsia="ar-SA"/>
              </w:rPr>
              <w:t xml:space="preserve">Teikiami projektai suderinti su Vidaus reikalų ministerija. Teikiami Baudžiamojo kodekso pakeitimai sudarys prielaidas taikyti tinkamas sankcijas už pavojingiausius Kelių eismo taisyklių pažeidimus. Teismo niekas neįpareigos taikyti maksimalaus termino, tačiau jeigu asmuo ne pirmą kartą vairuos neblaivus, manome, kad būtina numatyti tokiam pažeidėjui atgrasančias sankcijas. Siūlome pritarti BK projektui. </w:t>
            </w:r>
          </w:p>
        </w:tc>
      </w:tr>
      <w:tr w:rsidR="00E9041B" w:rsidRPr="00BD7BCB" w14:paraId="3A6557EA" w14:textId="77777777">
        <w:tc>
          <w:tcPr>
            <w:tcW w:w="1647" w:type="dxa"/>
            <w:shd w:val="clear" w:color="auto" w:fill="auto"/>
          </w:tcPr>
          <w:p w14:paraId="3A4B52B0" w14:textId="2DF5E641" w:rsidR="00E9041B" w:rsidRPr="007B5A4B" w:rsidRDefault="00BD7BCB">
            <w:pPr>
              <w:pStyle w:val="Sraopastraipa"/>
              <w:ind w:left="0"/>
              <w:jc w:val="both"/>
              <w:rPr>
                <w:b/>
                <w:bCs/>
                <w:sz w:val="22"/>
                <w:szCs w:val="22"/>
              </w:rPr>
            </w:pPr>
            <w:r w:rsidRPr="007B5A4B">
              <w:rPr>
                <w:b/>
                <w:bCs/>
                <w:sz w:val="22"/>
                <w:szCs w:val="22"/>
              </w:rPr>
              <w:t>Lietuvos Respublikos vidaus reikalų ministerijos</w:t>
            </w:r>
            <w:r w:rsidR="00804612" w:rsidRPr="007B5A4B">
              <w:rPr>
                <w:b/>
                <w:bCs/>
                <w:sz w:val="22"/>
                <w:szCs w:val="22"/>
              </w:rPr>
              <w:t xml:space="preserve"> </w:t>
            </w:r>
            <w:r w:rsidR="00804612" w:rsidRPr="007B5A4B">
              <w:rPr>
                <w:b/>
                <w:bCs/>
                <w:color w:val="000000"/>
                <w:sz w:val="22"/>
                <w:szCs w:val="22"/>
                <w:shd w:val="clear" w:color="auto" w:fill="FFFFFF"/>
              </w:rPr>
              <w:lastRenderedPageBreak/>
              <w:t>2021-03-29</w:t>
            </w:r>
            <w:r w:rsidRPr="007B5A4B">
              <w:rPr>
                <w:b/>
                <w:bCs/>
                <w:sz w:val="22"/>
                <w:szCs w:val="22"/>
              </w:rPr>
              <w:t xml:space="preserve"> raštas</w:t>
            </w:r>
            <w:r w:rsidR="00804612" w:rsidRPr="007B5A4B">
              <w:rPr>
                <w:b/>
                <w:bCs/>
                <w:color w:val="000000"/>
                <w:sz w:val="22"/>
                <w:szCs w:val="22"/>
                <w:shd w:val="clear" w:color="auto" w:fill="FFFFFF"/>
              </w:rPr>
              <w:t xml:space="preserve"> 1D-1761</w:t>
            </w:r>
          </w:p>
        </w:tc>
        <w:tc>
          <w:tcPr>
            <w:tcW w:w="9143" w:type="dxa"/>
            <w:shd w:val="clear" w:color="auto" w:fill="auto"/>
          </w:tcPr>
          <w:p w14:paraId="76AFEB32" w14:textId="77777777" w:rsidR="00E9041B" w:rsidRPr="007B5A4B" w:rsidRDefault="00BD7BCB">
            <w:pPr>
              <w:suppressAutoHyphens w:val="0"/>
              <w:spacing w:after="0" w:line="240" w:lineRule="auto"/>
              <w:jc w:val="both"/>
              <w:rPr>
                <w:rFonts w:ascii="Times New Roman" w:eastAsia="Times New Roman" w:hAnsi="Times New Roman" w:cs="Times New Roman"/>
                <w:lang w:eastAsia="ar-SA"/>
              </w:rPr>
            </w:pPr>
            <w:r w:rsidRPr="007B5A4B">
              <w:rPr>
                <w:rFonts w:ascii="Times New Roman" w:eastAsia="Times New Roman" w:hAnsi="Times New Roman" w:cs="Times New Roman"/>
                <w:lang w:eastAsia="ar-SA"/>
              </w:rPr>
              <w:lastRenderedPageBreak/>
              <w:t xml:space="preserve">Atkreiptinas dėmesys į tai, kad Aštuonioliktosios Lietuvos Respublikos Vyriausybės vienas iš tikslų mažinti rengiamų teisės aktų projektų kiekybę ir orientuotis į jų turinio kokybę. Siekdama šio tikslo, Vyriausybės kanceliarija ne kartą atkreipė dėmesį tai, kad turėtų būti vengiama tų pačių teisės aktų dažno keitimo, o tuos pačius teisinius santykius reguliuojančių teisės aktų pakeitimo projektai turi būti konsoliduojami. Pažymėtina tai, kad VRM 2021 m. kovo 1 d. raštu Nr. 1D-1155 pateikė </w:t>
            </w:r>
            <w:r w:rsidRPr="007B5A4B">
              <w:rPr>
                <w:rFonts w:ascii="Times New Roman" w:eastAsia="Times New Roman" w:hAnsi="Times New Roman" w:cs="Times New Roman"/>
                <w:lang w:eastAsia="ar-SA"/>
              </w:rPr>
              <w:lastRenderedPageBreak/>
              <w:t>suinteresuotoms institucijoms derinti Lietuvos Respublikos saugaus eismo automobilių keliais įstatymo Nr. VIII-2043 2, 10, 13, 19, 20 ir 271 straipsnių pakeitimo įstatymo projektą ir Lietuvos Respublikos administracinių nusižengimų kodekso 29, 33, 71, 416, 417, 424, 427, 431, 589, 603, 608, 610 ir 616 straipsnių pakeitimo įstatymo projektą, kurie parengti siekiant įgyvendinti Valstybinę eismo saugumo programą „Vizija – nulis“, patvirtintą Lietuvos Respublikos Vyriausybės 2020 m. kovo 18 d. nutarimu Nr. 256 „Dėl Valstybinės eismo saugumo programos „Vizija – nulis“ patvirtinimo“ (toliau – Programa „Vizija – nulis“), ir peržiūrėti sankcijų už saugaus eismo reikalavimų nesilaikymą dydžius. VRM nuomone, šie įstatymų pakeitimai galėtų būti inkorporuoti į Susisiekimo ministerijos parengtų projektų paketą, nes:</w:t>
            </w:r>
          </w:p>
          <w:p w14:paraId="55DEE562" w14:textId="77777777" w:rsidR="00E9041B" w:rsidRPr="007B5A4B" w:rsidRDefault="00BD7BCB">
            <w:pPr>
              <w:suppressAutoHyphens w:val="0"/>
              <w:spacing w:after="0" w:line="240" w:lineRule="auto"/>
              <w:jc w:val="both"/>
              <w:rPr>
                <w:rFonts w:ascii="Times New Roman" w:hAnsi="Times New Roman" w:cs="Times New Roman"/>
              </w:rPr>
            </w:pPr>
            <w:r w:rsidRPr="007B5A4B">
              <w:rPr>
                <w:rFonts w:ascii="Times New Roman" w:eastAsia="Times New Roman" w:hAnsi="Times New Roman" w:cs="Times New Roman"/>
                <w:lang w:eastAsia="ar-SA"/>
              </w:rPr>
              <w:t xml:space="preserve">1) Susisiekimo ministerijos pateiktame derinti ANK projekte siūlomi pakeitimai glaudžiai susiję su VRM pateikto derinti Lietuvos Respublikos administracinių nusižengimų kodekso (toliau – ANK) projekto pakeitimais (kai kurios nuostatos net dubliuojasi, pvz., ANK projekto 6 ir 10 straipsniais atitinkamai keičiami ANK 424 ir 603 straipsniai); 2) VRM parengtais projektais siekiama įgyvendinti Programos „Vizija – nulis“, kurią koordinuoja Susisiekimo ministerija, priemones. Pažymėtina, kad vykdant vieną iš priemonių numatoma pakeisti Eismo įvykių informacinės sistemos valdytoją siekiant efektyviau valdyti eismo įvykių rizikas ir sukurti naują, šiuolaikišką eismo įvykių informacinę sistemą, kurioje būtų tvarkomi visi duomenys, reikalingi eismo įvykiams analizuoti ir eismo saugumo veiklai planuoti (šios sistemos valdytoju bus Susisiekimo ministerija); 3) projektuose siūlomi pakeitimai savo esme susiję su eismo saugumo gerinimu (siekiama sumažinti leistino greičio viršijimo atvejų bei atvejų, kai vairuotojai vairuodami naudojasi mobiliojo ryšio priemonėmis neleistinu būdu, peržiūrėti numatytų sankcijų sistemą).  Atsižvelgdami į tai, kad, pagal Lietuvos Respublikos Vyriausybės 2010 m. kovo 24 d. nutarimo Nr. 330 „Dėl ministrams pavedamų valdymo sričių“ 1.7.1 papunktį, susisiekimo ministro kompetencijai priskirti klausimai, susiję su transporto sistemos funkcionavimu ir visų rūšių transporto saugiu eismu, siūlome įvertinti galimybę VRM parengtus projektus (kuriuos VRM papildomai patikslins atsižvelgdama į suinteresuotų institucijų pateiktas pastabas ir pasiūlymus) sujungti su Susisiekimo ministerijos parengtais projektais. Manome, kad taip būtų užtikrintas teisėkūros ekonomiškumo ir sistemiškumo principų įgyvendinimas ir prisidėta prie Vyriausybės vieno iš tikslų mažinti tų pačių teisės aktų pakeitimo projektų kiekį ir dažnumą. VRM yra pasiruošusi bendradarbiauti įstatymų projektų konsolidavimo </w:t>
            </w:r>
            <w:r w:rsidRPr="007B5A4B">
              <w:rPr>
                <w:rFonts w:ascii="Times New Roman" w:hAnsi="Times New Roman" w:cs="Times New Roman"/>
              </w:rPr>
              <w:t>procese.</w:t>
            </w:r>
          </w:p>
        </w:tc>
        <w:tc>
          <w:tcPr>
            <w:tcW w:w="4662" w:type="dxa"/>
            <w:shd w:val="clear" w:color="auto" w:fill="auto"/>
          </w:tcPr>
          <w:p w14:paraId="6312C321" w14:textId="77777777" w:rsidR="00E9041B" w:rsidRPr="007B5A4B" w:rsidRDefault="00BD7BCB">
            <w:pPr>
              <w:pStyle w:val="Sraopastraipa"/>
              <w:ind w:left="0"/>
              <w:jc w:val="both"/>
              <w:rPr>
                <w:b/>
                <w:bCs/>
                <w:sz w:val="22"/>
                <w:szCs w:val="22"/>
              </w:rPr>
            </w:pPr>
            <w:r w:rsidRPr="007B5A4B">
              <w:rPr>
                <w:b/>
                <w:bCs/>
                <w:sz w:val="22"/>
                <w:szCs w:val="22"/>
              </w:rPr>
              <w:lastRenderedPageBreak/>
              <w:t>Neatsižvelgta.</w:t>
            </w:r>
          </w:p>
          <w:p w14:paraId="61D4C3B8" w14:textId="63F6A8FE" w:rsidR="00E9041B" w:rsidRPr="00BD7BCB" w:rsidRDefault="00804612">
            <w:pPr>
              <w:pStyle w:val="Sraopastraipa"/>
              <w:ind w:left="0"/>
              <w:jc w:val="both"/>
              <w:rPr>
                <w:sz w:val="22"/>
                <w:szCs w:val="22"/>
              </w:rPr>
            </w:pPr>
            <w:r w:rsidRPr="007B5A4B">
              <w:rPr>
                <w:sz w:val="22"/>
                <w:szCs w:val="22"/>
              </w:rPr>
              <w:t xml:space="preserve">Siūloma nepritarti </w:t>
            </w:r>
            <w:r w:rsidR="00BD7BCB" w:rsidRPr="007B5A4B">
              <w:rPr>
                <w:sz w:val="22"/>
                <w:szCs w:val="22"/>
              </w:rPr>
              <w:t xml:space="preserve">Vidaus reikalų ministerijos siūlymui sujungti Susisiekimo ministerijos ir Vidaus reikalų ministerijos rengiamus teisės aktų projektus. Susisiekimo ministerijos parengtų </w:t>
            </w:r>
            <w:r w:rsidR="00BD7BCB" w:rsidRPr="007B5A4B">
              <w:rPr>
                <w:sz w:val="22"/>
                <w:szCs w:val="22"/>
              </w:rPr>
              <w:lastRenderedPageBreak/>
              <w:t>įstatymų pakeitimų tikslas yra tinkamai įgyvendinti Lietuvos Respublikos Konstitucinio Teismo 2020 m. liepos 24 d. nutarimą Nr. KT133-N10/2020 „Dėl Lietuvos Respublikos saugaus eismo automobilių keliais įstatymo 24 straipsnio 7, 8 dalių atitikties Lietuvos Respublikos Konstitucijai“</w:t>
            </w:r>
            <w:r w:rsidRPr="007B5A4B">
              <w:rPr>
                <w:sz w:val="22"/>
                <w:szCs w:val="22"/>
              </w:rPr>
              <w:t xml:space="preserve">. </w:t>
            </w:r>
            <w:r w:rsidR="00BD7BCB" w:rsidRPr="007B5A4B">
              <w:rPr>
                <w:sz w:val="22"/>
                <w:szCs w:val="22"/>
              </w:rPr>
              <w:t>Vidaus reikalų ministerijos parengtų įstatymų pakeitimų projektų tikslai yra platesni.</w:t>
            </w:r>
            <w:r w:rsidR="00BD7BCB" w:rsidRPr="00BD7BCB">
              <w:rPr>
                <w:sz w:val="22"/>
                <w:szCs w:val="22"/>
              </w:rPr>
              <w:t xml:space="preserve">  </w:t>
            </w:r>
          </w:p>
        </w:tc>
      </w:tr>
    </w:tbl>
    <w:p w14:paraId="10B62C7F" w14:textId="77777777" w:rsidR="00E9041B" w:rsidRPr="00BD7BCB" w:rsidRDefault="00E9041B">
      <w:pPr>
        <w:jc w:val="both"/>
        <w:rPr>
          <w:rFonts w:ascii="Times New Roman" w:eastAsia="Times New Roman" w:hAnsi="Times New Roman" w:cs="Times New Roman"/>
          <w:lang w:eastAsia="ar-SA"/>
        </w:rPr>
      </w:pPr>
    </w:p>
    <w:sectPr w:rsidR="00E9041B" w:rsidRPr="00BD7BCB" w:rsidSect="00A92268">
      <w:headerReference w:type="default" r:id="rId7"/>
      <w:pgSz w:w="16838" w:h="11906" w:orient="landscape"/>
      <w:pgMar w:top="567" w:right="1440" w:bottom="851" w:left="1440" w:header="0" w:footer="0" w:gutter="0"/>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F628E" w14:textId="77777777" w:rsidR="00045D21" w:rsidRDefault="00045D21" w:rsidP="00DB1F96">
      <w:pPr>
        <w:spacing w:after="0" w:line="240" w:lineRule="auto"/>
      </w:pPr>
      <w:r>
        <w:separator/>
      </w:r>
    </w:p>
  </w:endnote>
  <w:endnote w:type="continuationSeparator" w:id="0">
    <w:p w14:paraId="63A846D6" w14:textId="77777777" w:rsidR="00045D21" w:rsidRDefault="00045D21" w:rsidP="00DB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65F97" w14:textId="77777777" w:rsidR="00045D21" w:rsidRDefault="00045D21" w:rsidP="00DB1F96">
      <w:pPr>
        <w:spacing w:after="0" w:line="240" w:lineRule="auto"/>
      </w:pPr>
      <w:r>
        <w:separator/>
      </w:r>
    </w:p>
  </w:footnote>
  <w:footnote w:type="continuationSeparator" w:id="0">
    <w:p w14:paraId="5748CB17" w14:textId="77777777" w:rsidR="00045D21" w:rsidRDefault="00045D21" w:rsidP="00DB1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99622"/>
      <w:docPartObj>
        <w:docPartGallery w:val="Page Numbers (Top of Page)"/>
        <w:docPartUnique/>
      </w:docPartObj>
    </w:sdtPr>
    <w:sdtEndPr/>
    <w:sdtContent>
      <w:p w14:paraId="45921078" w14:textId="16DB822D" w:rsidR="00A92268" w:rsidRDefault="00A92268">
        <w:pPr>
          <w:pStyle w:val="Antrats"/>
          <w:jc w:val="center"/>
        </w:pPr>
        <w:r>
          <w:fldChar w:fldCharType="begin"/>
        </w:r>
        <w:r>
          <w:instrText>PAGE   \* MERGEFORMAT</w:instrText>
        </w:r>
        <w:r>
          <w:fldChar w:fldCharType="separate"/>
        </w:r>
        <w:r>
          <w:t>2</w:t>
        </w:r>
        <w:r>
          <w:fldChar w:fldCharType="end"/>
        </w:r>
      </w:p>
    </w:sdtContent>
  </w:sdt>
  <w:p w14:paraId="69523853" w14:textId="77777777" w:rsidR="00DB1F96" w:rsidRDefault="00DB1F9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1B"/>
    <w:rsid w:val="00045D21"/>
    <w:rsid w:val="004D23CF"/>
    <w:rsid w:val="00532E62"/>
    <w:rsid w:val="007B5A4B"/>
    <w:rsid w:val="00804612"/>
    <w:rsid w:val="008317FA"/>
    <w:rsid w:val="00A30FF4"/>
    <w:rsid w:val="00A92268"/>
    <w:rsid w:val="00BD7BCB"/>
    <w:rsid w:val="00DB1F96"/>
    <w:rsid w:val="00E9041B"/>
    <w:rsid w:val="00F375B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47275"/>
  <w15:docId w15:val="{74444D53-252D-4432-8B16-BBE50FE5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basedOn w:val="Numatytasispastraiposriftas"/>
    <w:link w:val="Puslapioinaostekstas"/>
    <w:uiPriority w:val="99"/>
    <w:qFormat/>
    <w:rsid w:val="000D695F"/>
    <w:rPr>
      <w:rFonts w:ascii="Times New Roman" w:eastAsia="Times New Roman" w:hAnsi="Times New Roman" w:cs="Times New Roman"/>
      <w:sz w:val="20"/>
      <w:szCs w:val="20"/>
      <w:lang w:val="en-AU" w:eastAsia="lt-LT"/>
    </w:rPr>
  </w:style>
  <w:style w:type="character" w:customStyle="1" w:styleId="FootnoteCharacters">
    <w:name w:val="Footnote Characters"/>
    <w:basedOn w:val="Numatytasispastraiposriftas"/>
    <w:uiPriority w:val="99"/>
    <w:unhideWhenUsed/>
    <w:qFormat/>
    <w:rsid w:val="000D695F"/>
    <w:rPr>
      <w:vertAlign w:val="superscript"/>
    </w:rPr>
  </w:style>
  <w:style w:type="character" w:customStyle="1" w:styleId="FootnoteAnchor">
    <w:name w:val="Footnote Anchor"/>
    <w:rPr>
      <w:vertAlign w:val="superscript"/>
    </w:rPr>
  </w:style>
  <w:style w:type="character" w:styleId="Komentaronuoroda">
    <w:name w:val="annotation reference"/>
    <w:basedOn w:val="Numatytasispastraiposriftas"/>
    <w:uiPriority w:val="99"/>
    <w:semiHidden/>
    <w:unhideWhenUsed/>
    <w:qFormat/>
    <w:rsid w:val="003D5219"/>
    <w:rPr>
      <w:sz w:val="16"/>
      <w:szCs w:val="16"/>
    </w:rPr>
  </w:style>
  <w:style w:type="character" w:customStyle="1" w:styleId="KomentarotekstasDiagrama">
    <w:name w:val="Komentaro tekstas Diagrama"/>
    <w:basedOn w:val="Numatytasispastraiposriftas"/>
    <w:link w:val="Komentarotekstas"/>
    <w:uiPriority w:val="99"/>
    <w:semiHidden/>
    <w:qFormat/>
    <w:rsid w:val="003D5219"/>
    <w:rPr>
      <w:sz w:val="20"/>
      <w:szCs w:val="20"/>
    </w:rPr>
  </w:style>
  <w:style w:type="character" w:customStyle="1" w:styleId="KomentarotemaDiagrama">
    <w:name w:val="Komentaro tema Diagrama"/>
    <w:basedOn w:val="KomentarotekstasDiagrama"/>
    <w:link w:val="Komentarotema"/>
    <w:uiPriority w:val="99"/>
    <w:semiHidden/>
    <w:qFormat/>
    <w:rsid w:val="003D5219"/>
    <w:rPr>
      <w:b/>
      <w:bCs/>
      <w:sz w:val="20"/>
      <w:szCs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Sraopastraipa">
    <w:name w:val="List Paragraph"/>
    <w:basedOn w:val="prastasis"/>
    <w:qFormat/>
    <w:rsid w:val="000D695F"/>
    <w:pPr>
      <w:spacing w:after="0" w:line="240" w:lineRule="auto"/>
      <w:ind w:left="720"/>
      <w:contextualSpacing/>
    </w:pPr>
    <w:rPr>
      <w:rFonts w:ascii="Times New Roman" w:eastAsia="Times New Roman" w:hAnsi="Times New Roman" w:cs="Times New Roman"/>
      <w:sz w:val="24"/>
      <w:szCs w:val="24"/>
      <w:lang w:eastAsia="ar-SA"/>
    </w:rPr>
  </w:style>
  <w:style w:type="paragraph" w:styleId="Puslapioinaostekstas">
    <w:name w:val="footnote text"/>
    <w:basedOn w:val="prastasis"/>
    <w:link w:val="PuslapioinaostekstasDiagrama"/>
    <w:uiPriority w:val="99"/>
    <w:unhideWhenUsed/>
    <w:rsid w:val="000D695F"/>
    <w:pPr>
      <w:spacing w:after="0" w:line="240" w:lineRule="auto"/>
    </w:pPr>
    <w:rPr>
      <w:rFonts w:ascii="Times New Roman" w:eastAsia="Times New Roman" w:hAnsi="Times New Roman" w:cs="Times New Roman"/>
      <w:sz w:val="20"/>
      <w:szCs w:val="20"/>
      <w:lang w:val="en-AU" w:eastAsia="lt-LT"/>
    </w:rPr>
  </w:style>
  <w:style w:type="paragraph" w:customStyle="1" w:styleId="Standard">
    <w:name w:val="Standard"/>
    <w:qFormat/>
    <w:rsid w:val="000D695F"/>
    <w:pPr>
      <w:textAlignment w:val="baseline"/>
    </w:pPr>
    <w:rPr>
      <w:rFonts w:cs="Times New Roman"/>
      <w:sz w:val="20"/>
      <w:szCs w:val="20"/>
      <w:lang w:eastAsia="lt-LT"/>
    </w:rPr>
  </w:style>
  <w:style w:type="paragraph" w:styleId="Komentarotekstas">
    <w:name w:val="annotation text"/>
    <w:basedOn w:val="prastasis"/>
    <w:link w:val="KomentarotekstasDiagrama"/>
    <w:uiPriority w:val="99"/>
    <w:semiHidden/>
    <w:unhideWhenUsed/>
    <w:qFormat/>
    <w:rsid w:val="003D5219"/>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3D5219"/>
    <w:rPr>
      <w:b/>
      <w:bCs/>
    </w:rPr>
  </w:style>
  <w:style w:type="table" w:styleId="Lentelstinklelis">
    <w:name w:val="Table Grid"/>
    <w:basedOn w:val="prastojilentel"/>
    <w:uiPriority w:val="39"/>
    <w:rsid w:val="000D6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B1F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1F96"/>
  </w:style>
  <w:style w:type="paragraph" w:styleId="Porat">
    <w:name w:val="footer"/>
    <w:basedOn w:val="prastasis"/>
    <w:link w:val="PoratDiagrama"/>
    <w:uiPriority w:val="99"/>
    <w:unhideWhenUsed/>
    <w:rsid w:val="00DB1F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1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8D186D1-938E-4332-88E7-5A6F2641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7168</Words>
  <Characters>4086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2021-05-25T07:24:00Z</dcterms:created>
  <dc:creator>Vidmantas Pumputis</dc:creator>
  <dc:language>lt-LT</dc:language>
  <cp:lastModifiedBy>Vidmantas Pumputis</cp:lastModifiedBy>
  <dcterms:modified xsi:type="dcterms:W3CDTF">2021-05-25T07:24:00Z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