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entelstinklelis"/>
        <w:tblpPr w:leftFromText="180" w:rightFromText="180" w:vertAnchor="text" w:horzAnchor="margin" w:tblpXSpec="center" w:tblpY="1013"/>
        <w:tblW w:w="0" w:type="auto"/>
        <w:tblLook w:val="0000" w:firstRow="0" w:lastRow="0" w:firstColumn="0" w:lastColumn="0" w:noHBand="0" w:noVBand="0"/>
      </w:tblPr>
      <w:tblGrid>
        <w:gridCol w:w="5772"/>
        <w:gridCol w:w="5155"/>
        <w:gridCol w:w="4426"/>
      </w:tblGrid>
      <w:tr w:rsidR="00F24180" w:rsidRPr="00F24180" w:rsidTr="00F24180">
        <w:trPr>
          <w:trHeight w:val="107"/>
        </w:trPr>
        <w:tc>
          <w:tcPr>
            <w:tcW w:w="5772" w:type="dxa"/>
            <w:vAlign w:val="center"/>
          </w:tcPr>
          <w:p w:rsidR="00F24180" w:rsidRPr="00F24180" w:rsidRDefault="00F24180" w:rsidP="00F24180">
            <w:pPr>
              <w:spacing w:before="240" w:after="200" w:line="276" w:lineRule="auto"/>
              <w:jc w:val="center"/>
              <w:rPr>
                <w:sz w:val="20"/>
                <w:szCs w:val="20"/>
              </w:rPr>
            </w:pPr>
            <w:r w:rsidRPr="00F24180">
              <w:rPr>
                <w:b/>
                <w:bCs/>
                <w:sz w:val="20"/>
                <w:szCs w:val="20"/>
              </w:rPr>
              <w:t>Rodiklis</w:t>
            </w:r>
          </w:p>
        </w:tc>
        <w:tc>
          <w:tcPr>
            <w:tcW w:w="0" w:type="auto"/>
            <w:vAlign w:val="center"/>
          </w:tcPr>
          <w:p w:rsidR="00F24180" w:rsidRPr="00F24180" w:rsidRDefault="00F24180" w:rsidP="00F24180">
            <w:pPr>
              <w:spacing w:before="240" w:after="200" w:line="276" w:lineRule="auto"/>
              <w:jc w:val="center"/>
              <w:rPr>
                <w:sz w:val="20"/>
                <w:szCs w:val="20"/>
              </w:rPr>
            </w:pPr>
            <w:r w:rsidRPr="00F24180">
              <w:rPr>
                <w:b/>
                <w:bCs/>
                <w:sz w:val="20"/>
                <w:szCs w:val="20"/>
              </w:rPr>
              <w:t>Rodiklio reikšmė 2020 m. pabaigoje</w:t>
            </w:r>
          </w:p>
        </w:tc>
        <w:tc>
          <w:tcPr>
            <w:tcW w:w="0" w:type="auto"/>
            <w:vAlign w:val="center"/>
          </w:tcPr>
          <w:p w:rsidR="00F24180" w:rsidRPr="00F24180" w:rsidRDefault="00F24180" w:rsidP="00F24180">
            <w:pPr>
              <w:spacing w:before="240" w:after="200" w:line="276" w:lineRule="auto"/>
              <w:jc w:val="center"/>
              <w:rPr>
                <w:sz w:val="20"/>
                <w:szCs w:val="20"/>
              </w:rPr>
            </w:pPr>
            <w:r w:rsidRPr="00F24180">
              <w:rPr>
                <w:b/>
                <w:bCs/>
                <w:sz w:val="20"/>
                <w:szCs w:val="20"/>
              </w:rPr>
              <w:t>Siektina rodiklio reikšmė 2021 m. pabaigoje</w:t>
            </w:r>
          </w:p>
        </w:tc>
      </w:tr>
      <w:tr w:rsidR="00F24180" w:rsidRPr="00F24180" w:rsidTr="00F24180">
        <w:trPr>
          <w:trHeight w:val="835"/>
        </w:trPr>
        <w:tc>
          <w:tcPr>
            <w:tcW w:w="5772" w:type="dxa"/>
            <w:vAlign w:val="center"/>
          </w:tcPr>
          <w:p w:rsidR="00F24180" w:rsidRPr="00F24180" w:rsidRDefault="00F24180" w:rsidP="00F24180">
            <w:pPr>
              <w:spacing w:after="200" w:line="276" w:lineRule="auto"/>
              <w:jc w:val="both"/>
              <w:rPr>
                <w:sz w:val="20"/>
                <w:szCs w:val="20"/>
              </w:rPr>
            </w:pPr>
            <w:r w:rsidRPr="00F24180">
              <w:rPr>
                <w:sz w:val="20"/>
                <w:szCs w:val="20"/>
              </w:rPr>
              <w:t>Finansinių technologijų (FINTECH) įmonių skaičius</w:t>
            </w:r>
          </w:p>
        </w:tc>
        <w:tc>
          <w:tcPr>
            <w:tcW w:w="0" w:type="auto"/>
            <w:vAlign w:val="center"/>
          </w:tcPr>
          <w:p w:rsidR="00F24180" w:rsidRPr="00F24180" w:rsidRDefault="00F24180" w:rsidP="00F24180">
            <w:pPr>
              <w:spacing w:after="200" w:line="276" w:lineRule="auto"/>
              <w:jc w:val="both"/>
              <w:rPr>
                <w:sz w:val="20"/>
                <w:szCs w:val="20"/>
              </w:rPr>
            </w:pPr>
            <w:r w:rsidRPr="00F24180">
              <w:rPr>
                <w:sz w:val="20"/>
                <w:szCs w:val="20"/>
              </w:rPr>
              <w:t>230 FINTECH įmonių</w:t>
            </w:r>
          </w:p>
        </w:tc>
        <w:tc>
          <w:tcPr>
            <w:tcW w:w="0" w:type="auto"/>
            <w:vAlign w:val="center"/>
          </w:tcPr>
          <w:p w:rsidR="00F24180" w:rsidRPr="00F24180" w:rsidRDefault="00F24180" w:rsidP="00F24180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F24180">
              <w:rPr>
                <w:sz w:val="20"/>
                <w:szCs w:val="20"/>
              </w:rPr>
              <w:t>15 proc. augimas</w:t>
            </w:r>
          </w:p>
        </w:tc>
      </w:tr>
      <w:tr w:rsidR="00F24180" w:rsidRPr="00F24180" w:rsidTr="00F24180">
        <w:trPr>
          <w:trHeight w:val="835"/>
        </w:trPr>
        <w:tc>
          <w:tcPr>
            <w:tcW w:w="5772" w:type="dxa"/>
            <w:vAlign w:val="center"/>
          </w:tcPr>
          <w:p w:rsidR="00F24180" w:rsidRPr="00F24180" w:rsidRDefault="00F24180" w:rsidP="00F24180">
            <w:pPr>
              <w:spacing w:after="200" w:line="276" w:lineRule="auto"/>
              <w:jc w:val="both"/>
              <w:rPr>
                <w:sz w:val="20"/>
                <w:szCs w:val="20"/>
              </w:rPr>
            </w:pPr>
            <w:r w:rsidRPr="00F24180">
              <w:rPr>
                <w:sz w:val="20"/>
                <w:szCs w:val="20"/>
              </w:rPr>
              <w:t>FINTECH sektoriuje sukurtų darbo vietų skaičius</w:t>
            </w:r>
          </w:p>
        </w:tc>
        <w:tc>
          <w:tcPr>
            <w:tcW w:w="0" w:type="auto"/>
            <w:vAlign w:val="center"/>
          </w:tcPr>
          <w:p w:rsidR="00F24180" w:rsidRPr="00F24180" w:rsidRDefault="00F24180" w:rsidP="00F24180">
            <w:pPr>
              <w:spacing w:after="200" w:line="276" w:lineRule="auto"/>
              <w:jc w:val="both"/>
              <w:rPr>
                <w:sz w:val="20"/>
                <w:szCs w:val="20"/>
              </w:rPr>
            </w:pPr>
            <w:r w:rsidRPr="00F24180">
              <w:rPr>
                <w:sz w:val="20"/>
                <w:szCs w:val="20"/>
              </w:rPr>
              <w:t>4 000 darbo vietų</w:t>
            </w:r>
          </w:p>
        </w:tc>
        <w:tc>
          <w:tcPr>
            <w:tcW w:w="0" w:type="auto"/>
            <w:vAlign w:val="center"/>
          </w:tcPr>
          <w:p w:rsidR="00F24180" w:rsidRPr="00F24180" w:rsidRDefault="00F24180" w:rsidP="00F24180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F24180">
              <w:rPr>
                <w:sz w:val="20"/>
                <w:szCs w:val="20"/>
              </w:rPr>
              <w:t>15 proc. augimas</w:t>
            </w:r>
          </w:p>
        </w:tc>
      </w:tr>
      <w:tr w:rsidR="00F24180" w:rsidRPr="00F24180" w:rsidTr="00F24180">
        <w:trPr>
          <w:trHeight w:val="2036"/>
        </w:trPr>
        <w:tc>
          <w:tcPr>
            <w:tcW w:w="5772" w:type="dxa"/>
            <w:vAlign w:val="center"/>
          </w:tcPr>
          <w:p w:rsidR="00F24180" w:rsidRPr="00524E5E" w:rsidRDefault="00F24180" w:rsidP="00F24180">
            <w:pPr>
              <w:spacing w:after="200" w:line="276" w:lineRule="auto"/>
              <w:jc w:val="both"/>
              <w:rPr>
                <w:sz w:val="20"/>
                <w:szCs w:val="20"/>
              </w:rPr>
            </w:pPr>
            <w:r w:rsidRPr="00524E5E">
              <w:rPr>
                <w:sz w:val="20"/>
                <w:szCs w:val="20"/>
              </w:rPr>
              <w:t>Užimamos pozicijos svarbiausiuose tarptautinių finansinių centrų reitinguose išlaikymas arba pagerinimas</w:t>
            </w:r>
          </w:p>
        </w:tc>
        <w:tc>
          <w:tcPr>
            <w:tcW w:w="0" w:type="auto"/>
            <w:vAlign w:val="center"/>
          </w:tcPr>
          <w:p w:rsidR="00F24180" w:rsidRPr="00F24180" w:rsidRDefault="00F24180" w:rsidP="00F24180">
            <w:pPr>
              <w:pStyle w:val="Sraopastraipa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jc w:val="both"/>
              <w:rPr>
                <w:sz w:val="20"/>
                <w:szCs w:val="20"/>
              </w:rPr>
            </w:pPr>
            <w:r w:rsidRPr="00F24180">
              <w:rPr>
                <w:sz w:val="20"/>
                <w:szCs w:val="20"/>
              </w:rPr>
              <w:t xml:space="preserve">Tarptautinis FINTECH indeksas (angl. </w:t>
            </w:r>
            <w:proofErr w:type="spellStart"/>
            <w:r w:rsidRPr="00F24180">
              <w:rPr>
                <w:i/>
                <w:sz w:val="20"/>
                <w:szCs w:val="20"/>
              </w:rPr>
              <w:t>The</w:t>
            </w:r>
            <w:proofErr w:type="spellEnd"/>
            <w:r w:rsidRPr="00F2418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F24180">
              <w:rPr>
                <w:i/>
                <w:sz w:val="20"/>
                <w:szCs w:val="20"/>
              </w:rPr>
              <w:t>Global</w:t>
            </w:r>
            <w:proofErr w:type="spellEnd"/>
            <w:r w:rsidRPr="00F24180">
              <w:rPr>
                <w:i/>
                <w:sz w:val="20"/>
                <w:szCs w:val="20"/>
              </w:rPr>
              <w:t xml:space="preserve"> FINTECH </w:t>
            </w:r>
            <w:proofErr w:type="spellStart"/>
            <w:r w:rsidRPr="00F24180">
              <w:rPr>
                <w:i/>
                <w:sz w:val="20"/>
                <w:szCs w:val="20"/>
              </w:rPr>
              <w:t>Index</w:t>
            </w:r>
            <w:proofErr w:type="spellEnd"/>
            <w:r w:rsidRPr="00F24180">
              <w:rPr>
                <w:sz w:val="20"/>
                <w:szCs w:val="20"/>
              </w:rPr>
              <w:t>):</w:t>
            </w:r>
          </w:p>
          <w:p w:rsidR="00F24180" w:rsidRDefault="00F24180" w:rsidP="00F24180">
            <w:pPr>
              <w:tabs>
                <w:tab w:val="left" w:pos="317"/>
              </w:tabs>
              <w:jc w:val="both"/>
              <w:rPr>
                <w:sz w:val="20"/>
                <w:szCs w:val="20"/>
              </w:rPr>
            </w:pPr>
            <w:r w:rsidRPr="00F24180">
              <w:rPr>
                <w:sz w:val="20"/>
                <w:szCs w:val="20"/>
              </w:rPr>
              <w:t>Lietuva – 4 pasaulyje ir 2 Europoje</w:t>
            </w:r>
          </w:p>
          <w:p w:rsidR="009A09BE" w:rsidRPr="00DF3EE3" w:rsidRDefault="009A09BE" w:rsidP="009A09BE">
            <w:pPr>
              <w:pStyle w:val="Sraopastraipa"/>
              <w:numPr>
                <w:ilvl w:val="0"/>
                <w:numId w:val="1"/>
              </w:numPr>
              <w:tabs>
                <w:tab w:val="left" w:pos="317"/>
              </w:tabs>
              <w:jc w:val="both"/>
              <w:rPr>
                <w:i/>
                <w:sz w:val="20"/>
                <w:szCs w:val="20"/>
              </w:rPr>
            </w:pPr>
            <w:proofErr w:type="spellStart"/>
            <w:r w:rsidRPr="00DF3EE3">
              <w:rPr>
                <w:i/>
                <w:sz w:val="20"/>
                <w:szCs w:val="20"/>
              </w:rPr>
              <w:t>fDi</w:t>
            </w:r>
            <w:proofErr w:type="spellEnd"/>
            <w:r w:rsidRPr="00DF3EE3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DF3EE3">
              <w:rPr>
                <w:i/>
                <w:sz w:val="20"/>
                <w:szCs w:val="20"/>
              </w:rPr>
              <w:t>European</w:t>
            </w:r>
            <w:proofErr w:type="spellEnd"/>
            <w:r w:rsidRPr="00DF3EE3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DF3EE3">
              <w:rPr>
                <w:i/>
                <w:sz w:val="20"/>
                <w:szCs w:val="20"/>
              </w:rPr>
              <w:t>Cities</w:t>
            </w:r>
            <w:proofErr w:type="spellEnd"/>
            <w:r w:rsidRPr="00DF3EE3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DF3EE3">
              <w:rPr>
                <w:i/>
                <w:sz w:val="20"/>
                <w:szCs w:val="20"/>
              </w:rPr>
              <w:t>and</w:t>
            </w:r>
            <w:proofErr w:type="spellEnd"/>
            <w:r w:rsidRPr="00DF3EE3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DF3EE3">
              <w:rPr>
                <w:i/>
                <w:sz w:val="20"/>
                <w:szCs w:val="20"/>
              </w:rPr>
              <w:t>Regions</w:t>
            </w:r>
            <w:proofErr w:type="spellEnd"/>
            <w:r w:rsidRPr="00DF3EE3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DF3EE3">
              <w:rPr>
                <w:i/>
                <w:sz w:val="20"/>
                <w:szCs w:val="20"/>
              </w:rPr>
              <w:t>of</w:t>
            </w:r>
            <w:proofErr w:type="spellEnd"/>
            <w:r w:rsidRPr="00DF3EE3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DF3EE3">
              <w:rPr>
                <w:i/>
                <w:sz w:val="20"/>
                <w:szCs w:val="20"/>
              </w:rPr>
              <w:t>the</w:t>
            </w:r>
            <w:proofErr w:type="spellEnd"/>
            <w:r w:rsidRPr="00DF3EE3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DF3EE3">
              <w:rPr>
                <w:i/>
                <w:sz w:val="20"/>
                <w:szCs w:val="20"/>
              </w:rPr>
              <w:t>Future</w:t>
            </w:r>
            <w:proofErr w:type="spellEnd"/>
            <w:r w:rsidRPr="00DF3EE3">
              <w:rPr>
                <w:i/>
                <w:sz w:val="20"/>
                <w:szCs w:val="20"/>
              </w:rPr>
              <w:t xml:space="preserve"> 2020/21</w:t>
            </w:r>
          </w:p>
          <w:p w:rsidR="00F15834" w:rsidRPr="00F15834" w:rsidRDefault="00F15834" w:rsidP="00F15834">
            <w:pPr>
              <w:tabs>
                <w:tab w:val="left" w:pos="317"/>
              </w:tabs>
              <w:jc w:val="both"/>
              <w:rPr>
                <w:sz w:val="20"/>
                <w:szCs w:val="20"/>
              </w:rPr>
            </w:pPr>
            <w:r w:rsidRPr="00DF3EE3">
              <w:rPr>
                <w:i/>
                <w:sz w:val="20"/>
                <w:szCs w:val="20"/>
              </w:rPr>
              <w:t>Vilnius</w:t>
            </w:r>
            <w:r>
              <w:rPr>
                <w:sz w:val="20"/>
                <w:szCs w:val="20"/>
              </w:rPr>
              <w:t xml:space="preserve"> – 4 vieta tarp vidutinio dydžio Europos miestų</w:t>
            </w:r>
          </w:p>
        </w:tc>
        <w:tc>
          <w:tcPr>
            <w:tcW w:w="0" w:type="auto"/>
            <w:vAlign w:val="center"/>
          </w:tcPr>
          <w:p w:rsidR="00F24180" w:rsidRPr="00F24180" w:rsidRDefault="00F24180" w:rsidP="00F24180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F24180">
              <w:rPr>
                <w:sz w:val="20"/>
                <w:szCs w:val="20"/>
              </w:rPr>
              <w:t>Pozicijos išlaikymas arba pagerinimas bent pagal vieną reitingą</w:t>
            </w:r>
          </w:p>
        </w:tc>
      </w:tr>
      <w:tr w:rsidR="00F24180" w:rsidRPr="00F24180" w:rsidTr="00F24180">
        <w:trPr>
          <w:trHeight w:val="275"/>
        </w:trPr>
        <w:tc>
          <w:tcPr>
            <w:tcW w:w="5772" w:type="dxa"/>
            <w:vAlign w:val="center"/>
          </w:tcPr>
          <w:p w:rsidR="00F24180" w:rsidRPr="00F24180" w:rsidRDefault="00F24180" w:rsidP="00F24180">
            <w:pPr>
              <w:spacing w:before="240" w:after="200" w:line="276" w:lineRule="auto"/>
              <w:jc w:val="both"/>
              <w:rPr>
                <w:sz w:val="20"/>
                <w:szCs w:val="20"/>
              </w:rPr>
            </w:pPr>
            <w:r w:rsidRPr="00F24180">
              <w:rPr>
                <w:sz w:val="20"/>
                <w:szCs w:val="20"/>
              </w:rPr>
              <w:t>Reikšmingų FINTECH įmonių, perkėlusių veiklos dalį į Lietuvą, skaičius</w:t>
            </w:r>
          </w:p>
        </w:tc>
        <w:tc>
          <w:tcPr>
            <w:tcW w:w="0" w:type="auto"/>
            <w:vAlign w:val="center"/>
          </w:tcPr>
          <w:p w:rsidR="00F24180" w:rsidRPr="00F24180" w:rsidRDefault="00F443D4" w:rsidP="005C2D18">
            <w:pPr>
              <w:spacing w:before="240" w:after="20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5C2D18">
              <w:rPr>
                <w:sz w:val="20"/>
                <w:szCs w:val="20"/>
              </w:rPr>
              <w:t>ritrauktos 4 reikšmingos įmonės</w:t>
            </w:r>
          </w:p>
        </w:tc>
        <w:tc>
          <w:tcPr>
            <w:tcW w:w="0" w:type="auto"/>
            <w:vAlign w:val="center"/>
          </w:tcPr>
          <w:p w:rsidR="00F24180" w:rsidRPr="00F24180" w:rsidRDefault="00F24180" w:rsidP="00F24180">
            <w:pPr>
              <w:spacing w:before="240" w:after="200" w:line="276" w:lineRule="auto"/>
              <w:jc w:val="center"/>
              <w:rPr>
                <w:sz w:val="20"/>
                <w:szCs w:val="20"/>
              </w:rPr>
            </w:pPr>
            <w:r w:rsidRPr="00F24180">
              <w:rPr>
                <w:sz w:val="20"/>
                <w:szCs w:val="20"/>
              </w:rPr>
              <w:t>Pritrauktos bent 2 įmonės</w:t>
            </w:r>
          </w:p>
        </w:tc>
      </w:tr>
    </w:tbl>
    <w:p w:rsidR="00F24180" w:rsidRPr="00FB0625" w:rsidRDefault="00F24180" w:rsidP="00F24180">
      <w:pPr>
        <w:tabs>
          <w:tab w:val="left" w:pos="14040"/>
        </w:tabs>
        <w:jc w:val="center"/>
        <w:rPr>
          <w:b/>
        </w:rPr>
      </w:pPr>
      <w:r>
        <w:rPr>
          <w:b/>
        </w:rPr>
        <w:t xml:space="preserve">2021 M. </w:t>
      </w:r>
      <w:r w:rsidRPr="00C4261D">
        <w:rPr>
          <w:b/>
        </w:rPr>
        <w:t xml:space="preserve">PRIEMONIŲ FINANSINIŲ TECHNOLOGIJŲ (FINTECH) INDUSTRIJOS </w:t>
      </w:r>
      <w:r>
        <w:rPr>
          <w:b/>
        </w:rPr>
        <w:t>PLĖTRAI LIETUVOJE SKATINTI PLANAS</w:t>
      </w:r>
    </w:p>
    <w:p w:rsidR="00F24180" w:rsidRDefault="00F24180" w:rsidP="00F24180">
      <w:pPr>
        <w:spacing w:after="0"/>
      </w:pPr>
      <w:r>
        <w:t>Įgyvendinant šiame plane numatytas priemones, bus stebimi ir vertinami tokie rodikliai:</w:t>
      </w:r>
    </w:p>
    <w:p w:rsidR="00507F38" w:rsidRDefault="00507F38"/>
    <w:p w:rsidR="00F24180" w:rsidRDefault="00F24180">
      <w:r w:rsidRPr="00F24180">
        <w:t xml:space="preserve">Rodiklių reikšmių </w:t>
      </w:r>
      <w:proofErr w:type="spellStart"/>
      <w:r w:rsidRPr="00F24180">
        <w:t>stebėseną</w:t>
      </w:r>
      <w:proofErr w:type="spellEnd"/>
      <w:r w:rsidRPr="00F24180">
        <w:t xml:space="preserve"> užtikrins </w:t>
      </w:r>
      <w:proofErr w:type="spellStart"/>
      <w:r w:rsidRPr="00F24180">
        <w:t>VšĮ</w:t>
      </w:r>
      <w:proofErr w:type="spellEnd"/>
      <w:r w:rsidRPr="00F24180">
        <w:t xml:space="preserve"> „Investuok Lietuvoje“, </w:t>
      </w:r>
      <w:proofErr w:type="spellStart"/>
      <w:r w:rsidRPr="00F24180">
        <w:t>VšĮ</w:t>
      </w:r>
      <w:proofErr w:type="spellEnd"/>
      <w:r w:rsidRPr="00F24180">
        <w:t xml:space="preserve"> „Versli Lietuva“ ir </w:t>
      </w:r>
      <w:proofErr w:type="spellStart"/>
      <w:r w:rsidRPr="00F24180">
        <w:t>VšĮ</w:t>
      </w:r>
      <w:proofErr w:type="spellEnd"/>
      <w:r w:rsidRPr="00F24180">
        <w:t xml:space="preserve"> „GO Vilnius“.</w:t>
      </w:r>
    </w:p>
    <w:p w:rsidR="00F24180" w:rsidRDefault="00F24180">
      <w:r>
        <w:br w:type="page"/>
      </w:r>
    </w:p>
    <w:tbl>
      <w:tblPr>
        <w:tblStyle w:val="Lentelstinklelis"/>
        <w:tblW w:w="14992" w:type="dxa"/>
        <w:tblLayout w:type="fixed"/>
        <w:tblLook w:val="04A0" w:firstRow="1" w:lastRow="0" w:firstColumn="1" w:lastColumn="0" w:noHBand="0" w:noVBand="1"/>
      </w:tblPr>
      <w:tblGrid>
        <w:gridCol w:w="4644"/>
        <w:gridCol w:w="5529"/>
        <w:gridCol w:w="1842"/>
        <w:gridCol w:w="2977"/>
      </w:tblGrid>
      <w:tr w:rsidR="00DF3EE3" w:rsidRPr="00DF3EE3" w:rsidTr="00D81849">
        <w:tc>
          <w:tcPr>
            <w:tcW w:w="4644" w:type="dxa"/>
            <w:shd w:val="clear" w:color="auto" w:fill="BFBFBF" w:themeFill="background1" w:themeFillShade="BF"/>
            <w:vAlign w:val="center"/>
          </w:tcPr>
          <w:p w:rsidR="005D57DE" w:rsidRPr="00DF3EE3" w:rsidRDefault="005D57DE" w:rsidP="00730382">
            <w:pPr>
              <w:jc w:val="center"/>
              <w:rPr>
                <w:b/>
                <w:sz w:val="20"/>
              </w:rPr>
            </w:pPr>
            <w:r w:rsidRPr="00DF3EE3">
              <w:rPr>
                <w:b/>
                <w:sz w:val="20"/>
              </w:rPr>
              <w:lastRenderedPageBreak/>
              <w:t>Priemonė</w:t>
            </w:r>
          </w:p>
        </w:tc>
        <w:tc>
          <w:tcPr>
            <w:tcW w:w="5529" w:type="dxa"/>
            <w:shd w:val="clear" w:color="auto" w:fill="BFBFBF" w:themeFill="background1" w:themeFillShade="BF"/>
            <w:vAlign w:val="center"/>
          </w:tcPr>
          <w:p w:rsidR="005D57DE" w:rsidRPr="00DF3EE3" w:rsidRDefault="009D77D2" w:rsidP="009D77D2">
            <w:pPr>
              <w:jc w:val="center"/>
              <w:rPr>
                <w:b/>
                <w:sz w:val="20"/>
              </w:rPr>
            </w:pPr>
            <w:r w:rsidRPr="00DF3EE3">
              <w:rPr>
                <w:b/>
                <w:sz w:val="20"/>
              </w:rPr>
              <w:t>Sudėtinis p</w:t>
            </w:r>
            <w:r w:rsidR="005D57DE" w:rsidRPr="00DF3EE3">
              <w:rPr>
                <w:b/>
                <w:sz w:val="20"/>
              </w:rPr>
              <w:t>riemonės darbas</w:t>
            </w:r>
          </w:p>
        </w:tc>
        <w:tc>
          <w:tcPr>
            <w:tcW w:w="1842" w:type="dxa"/>
            <w:shd w:val="clear" w:color="auto" w:fill="BFBFBF" w:themeFill="background1" w:themeFillShade="BF"/>
            <w:vAlign w:val="center"/>
          </w:tcPr>
          <w:p w:rsidR="005D57DE" w:rsidRPr="00DF3EE3" w:rsidRDefault="005D57DE" w:rsidP="00730382">
            <w:pPr>
              <w:jc w:val="center"/>
              <w:rPr>
                <w:b/>
                <w:sz w:val="20"/>
              </w:rPr>
            </w:pPr>
            <w:r w:rsidRPr="00DF3EE3">
              <w:rPr>
                <w:b/>
                <w:sz w:val="20"/>
              </w:rPr>
              <w:t>Įgyvendinimo terminas</w:t>
            </w: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:rsidR="005D57DE" w:rsidRPr="00DF3EE3" w:rsidRDefault="005D57DE" w:rsidP="00730382">
            <w:pPr>
              <w:jc w:val="center"/>
              <w:rPr>
                <w:b/>
                <w:sz w:val="20"/>
              </w:rPr>
            </w:pPr>
            <w:r w:rsidRPr="00DF3EE3">
              <w:rPr>
                <w:b/>
                <w:sz w:val="20"/>
              </w:rPr>
              <w:t>Įgyvendinančios</w:t>
            </w:r>
            <w:r w:rsidR="009D77D2" w:rsidRPr="00DF3EE3">
              <w:rPr>
                <w:b/>
                <w:sz w:val="20"/>
              </w:rPr>
              <w:t>ios</w:t>
            </w:r>
            <w:r w:rsidRPr="00DF3EE3">
              <w:rPr>
                <w:b/>
                <w:sz w:val="20"/>
              </w:rPr>
              <w:t xml:space="preserve"> institucijos</w:t>
            </w:r>
          </w:p>
        </w:tc>
      </w:tr>
      <w:tr w:rsidR="00DF3EE3" w:rsidRPr="00DF3EE3" w:rsidTr="00D81849">
        <w:tc>
          <w:tcPr>
            <w:tcW w:w="14992" w:type="dxa"/>
            <w:gridSpan w:val="4"/>
            <w:shd w:val="clear" w:color="auto" w:fill="D9D9D9" w:themeFill="background1" w:themeFillShade="D9"/>
            <w:vAlign w:val="center"/>
          </w:tcPr>
          <w:p w:rsidR="005D57DE" w:rsidRPr="00DF3EE3" w:rsidRDefault="005D57DE" w:rsidP="003E7931">
            <w:pPr>
              <w:jc w:val="both"/>
              <w:rPr>
                <w:b/>
                <w:i/>
                <w:sz w:val="20"/>
              </w:rPr>
            </w:pPr>
            <w:r w:rsidRPr="00DF3EE3">
              <w:rPr>
                <w:b/>
                <w:i/>
                <w:sz w:val="20"/>
              </w:rPr>
              <w:t>1 užduotis. Sutelkti institucijų veiksmus, siekiant plėtoti FINTECH įmonėms palankią aplinką</w:t>
            </w:r>
          </w:p>
        </w:tc>
      </w:tr>
      <w:tr w:rsidR="00DF3EE3" w:rsidRPr="00DF3EE3" w:rsidTr="00D81849">
        <w:tc>
          <w:tcPr>
            <w:tcW w:w="4644" w:type="dxa"/>
          </w:tcPr>
          <w:p w:rsidR="005D57DE" w:rsidRPr="00DF3EE3" w:rsidRDefault="005D57DE" w:rsidP="009D77D2">
            <w:pPr>
              <w:jc w:val="both"/>
              <w:rPr>
                <w:sz w:val="20"/>
              </w:rPr>
            </w:pPr>
            <w:r w:rsidRPr="00DF3EE3">
              <w:rPr>
                <w:sz w:val="20"/>
              </w:rPr>
              <w:t xml:space="preserve">1.1. Įvertinti galimybę pakeisti Lietuvos Respublikos vartojimo kredito įstatymo nuostatas, atsižvelgiant į </w:t>
            </w:r>
            <w:r w:rsidR="009D77D2" w:rsidRPr="00DF3EE3">
              <w:rPr>
                <w:sz w:val="20"/>
              </w:rPr>
              <w:t>2008 m. balandžio 23 d. Europos Parlamento ir Tarybos d</w:t>
            </w:r>
            <w:r w:rsidRPr="00DF3EE3">
              <w:rPr>
                <w:sz w:val="20"/>
              </w:rPr>
              <w:t>irektyvoje 2008/48/EB</w:t>
            </w:r>
            <w:r w:rsidR="009D77D2" w:rsidRPr="00DF3EE3">
              <w:t xml:space="preserve"> </w:t>
            </w:r>
            <w:r w:rsidR="009D77D2" w:rsidRPr="00DF3EE3">
              <w:rPr>
                <w:sz w:val="20"/>
              </w:rPr>
              <w:t>dėl vartojimo kredito sutarčių ir panaikinanti Tarybos direktyvą 87/102/EEB</w:t>
            </w:r>
            <w:r w:rsidRPr="00DF3EE3">
              <w:rPr>
                <w:sz w:val="20"/>
              </w:rPr>
              <w:t xml:space="preserve"> numatytas galimybes tam tikriems vartojimo kreditavimo santykiams netaikyti vartojimo kredito reguliavimo</w:t>
            </w:r>
          </w:p>
        </w:tc>
        <w:tc>
          <w:tcPr>
            <w:tcW w:w="5529" w:type="dxa"/>
          </w:tcPr>
          <w:p w:rsidR="00DF3EE3" w:rsidRDefault="00DF3EE3" w:rsidP="003E7931">
            <w:pPr>
              <w:jc w:val="both"/>
              <w:rPr>
                <w:sz w:val="20"/>
              </w:rPr>
            </w:pPr>
          </w:p>
          <w:p w:rsidR="00DF3EE3" w:rsidRDefault="00DF3EE3" w:rsidP="00DF3EE3">
            <w:pPr>
              <w:rPr>
                <w:sz w:val="20"/>
              </w:rPr>
            </w:pPr>
          </w:p>
          <w:p w:rsidR="00DF3EE3" w:rsidRDefault="00DF3EE3" w:rsidP="00DF3EE3">
            <w:pPr>
              <w:rPr>
                <w:sz w:val="20"/>
              </w:rPr>
            </w:pPr>
          </w:p>
          <w:p w:rsidR="005D57DE" w:rsidRPr="00DF3EE3" w:rsidRDefault="00DF3EE3" w:rsidP="00DF3EE3">
            <w:pPr>
              <w:tabs>
                <w:tab w:val="left" w:pos="1740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  <w:tc>
          <w:tcPr>
            <w:tcW w:w="1842" w:type="dxa"/>
            <w:vAlign w:val="center"/>
          </w:tcPr>
          <w:p w:rsidR="005D57DE" w:rsidRPr="00DF3EE3" w:rsidRDefault="005D57DE" w:rsidP="00730382">
            <w:pPr>
              <w:jc w:val="center"/>
              <w:rPr>
                <w:sz w:val="20"/>
              </w:rPr>
            </w:pPr>
            <w:r w:rsidRPr="00DF3EE3">
              <w:rPr>
                <w:sz w:val="20"/>
              </w:rPr>
              <w:t xml:space="preserve">2021 m. IV </w:t>
            </w:r>
            <w:proofErr w:type="spellStart"/>
            <w:r w:rsidRPr="00DF3EE3">
              <w:rPr>
                <w:sz w:val="20"/>
              </w:rPr>
              <w:t>ketv</w:t>
            </w:r>
            <w:proofErr w:type="spellEnd"/>
            <w:r w:rsidRPr="00DF3EE3">
              <w:rPr>
                <w:sz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5D57DE" w:rsidRPr="00DF3EE3" w:rsidRDefault="005D57DE" w:rsidP="00730382">
            <w:pPr>
              <w:jc w:val="center"/>
              <w:rPr>
                <w:sz w:val="20"/>
              </w:rPr>
            </w:pPr>
            <w:r w:rsidRPr="00DF3EE3">
              <w:rPr>
                <w:sz w:val="20"/>
              </w:rPr>
              <w:t>Finansų ministerija,</w:t>
            </w:r>
          </w:p>
          <w:p w:rsidR="005D57DE" w:rsidRPr="00DF3EE3" w:rsidRDefault="005D57DE" w:rsidP="00730382">
            <w:pPr>
              <w:jc w:val="center"/>
              <w:rPr>
                <w:sz w:val="20"/>
              </w:rPr>
            </w:pPr>
            <w:r w:rsidRPr="00DF3EE3">
              <w:rPr>
                <w:sz w:val="20"/>
              </w:rPr>
              <w:t>Lietuvos bankas</w:t>
            </w:r>
          </w:p>
        </w:tc>
      </w:tr>
      <w:tr w:rsidR="00DF3EE3" w:rsidRPr="00DF3EE3" w:rsidTr="00D81849">
        <w:tc>
          <w:tcPr>
            <w:tcW w:w="4644" w:type="dxa"/>
          </w:tcPr>
          <w:p w:rsidR="005D57DE" w:rsidRPr="00DF3EE3" w:rsidRDefault="005D57DE" w:rsidP="00521FDB">
            <w:pPr>
              <w:jc w:val="both"/>
              <w:rPr>
                <w:sz w:val="20"/>
              </w:rPr>
            </w:pPr>
            <w:r w:rsidRPr="00DF3EE3">
              <w:rPr>
                <w:sz w:val="20"/>
              </w:rPr>
              <w:t>1.2. Įvertinti poreikį pakeisti Lietuvos Respublikos su nekilnojamuoju turtu susijusio kredito</w:t>
            </w:r>
            <w:r w:rsidR="00DF3EE3" w:rsidRPr="00DF3EE3">
              <w:rPr>
                <w:sz w:val="20"/>
              </w:rPr>
              <w:t xml:space="preserve"> įstatymą</w:t>
            </w:r>
            <w:r w:rsidR="00521FDB">
              <w:rPr>
                <w:sz w:val="20"/>
              </w:rPr>
              <w:t xml:space="preserve"> </w:t>
            </w:r>
            <w:r w:rsidR="009D77D2" w:rsidRPr="00DF3EE3">
              <w:rPr>
                <w:sz w:val="20"/>
              </w:rPr>
              <w:t>–</w:t>
            </w:r>
            <w:r w:rsidRPr="00DF3EE3">
              <w:rPr>
                <w:sz w:val="20"/>
              </w:rPr>
              <w:t xml:space="preserve"> </w:t>
            </w:r>
            <w:r w:rsidR="009D77D2" w:rsidRPr="00DF3EE3">
              <w:rPr>
                <w:sz w:val="20"/>
              </w:rPr>
              <w:t>nustatyti</w:t>
            </w:r>
            <w:r w:rsidRPr="00DF3EE3">
              <w:rPr>
                <w:sz w:val="20"/>
              </w:rPr>
              <w:t xml:space="preserve">, kad per tarpusavio skolinimo platformą skolinti galėtų ne tik fiziniai, bet ir juridiniai asmenys, ir, esant poreikiui, parengti </w:t>
            </w:r>
            <w:r w:rsidR="00BF55A3" w:rsidRPr="00DF3EE3">
              <w:rPr>
                <w:sz w:val="20"/>
              </w:rPr>
              <w:t>pa</w:t>
            </w:r>
            <w:r w:rsidRPr="00DF3EE3">
              <w:rPr>
                <w:sz w:val="20"/>
              </w:rPr>
              <w:t xml:space="preserve">siūlymus dėl </w:t>
            </w:r>
            <w:r w:rsidR="00BF55A3" w:rsidRPr="00DF3EE3">
              <w:rPr>
                <w:sz w:val="20"/>
              </w:rPr>
              <w:t xml:space="preserve">šio įstatymo </w:t>
            </w:r>
            <w:r w:rsidRPr="00DF3EE3">
              <w:rPr>
                <w:sz w:val="20"/>
              </w:rPr>
              <w:t>pakeitimo</w:t>
            </w:r>
          </w:p>
        </w:tc>
        <w:tc>
          <w:tcPr>
            <w:tcW w:w="5529" w:type="dxa"/>
          </w:tcPr>
          <w:p w:rsidR="005D57DE" w:rsidRPr="00DF3EE3" w:rsidRDefault="005D57DE" w:rsidP="003E7931">
            <w:pPr>
              <w:jc w:val="both"/>
              <w:rPr>
                <w:sz w:val="20"/>
              </w:rPr>
            </w:pPr>
          </w:p>
        </w:tc>
        <w:tc>
          <w:tcPr>
            <w:tcW w:w="1842" w:type="dxa"/>
            <w:vAlign w:val="center"/>
          </w:tcPr>
          <w:p w:rsidR="005D57DE" w:rsidRPr="00DF3EE3" w:rsidRDefault="005D57DE" w:rsidP="00730382">
            <w:pPr>
              <w:jc w:val="center"/>
              <w:rPr>
                <w:sz w:val="20"/>
              </w:rPr>
            </w:pPr>
            <w:r w:rsidRPr="00DF3EE3">
              <w:rPr>
                <w:sz w:val="20"/>
              </w:rPr>
              <w:t xml:space="preserve">2021 m. IV </w:t>
            </w:r>
            <w:proofErr w:type="spellStart"/>
            <w:r w:rsidRPr="00DF3EE3">
              <w:rPr>
                <w:sz w:val="20"/>
              </w:rPr>
              <w:t>ketv</w:t>
            </w:r>
            <w:proofErr w:type="spellEnd"/>
            <w:r w:rsidRPr="00DF3EE3">
              <w:rPr>
                <w:sz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5D57DE" w:rsidRPr="00DF3EE3" w:rsidRDefault="005D57DE" w:rsidP="00730382">
            <w:pPr>
              <w:jc w:val="center"/>
              <w:rPr>
                <w:sz w:val="20"/>
              </w:rPr>
            </w:pPr>
            <w:r w:rsidRPr="00DF3EE3">
              <w:rPr>
                <w:sz w:val="20"/>
              </w:rPr>
              <w:t>Lietuvos bankas, Finansų ministerija</w:t>
            </w:r>
          </w:p>
        </w:tc>
      </w:tr>
      <w:tr w:rsidR="00DF3EE3" w:rsidRPr="00DF3EE3" w:rsidTr="00D81849">
        <w:tc>
          <w:tcPr>
            <w:tcW w:w="4644" w:type="dxa"/>
          </w:tcPr>
          <w:p w:rsidR="005D57DE" w:rsidRPr="00DF3EE3" w:rsidRDefault="005D57DE" w:rsidP="00BF55A3">
            <w:pPr>
              <w:jc w:val="both"/>
              <w:rPr>
                <w:sz w:val="20"/>
              </w:rPr>
            </w:pPr>
            <w:r w:rsidRPr="00DF3EE3">
              <w:rPr>
                <w:sz w:val="20"/>
              </w:rPr>
              <w:t>1.3. Vykstant 2015 m. lapkričio 25 d. Europos Parlamento ir Tarybos direktyvos (ES) 2015/2366 dėl mokėjimo paslaugų vidaus rinkoje</w:t>
            </w:r>
            <w:r w:rsidR="009D77D2" w:rsidRPr="00DF3EE3">
              <w:rPr>
                <w:sz w:val="20"/>
              </w:rPr>
              <w:t>, kuria iš dalies keičiamos direktyvos 2002/65/EB, 2009/110/EB ir 2013/36/ES bei Reglamentas (ES) Nr. 1093/2010 ir panaikinama Direktyva 2007/64/EB</w:t>
            </w:r>
            <w:r w:rsidR="002A60AE" w:rsidRPr="00DF3EE3">
              <w:rPr>
                <w:sz w:val="20"/>
              </w:rPr>
              <w:t>,</w:t>
            </w:r>
            <w:r w:rsidRPr="00DF3EE3">
              <w:rPr>
                <w:sz w:val="20"/>
              </w:rPr>
              <w:t xml:space="preserve"> peržiūrai Europos Sąjungoje, surinkti </w:t>
            </w:r>
            <w:r w:rsidR="00C04593" w:rsidRPr="00DF3EE3">
              <w:rPr>
                <w:sz w:val="20"/>
              </w:rPr>
              <w:t xml:space="preserve">suinteresuotų </w:t>
            </w:r>
            <w:r w:rsidRPr="00DF3EE3">
              <w:rPr>
                <w:sz w:val="20"/>
              </w:rPr>
              <w:t xml:space="preserve">šalių pasiūlymus ir pastabas dėl </w:t>
            </w:r>
            <w:r w:rsidR="002A60AE" w:rsidRPr="00DF3EE3">
              <w:rPr>
                <w:sz w:val="20"/>
              </w:rPr>
              <w:t xml:space="preserve">šios direktyvos </w:t>
            </w:r>
            <w:r w:rsidRPr="00DF3EE3">
              <w:rPr>
                <w:sz w:val="20"/>
              </w:rPr>
              <w:t xml:space="preserve">nuostatų, kurios turi įtakos FINTECH įmonių veiklos plėtojimui, </w:t>
            </w:r>
            <w:r w:rsidR="002A60AE" w:rsidRPr="00DF3EE3">
              <w:rPr>
                <w:sz w:val="20"/>
              </w:rPr>
              <w:t xml:space="preserve">praktinio įgyvendinimo, </w:t>
            </w:r>
            <w:r w:rsidRPr="00DF3EE3">
              <w:rPr>
                <w:sz w:val="20"/>
              </w:rPr>
              <w:t>jas įvertin</w:t>
            </w:r>
            <w:r w:rsidR="00146041" w:rsidRPr="00DF3EE3">
              <w:rPr>
                <w:sz w:val="20"/>
              </w:rPr>
              <w:t>ti</w:t>
            </w:r>
            <w:r w:rsidR="002A60AE" w:rsidRPr="00DF3EE3">
              <w:rPr>
                <w:sz w:val="20"/>
              </w:rPr>
              <w:t>,</w:t>
            </w:r>
            <w:r w:rsidR="00146041" w:rsidRPr="00DF3EE3">
              <w:rPr>
                <w:sz w:val="20"/>
              </w:rPr>
              <w:t xml:space="preserve"> apibendrinti</w:t>
            </w:r>
            <w:r w:rsidRPr="00DF3EE3">
              <w:rPr>
                <w:sz w:val="20"/>
              </w:rPr>
              <w:t xml:space="preserve"> ir atstovauti </w:t>
            </w:r>
            <w:r w:rsidR="00146041" w:rsidRPr="00DF3EE3">
              <w:rPr>
                <w:sz w:val="20"/>
              </w:rPr>
              <w:t>Lietuvos pozicij</w:t>
            </w:r>
            <w:r w:rsidR="002A60AE" w:rsidRPr="00DF3EE3">
              <w:rPr>
                <w:sz w:val="20"/>
              </w:rPr>
              <w:t>ai</w:t>
            </w:r>
            <w:r w:rsidR="00146041" w:rsidRPr="00DF3EE3">
              <w:rPr>
                <w:sz w:val="20"/>
              </w:rPr>
              <w:t xml:space="preserve"> svarstant teisinį pasiūlymą dėl </w:t>
            </w:r>
            <w:r w:rsidR="002A60AE" w:rsidRPr="00DF3EE3">
              <w:rPr>
                <w:sz w:val="20"/>
              </w:rPr>
              <w:t xml:space="preserve">Direktyvos (ES) 2015/2366 </w:t>
            </w:r>
            <w:r w:rsidR="00146041" w:rsidRPr="00DF3EE3">
              <w:rPr>
                <w:sz w:val="20"/>
              </w:rPr>
              <w:t xml:space="preserve">peržiūros </w:t>
            </w:r>
            <w:r w:rsidRPr="00DF3EE3">
              <w:rPr>
                <w:sz w:val="20"/>
              </w:rPr>
              <w:t xml:space="preserve">Europos Sąjungos </w:t>
            </w:r>
            <w:r w:rsidR="00146041" w:rsidRPr="00DF3EE3">
              <w:rPr>
                <w:sz w:val="20"/>
              </w:rPr>
              <w:t>institucijose</w:t>
            </w:r>
          </w:p>
        </w:tc>
        <w:tc>
          <w:tcPr>
            <w:tcW w:w="5529" w:type="dxa"/>
          </w:tcPr>
          <w:p w:rsidR="005D57DE" w:rsidRPr="00DF3EE3" w:rsidRDefault="005D57DE" w:rsidP="003E7931">
            <w:pPr>
              <w:jc w:val="both"/>
              <w:rPr>
                <w:sz w:val="20"/>
              </w:rPr>
            </w:pPr>
          </w:p>
        </w:tc>
        <w:tc>
          <w:tcPr>
            <w:tcW w:w="1842" w:type="dxa"/>
            <w:vAlign w:val="center"/>
          </w:tcPr>
          <w:p w:rsidR="005D57DE" w:rsidRPr="00DF3EE3" w:rsidRDefault="005D57DE" w:rsidP="00730382">
            <w:pPr>
              <w:jc w:val="center"/>
              <w:rPr>
                <w:sz w:val="20"/>
              </w:rPr>
            </w:pPr>
            <w:r w:rsidRPr="00DF3EE3">
              <w:rPr>
                <w:sz w:val="20"/>
              </w:rPr>
              <w:t xml:space="preserve">2021 m. IV </w:t>
            </w:r>
            <w:proofErr w:type="spellStart"/>
            <w:r w:rsidRPr="00DF3EE3">
              <w:rPr>
                <w:sz w:val="20"/>
              </w:rPr>
              <w:t>ketv</w:t>
            </w:r>
            <w:proofErr w:type="spellEnd"/>
            <w:r w:rsidRPr="00DF3EE3">
              <w:rPr>
                <w:sz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5D57DE" w:rsidRPr="00DF3EE3" w:rsidRDefault="005D57DE" w:rsidP="00730382">
            <w:pPr>
              <w:jc w:val="center"/>
              <w:rPr>
                <w:sz w:val="20"/>
              </w:rPr>
            </w:pPr>
            <w:r w:rsidRPr="00DF3EE3">
              <w:rPr>
                <w:sz w:val="20"/>
              </w:rPr>
              <w:t>Finansų ministerija, Lietuvos bankas</w:t>
            </w:r>
          </w:p>
        </w:tc>
      </w:tr>
      <w:tr w:rsidR="00DF3EE3" w:rsidRPr="00DF3EE3" w:rsidTr="00D81849">
        <w:tc>
          <w:tcPr>
            <w:tcW w:w="4644" w:type="dxa"/>
          </w:tcPr>
          <w:p w:rsidR="005D57DE" w:rsidRPr="00DF3EE3" w:rsidRDefault="005D57DE" w:rsidP="005C735B">
            <w:pPr>
              <w:jc w:val="both"/>
              <w:rPr>
                <w:sz w:val="20"/>
              </w:rPr>
            </w:pPr>
            <w:r w:rsidRPr="00DF3EE3">
              <w:rPr>
                <w:sz w:val="20"/>
              </w:rPr>
              <w:t>1.4. Įvertinti galimybę elektroninių pinigų ir mokėjimo įstaigų klientų lėš</w:t>
            </w:r>
            <w:r w:rsidR="005C735B" w:rsidRPr="00DF3EE3">
              <w:rPr>
                <w:sz w:val="20"/>
              </w:rPr>
              <w:t>as</w:t>
            </w:r>
            <w:r w:rsidRPr="00DF3EE3">
              <w:rPr>
                <w:sz w:val="20"/>
              </w:rPr>
              <w:t xml:space="preserve"> laiky</w:t>
            </w:r>
            <w:r w:rsidR="005C735B" w:rsidRPr="00DF3EE3">
              <w:rPr>
                <w:sz w:val="20"/>
              </w:rPr>
              <w:t>ti</w:t>
            </w:r>
            <w:r w:rsidRPr="00DF3EE3">
              <w:rPr>
                <w:sz w:val="20"/>
              </w:rPr>
              <w:t xml:space="preserve"> trečios</w:t>
            </w:r>
            <w:r w:rsidR="002A60AE" w:rsidRPr="00DF3EE3">
              <w:rPr>
                <w:sz w:val="20"/>
              </w:rPr>
              <w:t>ios</w:t>
            </w:r>
            <w:r w:rsidRPr="00DF3EE3">
              <w:rPr>
                <w:sz w:val="20"/>
              </w:rPr>
              <w:t xml:space="preserve"> šalies užsienio valstybės banko filiale, kuris įsteigtas ne Lietuvoje, o kitoje Europos Sąjungos valstybėje narėje</w:t>
            </w:r>
            <w:r w:rsidR="002A60AE" w:rsidRPr="00DF3EE3">
              <w:rPr>
                <w:sz w:val="20"/>
              </w:rPr>
              <w:t>,</w:t>
            </w:r>
            <w:r w:rsidRPr="00DF3EE3">
              <w:rPr>
                <w:sz w:val="20"/>
              </w:rPr>
              <w:t xml:space="preserve"> ir parengti </w:t>
            </w:r>
            <w:r w:rsidR="00BF55A3" w:rsidRPr="00DF3EE3">
              <w:rPr>
                <w:sz w:val="20"/>
              </w:rPr>
              <w:t>pa</w:t>
            </w:r>
            <w:r w:rsidRPr="00DF3EE3">
              <w:rPr>
                <w:sz w:val="20"/>
              </w:rPr>
              <w:t>siūlymus dėl poreikio keisti reik</w:t>
            </w:r>
            <w:r w:rsidR="002A60AE" w:rsidRPr="00DF3EE3">
              <w:rPr>
                <w:sz w:val="20"/>
              </w:rPr>
              <w:t>i</w:t>
            </w:r>
            <w:r w:rsidRPr="00DF3EE3">
              <w:rPr>
                <w:sz w:val="20"/>
              </w:rPr>
              <w:t>a</w:t>
            </w:r>
            <w:r w:rsidR="002A60AE" w:rsidRPr="00DF3EE3">
              <w:rPr>
                <w:sz w:val="20"/>
              </w:rPr>
              <w:t>m</w:t>
            </w:r>
            <w:r w:rsidRPr="00DF3EE3">
              <w:rPr>
                <w:sz w:val="20"/>
              </w:rPr>
              <w:t>us teisės aktus</w:t>
            </w:r>
          </w:p>
        </w:tc>
        <w:tc>
          <w:tcPr>
            <w:tcW w:w="5529" w:type="dxa"/>
          </w:tcPr>
          <w:p w:rsidR="005D57DE" w:rsidRPr="00DF3EE3" w:rsidRDefault="005D57DE" w:rsidP="003E7931">
            <w:pPr>
              <w:jc w:val="both"/>
              <w:rPr>
                <w:sz w:val="20"/>
              </w:rPr>
            </w:pPr>
          </w:p>
        </w:tc>
        <w:tc>
          <w:tcPr>
            <w:tcW w:w="1842" w:type="dxa"/>
            <w:vAlign w:val="center"/>
          </w:tcPr>
          <w:p w:rsidR="005D57DE" w:rsidRPr="00DF3EE3" w:rsidRDefault="005D57DE" w:rsidP="00730382">
            <w:pPr>
              <w:jc w:val="center"/>
              <w:rPr>
                <w:sz w:val="20"/>
              </w:rPr>
            </w:pPr>
            <w:r w:rsidRPr="00DF3EE3">
              <w:rPr>
                <w:sz w:val="20"/>
              </w:rPr>
              <w:t xml:space="preserve">2021 m. II </w:t>
            </w:r>
            <w:proofErr w:type="spellStart"/>
            <w:r w:rsidRPr="00DF3EE3">
              <w:rPr>
                <w:sz w:val="20"/>
              </w:rPr>
              <w:t>ketv</w:t>
            </w:r>
            <w:proofErr w:type="spellEnd"/>
            <w:r w:rsidRPr="00DF3EE3">
              <w:rPr>
                <w:sz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5D57DE" w:rsidRPr="00DF3EE3" w:rsidRDefault="005D57DE" w:rsidP="00730382">
            <w:pPr>
              <w:jc w:val="center"/>
              <w:rPr>
                <w:sz w:val="20"/>
              </w:rPr>
            </w:pPr>
            <w:r w:rsidRPr="00DF3EE3">
              <w:rPr>
                <w:sz w:val="20"/>
              </w:rPr>
              <w:t>Finansų ministerija, Lietuvos bankas</w:t>
            </w:r>
          </w:p>
        </w:tc>
      </w:tr>
      <w:tr w:rsidR="00DF3EE3" w:rsidRPr="00DF3EE3" w:rsidTr="00D81849">
        <w:tc>
          <w:tcPr>
            <w:tcW w:w="4644" w:type="dxa"/>
          </w:tcPr>
          <w:p w:rsidR="005D57DE" w:rsidRPr="00DF3EE3" w:rsidRDefault="005D57DE" w:rsidP="005C735B">
            <w:pPr>
              <w:jc w:val="both"/>
              <w:rPr>
                <w:sz w:val="20"/>
              </w:rPr>
            </w:pPr>
            <w:r w:rsidRPr="00DF3EE3">
              <w:rPr>
                <w:sz w:val="20"/>
              </w:rPr>
              <w:t>1.5. Parengti tarpusavio draudimo veiklos gaires</w:t>
            </w:r>
          </w:p>
        </w:tc>
        <w:tc>
          <w:tcPr>
            <w:tcW w:w="5529" w:type="dxa"/>
          </w:tcPr>
          <w:p w:rsidR="005D57DE" w:rsidRPr="00DF3EE3" w:rsidRDefault="005D57DE" w:rsidP="003E7931">
            <w:pPr>
              <w:jc w:val="both"/>
              <w:rPr>
                <w:sz w:val="20"/>
              </w:rPr>
            </w:pPr>
          </w:p>
        </w:tc>
        <w:tc>
          <w:tcPr>
            <w:tcW w:w="1842" w:type="dxa"/>
            <w:vAlign w:val="center"/>
          </w:tcPr>
          <w:p w:rsidR="005D57DE" w:rsidRPr="00DF3EE3" w:rsidRDefault="005D57DE" w:rsidP="00730382">
            <w:pPr>
              <w:jc w:val="center"/>
              <w:rPr>
                <w:sz w:val="20"/>
              </w:rPr>
            </w:pPr>
            <w:r w:rsidRPr="00DF3EE3">
              <w:rPr>
                <w:sz w:val="20"/>
              </w:rPr>
              <w:t xml:space="preserve">2021 m. III </w:t>
            </w:r>
            <w:proofErr w:type="spellStart"/>
            <w:r w:rsidRPr="00DF3EE3">
              <w:rPr>
                <w:sz w:val="20"/>
              </w:rPr>
              <w:t>ketv</w:t>
            </w:r>
            <w:proofErr w:type="spellEnd"/>
            <w:r w:rsidRPr="00DF3EE3">
              <w:rPr>
                <w:sz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5D57DE" w:rsidRPr="00DF3EE3" w:rsidRDefault="005D57DE" w:rsidP="00730382">
            <w:pPr>
              <w:jc w:val="center"/>
              <w:rPr>
                <w:sz w:val="20"/>
              </w:rPr>
            </w:pPr>
            <w:r w:rsidRPr="00DF3EE3">
              <w:rPr>
                <w:sz w:val="20"/>
              </w:rPr>
              <w:t>Lietuvos bankas, Finansų ministerija</w:t>
            </w:r>
          </w:p>
        </w:tc>
      </w:tr>
      <w:tr w:rsidR="00DF3EE3" w:rsidRPr="00DF3EE3" w:rsidTr="00D81849">
        <w:tc>
          <w:tcPr>
            <w:tcW w:w="4644" w:type="dxa"/>
            <w:vMerge w:val="restart"/>
          </w:tcPr>
          <w:p w:rsidR="005D57DE" w:rsidRPr="00DF3EE3" w:rsidRDefault="005D57DE" w:rsidP="00940F82">
            <w:pPr>
              <w:jc w:val="both"/>
              <w:rPr>
                <w:sz w:val="20"/>
              </w:rPr>
            </w:pPr>
            <w:r w:rsidRPr="00DF3EE3">
              <w:rPr>
                <w:sz w:val="20"/>
              </w:rPr>
              <w:t>1.6. Pasirengti</w:t>
            </w:r>
            <w:r w:rsidR="00940F82" w:rsidRPr="00DF3EE3">
              <w:rPr>
                <w:sz w:val="20"/>
              </w:rPr>
              <w:t xml:space="preserve"> </w:t>
            </w:r>
            <w:r w:rsidR="00521FDB" w:rsidRPr="00521FDB">
              <w:rPr>
                <w:sz w:val="20"/>
              </w:rPr>
              <w:t xml:space="preserve">2020 m. spalio 7 d. </w:t>
            </w:r>
            <w:r w:rsidR="00940F82" w:rsidRPr="00DF3EE3">
              <w:rPr>
                <w:sz w:val="20"/>
              </w:rPr>
              <w:t>Europos Parlamento ir Tarybos reglamento (ES) 2020/1503</w:t>
            </w:r>
            <w:r w:rsidRPr="00DF3EE3">
              <w:rPr>
                <w:sz w:val="20"/>
              </w:rPr>
              <w:t xml:space="preserve"> </w:t>
            </w:r>
            <w:r w:rsidR="00940F82" w:rsidRPr="00DF3EE3">
              <w:rPr>
                <w:sz w:val="20"/>
              </w:rPr>
              <w:t xml:space="preserve">dėl Europos </w:t>
            </w:r>
            <w:r w:rsidR="00940F82" w:rsidRPr="00DF3EE3">
              <w:rPr>
                <w:sz w:val="20"/>
              </w:rPr>
              <w:lastRenderedPageBreak/>
              <w:t>sutelktinio finansavimo paslaugų verslui teikėjų, kuriuo iš dalies keičiamas Reglamentas (ES) 2017/1129 ir Direktyva (ES) 2019/1937</w:t>
            </w:r>
            <w:r w:rsidR="00024D58">
              <w:rPr>
                <w:sz w:val="20"/>
              </w:rPr>
              <w:t>,</w:t>
            </w:r>
            <w:r w:rsidR="00940F82" w:rsidRPr="00DF3EE3">
              <w:rPr>
                <w:sz w:val="20"/>
              </w:rPr>
              <w:t xml:space="preserve"> </w:t>
            </w:r>
            <w:r w:rsidRPr="00DF3EE3">
              <w:rPr>
                <w:sz w:val="20"/>
              </w:rPr>
              <w:t>įgyvendinimui Lietuvoje</w:t>
            </w:r>
          </w:p>
        </w:tc>
        <w:tc>
          <w:tcPr>
            <w:tcW w:w="5529" w:type="dxa"/>
          </w:tcPr>
          <w:p w:rsidR="005D57DE" w:rsidRPr="00DF3EE3" w:rsidRDefault="005D57DE" w:rsidP="000332C7">
            <w:pPr>
              <w:jc w:val="both"/>
              <w:rPr>
                <w:sz w:val="20"/>
              </w:rPr>
            </w:pPr>
            <w:r w:rsidRPr="00DF3EE3">
              <w:rPr>
                <w:sz w:val="20"/>
              </w:rPr>
              <w:lastRenderedPageBreak/>
              <w:t xml:space="preserve">1.6.1. Parengti ir pateikti </w:t>
            </w:r>
            <w:r w:rsidR="000332C7" w:rsidRPr="00DF3EE3">
              <w:rPr>
                <w:sz w:val="20"/>
              </w:rPr>
              <w:t xml:space="preserve">Lietuvos Respublikos </w:t>
            </w:r>
            <w:r w:rsidRPr="00DF3EE3">
              <w:rPr>
                <w:sz w:val="20"/>
              </w:rPr>
              <w:t>Vyriausybei reik</w:t>
            </w:r>
            <w:r w:rsidR="000332C7" w:rsidRPr="00DF3EE3">
              <w:rPr>
                <w:sz w:val="20"/>
              </w:rPr>
              <w:t>iam</w:t>
            </w:r>
            <w:r w:rsidRPr="00DF3EE3">
              <w:rPr>
                <w:sz w:val="20"/>
              </w:rPr>
              <w:t>us teisės aktų pakeitim</w:t>
            </w:r>
            <w:r w:rsidR="000332C7" w:rsidRPr="00DF3EE3">
              <w:rPr>
                <w:sz w:val="20"/>
              </w:rPr>
              <w:t>o projektus</w:t>
            </w:r>
          </w:p>
        </w:tc>
        <w:tc>
          <w:tcPr>
            <w:tcW w:w="1842" w:type="dxa"/>
            <w:vAlign w:val="center"/>
          </w:tcPr>
          <w:p w:rsidR="005D57DE" w:rsidRPr="00DF3EE3" w:rsidRDefault="005D57DE" w:rsidP="00730382">
            <w:pPr>
              <w:jc w:val="center"/>
              <w:rPr>
                <w:sz w:val="20"/>
              </w:rPr>
            </w:pPr>
            <w:r w:rsidRPr="00DF3EE3">
              <w:rPr>
                <w:sz w:val="20"/>
              </w:rPr>
              <w:t xml:space="preserve">2021 m. II </w:t>
            </w:r>
            <w:proofErr w:type="spellStart"/>
            <w:r w:rsidRPr="00DF3EE3">
              <w:rPr>
                <w:sz w:val="20"/>
              </w:rPr>
              <w:t>ketv</w:t>
            </w:r>
            <w:proofErr w:type="spellEnd"/>
            <w:r w:rsidRPr="00DF3EE3">
              <w:rPr>
                <w:sz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5D57DE" w:rsidRPr="00DF3EE3" w:rsidRDefault="005D57DE" w:rsidP="00730382">
            <w:pPr>
              <w:jc w:val="center"/>
              <w:rPr>
                <w:sz w:val="20"/>
              </w:rPr>
            </w:pPr>
            <w:r w:rsidRPr="00DF3EE3">
              <w:rPr>
                <w:sz w:val="20"/>
              </w:rPr>
              <w:t>Finansų ministerija, Lietuvos bankas</w:t>
            </w:r>
          </w:p>
        </w:tc>
      </w:tr>
      <w:tr w:rsidR="00DF3EE3" w:rsidRPr="00DF3EE3" w:rsidTr="00D81849">
        <w:tc>
          <w:tcPr>
            <w:tcW w:w="4644" w:type="dxa"/>
            <w:vMerge/>
          </w:tcPr>
          <w:p w:rsidR="005D57DE" w:rsidRPr="00DF3EE3" w:rsidRDefault="005D57DE" w:rsidP="00730382">
            <w:pPr>
              <w:jc w:val="both"/>
              <w:rPr>
                <w:sz w:val="20"/>
              </w:rPr>
            </w:pPr>
          </w:p>
        </w:tc>
        <w:tc>
          <w:tcPr>
            <w:tcW w:w="5529" w:type="dxa"/>
          </w:tcPr>
          <w:p w:rsidR="005D57DE" w:rsidRPr="00DF3EE3" w:rsidRDefault="005D57DE" w:rsidP="003E7931">
            <w:pPr>
              <w:jc w:val="both"/>
              <w:rPr>
                <w:sz w:val="20"/>
              </w:rPr>
            </w:pPr>
            <w:r w:rsidRPr="00DF3EE3">
              <w:rPr>
                <w:sz w:val="20"/>
              </w:rPr>
              <w:t>1.6.2. Pasirengti veikiančių sutelktinio finansavimo platformų operatorių perlicencijavimui</w:t>
            </w:r>
          </w:p>
        </w:tc>
        <w:tc>
          <w:tcPr>
            <w:tcW w:w="1842" w:type="dxa"/>
            <w:vAlign w:val="center"/>
          </w:tcPr>
          <w:p w:rsidR="005D57DE" w:rsidRPr="00DF3EE3" w:rsidRDefault="005D57DE" w:rsidP="00730382">
            <w:pPr>
              <w:jc w:val="center"/>
              <w:rPr>
                <w:sz w:val="20"/>
              </w:rPr>
            </w:pPr>
            <w:r w:rsidRPr="00DF3EE3">
              <w:rPr>
                <w:sz w:val="20"/>
              </w:rPr>
              <w:t xml:space="preserve">2021 m. IV </w:t>
            </w:r>
            <w:proofErr w:type="spellStart"/>
            <w:r w:rsidRPr="00DF3EE3">
              <w:rPr>
                <w:sz w:val="20"/>
              </w:rPr>
              <w:t>ketv</w:t>
            </w:r>
            <w:proofErr w:type="spellEnd"/>
            <w:r w:rsidRPr="00DF3EE3">
              <w:rPr>
                <w:sz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5D57DE" w:rsidRPr="00DF3EE3" w:rsidRDefault="005D57DE" w:rsidP="00730382">
            <w:pPr>
              <w:jc w:val="center"/>
              <w:rPr>
                <w:sz w:val="20"/>
              </w:rPr>
            </w:pPr>
            <w:r w:rsidRPr="00DF3EE3">
              <w:rPr>
                <w:sz w:val="20"/>
              </w:rPr>
              <w:t>Lietuvos bankas</w:t>
            </w:r>
          </w:p>
        </w:tc>
      </w:tr>
      <w:tr w:rsidR="00DF3EE3" w:rsidRPr="00DF3EE3" w:rsidTr="00D81849">
        <w:tc>
          <w:tcPr>
            <w:tcW w:w="4644" w:type="dxa"/>
          </w:tcPr>
          <w:p w:rsidR="005D57DE" w:rsidRPr="00DF3EE3" w:rsidRDefault="005D57DE" w:rsidP="000332C7">
            <w:pPr>
              <w:jc w:val="both"/>
              <w:rPr>
                <w:sz w:val="20"/>
              </w:rPr>
            </w:pPr>
            <w:r w:rsidRPr="00DF3EE3">
              <w:rPr>
                <w:sz w:val="20"/>
              </w:rPr>
              <w:lastRenderedPageBreak/>
              <w:t>1.7. Išanalizuoti galimybes automatizuoti labai mažų įmonių ir individualią veiklą vykdančių asmenų mokesčių surinkimą, nekeičiant apmokestinimo taisyklių</w:t>
            </w:r>
          </w:p>
        </w:tc>
        <w:tc>
          <w:tcPr>
            <w:tcW w:w="5529" w:type="dxa"/>
          </w:tcPr>
          <w:p w:rsidR="005D57DE" w:rsidRPr="00DF3EE3" w:rsidRDefault="005D57DE" w:rsidP="003E7931">
            <w:pPr>
              <w:jc w:val="both"/>
              <w:rPr>
                <w:sz w:val="20"/>
              </w:rPr>
            </w:pPr>
          </w:p>
        </w:tc>
        <w:tc>
          <w:tcPr>
            <w:tcW w:w="1842" w:type="dxa"/>
            <w:vAlign w:val="center"/>
          </w:tcPr>
          <w:p w:rsidR="005D57DE" w:rsidRPr="00DF3EE3" w:rsidRDefault="005D57DE" w:rsidP="00730382">
            <w:pPr>
              <w:jc w:val="center"/>
              <w:rPr>
                <w:sz w:val="20"/>
              </w:rPr>
            </w:pPr>
            <w:r w:rsidRPr="00DF3EE3">
              <w:rPr>
                <w:sz w:val="20"/>
              </w:rPr>
              <w:t xml:space="preserve">2021 m. IV </w:t>
            </w:r>
            <w:proofErr w:type="spellStart"/>
            <w:r w:rsidRPr="00DF3EE3">
              <w:rPr>
                <w:sz w:val="20"/>
              </w:rPr>
              <w:t>ketv</w:t>
            </w:r>
            <w:proofErr w:type="spellEnd"/>
            <w:r w:rsidRPr="00DF3EE3">
              <w:rPr>
                <w:sz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5D57DE" w:rsidRPr="00DF3EE3" w:rsidRDefault="005D57DE" w:rsidP="00730382">
            <w:pPr>
              <w:jc w:val="center"/>
              <w:rPr>
                <w:sz w:val="20"/>
              </w:rPr>
            </w:pPr>
            <w:r w:rsidRPr="00DF3EE3">
              <w:rPr>
                <w:sz w:val="20"/>
              </w:rPr>
              <w:t>Valstybinė mokesčių inspekcija, SODRA, Finansų ministerija</w:t>
            </w:r>
          </w:p>
        </w:tc>
      </w:tr>
      <w:tr w:rsidR="00DF3EE3" w:rsidRPr="00DF3EE3" w:rsidTr="00D81849">
        <w:tc>
          <w:tcPr>
            <w:tcW w:w="4644" w:type="dxa"/>
          </w:tcPr>
          <w:p w:rsidR="005D57DE" w:rsidRPr="00DF3EE3" w:rsidRDefault="005D57DE" w:rsidP="000332C7">
            <w:pPr>
              <w:jc w:val="both"/>
              <w:rPr>
                <w:sz w:val="20"/>
              </w:rPr>
            </w:pPr>
            <w:r w:rsidRPr="00DF3EE3">
              <w:rPr>
                <w:sz w:val="20"/>
              </w:rPr>
              <w:t xml:space="preserve">1.8. Įvertinti galimybes sukurti teisinį reguliavimą dėl investicinių </w:t>
            </w:r>
            <w:r w:rsidR="00C04593" w:rsidRPr="00DF3EE3">
              <w:rPr>
                <w:sz w:val="20"/>
              </w:rPr>
              <w:t xml:space="preserve">taupymo </w:t>
            </w:r>
            <w:r w:rsidRPr="00DF3EE3">
              <w:rPr>
                <w:sz w:val="20"/>
              </w:rPr>
              <w:t>sąskaitų naudojimo mokesčių tikslais</w:t>
            </w:r>
          </w:p>
        </w:tc>
        <w:tc>
          <w:tcPr>
            <w:tcW w:w="5529" w:type="dxa"/>
          </w:tcPr>
          <w:p w:rsidR="005D57DE" w:rsidRPr="00DF3EE3" w:rsidRDefault="005D57DE" w:rsidP="003E7931">
            <w:pPr>
              <w:jc w:val="both"/>
              <w:rPr>
                <w:sz w:val="20"/>
              </w:rPr>
            </w:pPr>
          </w:p>
        </w:tc>
        <w:tc>
          <w:tcPr>
            <w:tcW w:w="1842" w:type="dxa"/>
            <w:vAlign w:val="center"/>
          </w:tcPr>
          <w:p w:rsidR="005D57DE" w:rsidRPr="00DF3EE3" w:rsidRDefault="005D57DE" w:rsidP="000B570A">
            <w:pPr>
              <w:jc w:val="center"/>
              <w:rPr>
                <w:sz w:val="20"/>
              </w:rPr>
            </w:pPr>
            <w:r w:rsidRPr="00DF3EE3">
              <w:rPr>
                <w:sz w:val="20"/>
              </w:rPr>
              <w:t xml:space="preserve">2021 m. IV </w:t>
            </w:r>
            <w:proofErr w:type="spellStart"/>
            <w:r w:rsidRPr="00DF3EE3">
              <w:rPr>
                <w:sz w:val="20"/>
              </w:rPr>
              <w:t>ketv</w:t>
            </w:r>
            <w:proofErr w:type="spellEnd"/>
            <w:r w:rsidRPr="00DF3EE3">
              <w:rPr>
                <w:sz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5D57DE" w:rsidRPr="00DF3EE3" w:rsidRDefault="005D57DE" w:rsidP="000B570A">
            <w:pPr>
              <w:jc w:val="center"/>
              <w:rPr>
                <w:sz w:val="20"/>
              </w:rPr>
            </w:pPr>
            <w:r w:rsidRPr="00DF3EE3">
              <w:rPr>
                <w:sz w:val="20"/>
              </w:rPr>
              <w:t>Finansų ministerija</w:t>
            </w:r>
          </w:p>
        </w:tc>
      </w:tr>
      <w:tr w:rsidR="00DF3EE3" w:rsidRPr="00DF3EE3" w:rsidTr="00D81849">
        <w:tc>
          <w:tcPr>
            <w:tcW w:w="4644" w:type="dxa"/>
          </w:tcPr>
          <w:p w:rsidR="005D57DE" w:rsidRPr="00DF3EE3" w:rsidRDefault="005D57DE" w:rsidP="000A4489">
            <w:pPr>
              <w:jc w:val="both"/>
              <w:rPr>
                <w:sz w:val="20"/>
              </w:rPr>
            </w:pPr>
            <w:r w:rsidRPr="00DF3EE3">
              <w:rPr>
                <w:sz w:val="20"/>
              </w:rPr>
              <w:t>1.9. Išanalizuoti galimybes atnaujinti supaprastinto klientų tapatybės nustatymo sąlygas (pavyzdžiui, padidinant bendrai per kalendorinius metus įvykdytų operacijų vertės ribą nuo 1 000 iki 5 000 eurų)</w:t>
            </w:r>
          </w:p>
        </w:tc>
        <w:tc>
          <w:tcPr>
            <w:tcW w:w="5529" w:type="dxa"/>
          </w:tcPr>
          <w:p w:rsidR="005D57DE" w:rsidRPr="00DF3EE3" w:rsidRDefault="005D57DE" w:rsidP="003E7931">
            <w:pPr>
              <w:jc w:val="both"/>
              <w:rPr>
                <w:sz w:val="20"/>
              </w:rPr>
            </w:pPr>
          </w:p>
        </w:tc>
        <w:tc>
          <w:tcPr>
            <w:tcW w:w="1842" w:type="dxa"/>
            <w:vAlign w:val="center"/>
          </w:tcPr>
          <w:p w:rsidR="005D57DE" w:rsidRPr="00DF3EE3" w:rsidRDefault="005D57DE" w:rsidP="00730382">
            <w:pPr>
              <w:jc w:val="center"/>
              <w:rPr>
                <w:sz w:val="20"/>
              </w:rPr>
            </w:pPr>
            <w:r w:rsidRPr="00DF3EE3">
              <w:rPr>
                <w:sz w:val="20"/>
              </w:rPr>
              <w:t xml:space="preserve">2021 m. II </w:t>
            </w:r>
            <w:proofErr w:type="spellStart"/>
            <w:r w:rsidRPr="00DF3EE3">
              <w:rPr>
                <w:sz w:val="20"/>
              </w:rPr>
              <w:t>ketv</w:t>
            </w:r>
            <w:proofErr w:type="spellEnd"/>
            <w:r w:rsidRPr="00DF3EE3">
              <w:rPr>
                <w:sz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5D57DE" w:rsidRPr="00DF3EE3" w:rsidRDefault="005D57DE" w:rsidP="009A09BE">
            <w:pPr>
              <w:jc w:val="center"/>
              <w:rPr>
                <w:sz w:val="20"/>
              </w:rPr>
            </w:pPr>
            <w:r w:rsidRPr="00DF3EE3">
              <w:rPr>
                <w:sz w:val="20"/>
              </w:rPr>
              <w:t>Finansų ministerija, Finansinių nusikaltimų tyrimo tarnyba</w:t>
            </w:r>
            <w:r w:rsidR="000A4489" w:rsidRPr="00DF3EE3">
              <w:rPr>
                <w:sz w:val="20"/>
              </w:rPr>
              <w:t xml:space="preserve"> prie Vidaus reikalų ministerijos</w:t>
            </w:r>
            <w:r w:rsidRPr="00DF3EE3">
              <w:rPr>
                <w:sz w:val="20"/>
              </w:rPr>
              <w:t>, Vidaus reikalų ministerija</w:t>
            </w:r>
          </w:p>
        </w:tc>
      </w:tr>
      <w:tr w:rsidR="00DF3EE3" w:rsidRPr="00DF3EE3" w:rsidTr="00D81849">
        <w:tc>
          <w:tcPr>
            <w:tcW w:w="4644" w:type="dxa"/>
          </w:tcPr>
          <w:p w:rsidR="005D57DE" w:rsidRPr="00DF3EE3" w:rsidRDefault="005D57DE" w:rsidP="000A4489">
            <w:pPr>
              <w:jc w:val="both"/>
              <w:rPr>
                <w:sz w:val="20"/>
              </w:rPr>
            </w:pPr>
            <w:r w:rsidRPr="00DF3EE3">
              <w:rPr>
                <w:sz w:val="20"/>
              </w:rPr>
              <w:t xml:space="preserve">1.10. Parengti </w:t>
            </w:r>
            <w:r w:rsidR="00940F82" w:rsidRPr="00DF3EE3">
              <w:rPr>
                <w:sz w:val="20"/>
              </w:rPr>
              <w:t>dažniausiai užduodamų klausimų skiltį</w:t>
            </w:r>
            <w:r w:rsidRPr="00DF3EE3">
              <w:rPr>
                <w:sz w:val="20"/>
              </w:rPr>
              <w:t xml:space="preserve"> dėl juridinio asmens tapatybės nustatymo nuotoliniu būdu proceso, taikant </w:t>
            </w:r>
            <w:r w:rsidR="000A4489" w:rsidRPr="00DF3EE3">
              <w:rPr>
                <w:sz w:val="20"/>
              </w:rPr>
              <w:t>Lietuvos Respublikos p</w:t>
            </w:r>
            <w:r w:rsidRPr="00DF3EE3">
              <w:rPr>
                <w:sz w:val="20"/>
              </w:rPr>
              <w:t>inigų plovimo ir teroristų finansavimo prevencijos įstatymo nuostatas</w:t>
            </w:r>
          </w:p>
        </w:tc>
        <w:tc>
          <w:tcPr>
            <w:tcW w:w="5529" w:type="dxa"/>
          </w:tcPr>
          <w:p w:rsidR="005D57DE" w:rsidRPr="00DF3EE3" w:rsidRDefault="005D57DE" w:rsidP="003E7931">
            <w:pPr>
              <w:jc w:val="both"/>
              <w:rPr>
                <w:sz w:val="20"/>
              </w:rPr>
            </w:pPr>
          </w:p>
        </w:tc>
        <w:tc>
          <w:tcPr>
            <w:tcW w:w="1842" w:type="dxa"/>
            <w:vAlign w:val="center"/>
          </w:tcPr>
          <w:p w:rsidR="005D57DE" w:rsidRPr="00DF3EE3" w:rsidRDefault="005D57DE" w:rsidP="00730382">
            <w:pPr>
              <w:jc w:val="center"/>
              <w:rPr>
                <w:sz w:val="20"/>
              </w:rPr>
            </w:pPr>
            <w:r w:rsidRPr="00DF3EE3">
              <w:rPr>
                <w:sz w:val="20"/>
              </w:rPr>
              <w:t xml:space="preserve">2021 m. III </w:t>
            </w:r>
            <w:proofErr w:type="spellStart"/>
            <w:r w:rsidRPr="00DF3EE3">
              <w:rPr>
                <w:sz w:val="20"/>
              </w:rPr>
              <w:t>ketv</w:t>
            </w:r>
            <w:proofErr w:type="spellEnd"/>
            <w:r w:rsidRPr="00DF3EE3">
              <w:rPr>
                <w:sz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5D57DE" w:rsidRPr="00DF3EE3" w:rsidRDefault="005D57DE" w:rsidP="00BE68D0">
            <w:pPr>
              <w:jc w:val="center"/>
              <w:rPr>
                <w:sz w:val="20"/>
              </w:rPr>
            </w:pPr>
            <w:r w:rsidRPr="00DF3EE3">
              <w:rPr>
                <w:sz w:val="20"/>
              </w:rPr>
              <w:t xml:space="preserve">Lietuvos bankas, Finansinių nusikaltimų tyrimo tarnyba </w:t>
            </w:r>
            <w:r w:rsidR="000A4489" w:rsidRPr="00DF3EE3">
              <w:rPr>
                <w:sz w:val="20"/>
              </w:rPr>
              <w:t>prie Vidaus reikalų ministerijos</w:t>
            </w:r>
          </w:p>
        </w:tc>
      </w:tr>
      <w:tr w:rsidR="00DF3EE3" w:rsidRPr="00DF3EE3" w:rsidTr="00D81849">
        <w:tc>
          <w:tcPr>
            <w:tcW w:w="4644" w:type="dxa"/>
          </w:tcPr>
          <w:p w:rsidR="005D57DE" w:rsidRPr="00DF3EE3" w:rsidRDefault="005D57DE" w:rsidP="00842658">
            <w:pPr>
              <w:jc w:val="both"/>
              <w:rPr>
                <w:sz w:val="20"/>
              </w:rPr>
            </w:pPr>
            <w:r w:rsidRPr="00DF3EE3">
              <w:rPr>
                <w:sz w:val="20"/>
              </w:rPr>
              <w:t>1.11. Atlikti Juridinių asmenų elektroninės paslaugos (JAREP) vartotojo sąsajos funkci</w:t>
            </w:r>
            <w:r w:rsidR="00842658" w:rsidRPr="00DF3EE3">
              <w:rPr>
                <w:sz w:val="20"/>
              </w:rPr>
              <w:t>nių galimybių</w:t>
            </w:r>
            <w:r w:rsidRPr="00DF3EE3">
              <w:rPr>
                <w:sz w:val="20"/>
              </w:rPr>
              <w:t xml:space="preserve"> vystymo analizę dėl galimybės anglų kalba pildyti prašymus </w:t>
            </w:r>
            <w:r w:rsidR="00842658" w:rsidRPr="00DF3EE3">
              <w:rPr>
                <w:sz w:val="20"/>
              </w:rPr>
              <w:t xml:space="preserve">įregistruoti </w:t>
            </w:r>
            <w:r w:rsidRPr="00DF3EE3">
              <w:rPr>
                <w:sz w:val="20"/>
              </w:rPr>
              <w:t>juridinio asmens pakeist</w:t>
            </w:r>
            <w:r w:rsidR="00842658" w:rsidRPr="00DF3EE3">
              <w:rPr>
                <w:sz w:val="20"/>
              </w:rPr>
              <w:t>us</w:t>
            </w:r>
            <w:r w:rsidRPr="00DF3EE3">
              <w:rPr>
                <w:sz w:val="20"/>
              </w:rPr>
              <w:t xml:space="preserve"> duomen</w:t>
            </w:r>
            <w:r w:rsidR="00842658" w:rsidRPr="00DF3EE3">
              <w:rPr>
                <w:sz w:val="20"/>
              </w:rPr>
              <w:t>is</w:t>
            </w:r>
            <w:r w:rsidRPr="00DF3EE3">
              <w:rPr>
                <w:sz w:val="20"/>
              </w:rPr>
              <w:t xml:space="preserve"> ir dokument</w:t>
            </w:r>
            <w:r w:rsidR="00842658" w:rsidRPr="00DF3EE3">
              <w:rPr>
                <w:sz w:val="20"/>
              </w:rPr>
              <w:t>us</w:t>
            </w:r>
          </w:p>
        </w:tc>
        <w:tc>
          <w:tcPr>
            <w:tcW w:w="5529" w:type="dxa"/>
          </w:tcPr>
          <w:p w:rsidR="005D57DE" w:rsidRPr="00DF3EE3" w:rsidRDefault="005D57DE" w:rsidP="003E7931">
            <w:pPr>
              <w:jc w:val="both"/>
              <w:rPr>
                <w:sz w:val="20"/>
              </w:rPr>
            </w:pPr>
          </w:p>
        </w:tc>
        <w:tc>
          <w:tcPr>
            <w:tcW w:w="1842" w:type="dxa"/>
            <w:vAlign w:val="center"/>
          </w:tcPr>
          <w:p w:rsidR="005D57DE" w:rsidRPr="00DF3EE3" w:rsidRDefault="005D57DE" w:rsidP="00730382">
            <w:pPr>
              <w:jc w:val="center"/>
              <w:rPr>
                <w:sz w:val="20"/>
              </w:rPr>
            </w:pPr>
            <w:r w:rsidRPr="00DF3EE3">
              <w:rPr>
                <w:sz w:val="20"/>
              </w:rPr>
              <w:t xml:space="preserve">2021 m. IV </w:t>
            </w:r>
            <w:proofErr w:type="spellStart"/>
            <w:r w:rsidRPr="00DF3EE3">
              <w:rPr>
                <w:sz w:val="20"/>
              </w:rPr>
              <w:t>ketv</w:t>
            </w:r>
            <w:proofErr w:type="spellEnd"/>
            <w:r w:rsidRPr="00DF3EE3">
              <w:rPr>
                <w:sz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5D57DE" w:rsidRPr="00DF3EE3" w:rsidRDefault="005D57DE" w:rsidP="000A4489">
            <w:pPr>
              <w:jc w:val="center"/>
              <w:rPr>
                <w:sz w:val="20"/>
              </w:rPr>
            </w:pPr>
            <w:r w:rsidRPr="00DF3EE3">
              <w:rPr>
                <w:sz w:val="20"/>
              </w:rPr>
              <w:t>VĮ Registrų centras, Teisingumo ministerija</w:t>
            </w:r>
          </w:p>
        </w:tc>
      </w:tr>
      <w:tr w:rsidR="00DF3EE3" w:rsidRPr="00DF3EE3" w:rsidTr="00D81849">
        <w:tc>
          <w:tcPr>
            <w:tcW w:w="4644" w:type="dxa"/>
          </w:tcPr>
          <w:p w:rsidR="005D57DE" w:rsidRPr="00DF3EE3" w:rsidRDefault="005D57DE" w:rsidP="00842658">
            <w:pPr>
              <w:jc w:val="both"/>
              <w:rPr>
                <w:sz w:val="20"/>
              </w:rPr>
            </w:pPr>
            <w:r w:rsidRPr="00DF3EE3">
              <w:rPr>
                <w:sz w:val="20"/>
              </w:rPr>
              <w:t>1.12. Su</w:t>
            </w:r>
            <w:r w:rsidR="00842658" w:rsidRPr="00DF3EE3">
              <w:rPr>
                <w:sz w:val="20"/>
              </w:rPr>
              <w:t>dary</w:t>
            </w:r>
            <w:r w:rsidRPr="00DF3EE3">
              <w:rPr>
                <w:sz w:val="20"/>
              </w:rPr>
              <w:t xml:space="preserve">ti galimybę klientams iš </w:t>
            </w:r>
            <w:r w:rsidR="000A4489" w:rsidRPr="00DF3EE3">
              <w:rPr>
                <w:sz w:val="20"/>
              </w:rPr>
              <w:t xml:space="preserve">VĮ </w:t>
            </w:r>
            <w:r w:rsidRPr="00DF3EE3">
              <w:rPr>
                <w:sz w:val="20"/>
              </w:rPr>
              <w:t>Registrų centro gauti Juridinių asmenų registro išrašus, patvirtintus elektroniniu spaudu</w:t>
            </w:r>
          </w:p>
        </w:tc>
        <w:tc>
          <w:tcPr>
            <w:tcW w:w="5529" w:type="dxa"/>
          </w:tcPr>
          <w:p w:rsidR="005D57DE" w:rsidRPr="00DF3EE3" w:rsidRDefault="005D57DE" w:rsidP="003E7931">
            <w:pPr>
              <w:jc w:val="both"/>
              <w:rPr>
                <w:sz w:val="20"/>
              </w:rPr>
            </w:pPr>
          </w:p>
        </w:tc>
        <w:tc>
          <w:tcPr>
            <w:tcW w:w="1842" w:type="dxa"/>
            <w:vAlign w:val="center"/>
          </w:tcPr>
          <w:p w:rsidR="005D57DE" w:rsidRPr="00DF3EE3" w:rsidRDefault="005D57DE" w:rsidP="00730382">
            <w:pPr>
              <w:jc w:val="center"/>
              <w:rPr>
                <w:sz w:val="20"/>
              </w:rPr>
            </w:pPr>
            <w:r w:rsidRPr="00DF3EE3">
              <w:rPr>
                <w:sz w:val="20"/>
              </w:rPr>
              <w:t xml:space="preserve">2021 m. IV </w:t>
            </w:r>
            <w:proofErr w:type="spellStart"/>
            <w:r w:rsidRPr="00DF3EE3">
              <w:rPr>
                <w:sz w:val="20"/>
              </w:rPr>
              <w:t>ketv</w:t>
            </w:r>
            <w:proofErr w:type="spellEnd"/>
            <w:r w:rsidRPr="00DF3EE3">
              <w:rPr>
                <w:sz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5D57DE" w:rsidRPr="00DF3EE3" w:rsidRDefault="005D57DE" w:rsidP="000A4489">
            <w:pPr>
              <w:jc w:val="center"/>
              <w:rPr>
                <w:sz w:val="20"/>
              </w:rPr>
            </w:pPr>
            <w:r w:rsidRPr="00DF3EE3">
              <w:rPr>
                <w:sz w:val="20"/>
              </w:rPr>
              <w:t>VĮ Registrų centras</w:t>
            </w:r>
          </w:p>
        </w:tc>
      </w:tr>
      <w:tr w:rsidR="00DF3EE3" w:rsidRPr="00DF3EE3" w:rsidTr="00D81849">
        <w:tc>
          <w:tcPr>
            <w:tcW w:w="4644" w:type="dxa"/>
          </w:tcPr>
          <w:p w:rsidR="005D57DE" w:rsidRPr="00DF3EE3" w:rsidRDefault="005D57DE" w:rsidP="00AE7BD5">
            <w:pPr>
              <w:jc w:val="both"/>
              <w:rPr>
                <w:sz w:val="20"/>
              </w:rPr>
            </w:pPr>
            <w:r w:rsidRPr="00DF3EE3">
              <w:rPr>
                <w:sz w:val="20"/>
              </w:rPr>
              <w:t xml:space="preserve">1.13. Inicijuoti </w:t>
            </w:r>
            <w:proofErr w:type="spellStart"/>
            <w:r w:rsidRPr="00DF3EE3">
              <w:rPr>
                <w:sz w:val="20"/>
              </w:rPr>
              <w:t>tarpinstitucinę</w:t>
            </w:r>
            <w:proofErr w:type="spellEnd"/>
            <w:r w:rsidRPr="00DF3EE3">
              <w:rPr>
                <w:sz w:val="20"/>
              </w:rPr>
              <w:t xml:space="preserve"> diskusiją dėl paslaugų prieinamumo e.</w:t>
            </w:r>
            <w:r w:rsidR="00842658" w:rsidRPr="00DF3EE3">
              <w:rPr>
                <w:sz w:val="20"/>
              </w:rPr>
              <w:t xml:space="preserve"> </w:t>
            </w:r>
            <w:r w:rsidRPr="00DF3EE3">
              <w:rPr>
                <w:sz w:val="20"/>
              </w:rPr>
              <w:t>rezidento statusą turintiems asmenims i</w:t>
            </w:r>
            <w:r w:rsidR="00842658" w:rsidRPr="00DF3EE3">
              <w:rPr>
                <w:sz w:val="20"/>
              </w:rPr>
              <w:t>r</w:t>
            </w:r>
            <w:r w:rsidRPr="00DF3EE3">
              <w:rPr>
                <w:sz w:val="20"/>
              </w:rPr>
              <w:t xml:space="preserve"> e. rezidento elektroninės priemonės išdavimo patrauklumo didinimo</w:t>
            </w:r>
          </w:p>
        </w:tc>
        <w:tc>
          <w:tcPr>
            <w:tcW w:w="5529" w:type="dxa"/>
          </w:tcPr>
          <w:p w:rsidR="005D57DE" w:rsidRPr="00DF3EE3" w:rsidRDefault="005D57DE" w:rsidP="003E7931">
            <w:pPr>
              <w:jc w:val="both"/>
              <w:rPr>
                <w:sz w:val="20"/>
              </w:rPr>
            </w:pPr>
          </w:p>
        </w:tc>
        <w:tc>
          <w:tcPr>
            <w:tcW w:w="1842" w:type="dxa"/>
            <w:vAlign w:val="center"/>
          </w:tcPr>
          <w:p w:rsidR="005D57DE" w:rsidRPr="00DF3EE3" w:rsidRDefault="005D57DE" w:rsidP="00730382">
            <w:pPr>
              <w:jc w:val="center"/>
              <w:rPr>
                <w:sz w:val="20"/>
              </w:rPr>
            </w:pPr>
            <w:r w:rsidRPr="00DF3EE3">
              <w:rPr>
                <w:sz w:val="20"/>
              </w:rPr>
              <w:t xml:space="preserve">2021 m. III </w:t>
            </w:r>
            <w:proofErr w:type="spellStart"/>
            <w:r w:rsidRPr="00DF3EE3">
              <w:rPr>
                <w:sz w:val="20"/>
              </w:rPr>
              <w:t>ketv</w:t>
            </w:r>
            <w:proofErr w:type="spellEnd"/>
            <w:r w:rsidRPr="00DF3EE3">
              <w:rPr>
                <w:sz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5D57DE" w:rsidRPr="00DF3EE3" w:rsidRDefault="005D57DE" w:rsidP="00AE7BD5">
            <w:pPr>
              <w:jc w:val="center"/>
              <w:rPr>
                <w:sz w:val="20"/>
              </w:rPr>
            </w:pPr>
            <w:r w:rsidRPr="00DF3EE3">
              <w:rPr>
                <w:sz w:val="20"/>
              </w:rPr>
              <w:t>Ekonomikos ir inovacijų ministerija, Vidaus reikalų ministerija, Užsienio reikalų ministerija, Migracijos departamentas</w:t>
            </w:r>
            <w:r w:rsidR="000A4489" w:rsidRPr="00DF3EE3">
              <w:rPr>
                <w:sz w:val="20"/>
              </w:rPr>
              <w:t xml:space="preserve"> prie Vidaus reikalų ministerijos</w:t>
            </w:r>
            <w:r w:rsidRPr="00DF3EE3">
              <w:rPr>
                <w:sz w:val="20"/>
              </w:rPr>
              <w:t>, VĮ Registrų centras, Informacinės visuomenės plėtros komite</w:t>
            </w:r>
            <w:r w:rsidR="009B0E35" w:rsidRPr="00DF3EE3">
              <w:rPr>
                <w:sz w:val="20"/>
              </w:rPr>
              <w:t xml:space="preserve">tas, </w:t>
            </w:r>
            <w:proofErr w:type="spellStart"/>
            <w:r w:rsidR="009B0E35" w:rsidRPr="00DF3EE3">
              <w:rPr>
                <w:sz w:val="20"/>
              </w:rPr>
              <w:t>VšĮ</w:t>
            </w:r>
            <w:proofErr w:type="spellEnd"/>
            <w:r w:rsidR="009B0E35" w:rsidRPr="00DF3EE3">
              <w:rPr>
                <w:sz w:val="20"/>
              </w:rPr>
              <w:t xml:space="preserve"> „</w:t>
            </w:r>
            <w:r w:rsidRPr="00DF3EE3">
              <w:rPr>
                <w:sz w:val="20"/>
              </w:rPr>
              <w:t>Investuok Lietuvoje</w:t>
            </w:r>
            <w:r w:rsidR="00AE7BD5" w:rsidRPr="00DF3EE3">
              <w:rPr>
                <w:rFonts w:cs="Times New Roman"/>
                <w:sz w:val="20"/>
              </w:rPr>
              <w:t>“</w:t>
            </w:r>
          </w:p>
        </w:tc>
      </w:tr>
      <w:tr w:rsidR="00DF3EE3" w:rsidRPr="00DF3EE3" w:rsidTr="00D81849">
        <w:tc>
          <w:tcPr>
            <w:tcW w:w="4644" w:type="dxa"/>
          </w:tcPr>
          <w:p w:rsidR="005D57DE" w:rsidRPr="00DF3EE3" w:rsidRDefault="005D57DE" w:rsidP="00940F82">
            <w:pPr>
              <w:jc w:val="both"/>
              <w:rPr>
                <w:sz w:val="20"/>
                <w:highlight w:val="green"/>
              </w:rPr>
            </w:pPr>
            <w:bookmarkStart w:id="0" w:name="_Hlk66177220"/>
            <w:r w:rsidRPr="00DF3EE3">
              <w:rPr>
                <w:sz w:val="20"/>
              </w:rPr>
              <w:t xml:space="preserve">1.14. Parengti </w:t>
            </w:r>
            <w:r w:rsidR="00940F82" w:rsidRPr="00DF3EE3">
              <w:rPr>
                <w:sz w:val="20"/>
              </w:rPr>
              <w:t xml:space="preserve">dažniausiai užduodamų klausimų skiltį </w:t>
            </w:r>
            <w:r w:rsidRPr="00DF3EE3">
              <w:rPr>
                <w:sz w:val="20"/>
              </w:rPr>
              <w:t xml:space="preserve">dėl dokumentų </w:t>
            </w:r>
            <w:proofErr w:type="spellStart"/>
            <w:r w:rsidRPr="00DF3EE3">
              <w:rPr>
                <w:sz w:val="20"/>
              </w:rPr>
              <w:t>apostilizavimo</w:t>
            </w:r>
            <w:proofErr w:type="spellEnd"/>
            <w:r w:rsidRPr="00DF3EE3">
              <w:rPr>
                <w:sz w:val="20"/>
              </w:rPr>
              <w:t xml:space="preserve"> privalomumo vykdant </w:t>
            </w:r>
            <w:r w:rsidRPr="00DF3EE3">
              <w:rPr>
                <w:sz w:val="20"/>
              </w:rPr>
              <w:lastRenderedPageBreak/>
              <w:t>klientų identifikavimo ir priežiūros procedūras</w:t>
            </w:r>
          </w:p>
        </w:tc>
        <w:tc>
          <w:tcPr>
            <w:tcW w:w="5529" w:type="dxa"/>
          </w:tcPr>
          <w:p w:rsidR="005D57DE" w:rsidRPr="00DF3EE3" w:rsidRDefault="005D57DE" w:rsidP="003E7931">
            <w:pPr>
              <w:jc w:val="both"/>
              <w:rPr>
                <w:sz w:val="20"/>
              </w:rPr>
            </w:pPr>
          </w:p>
        </w:tc>
        <w:tc>
          <w:tcPr>
            <w:tcW w:w="1842" w:type="dxa"/>
            <w:vAlign w:val="center"/>
          </w:tcPr>
          <w:p w:rsidR="005D57DE" w:rsidRPr="00DF3EE3" w:rsidRDefault="005D57DE" w:rsidP="00730382">
            <w:pPr>
              <w:jc w:val="center"/>
              <w:rPr>
                <w:sz w:val="20"/>
              </w:rPr>
            </w:pPr>
            <w:r w:rsidRPr="00DF3EE3">
              <w:rPr>
                <w:sz w:val="20"/>
              </w:rPr>
              <w:t xml:space="preserve">2021 m. III </w:t>
            </w:r>
            <w:proofErr w:type="spellStart"/>
            <w:r w:rsidRPr="00DF3EE3">
              <w:rPr>
                <w:sz w:val="20"/>
              </w:rPr>
              <w:t>ketv</w:t>
            </w:r>
            <w:proofErr w:type="spellEnd"/>
            <w:r w:rsidRPr="00DF3EE3">
              <w:rPr>
                <w:sz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5D57DE" w:rsidRPr="00DF3EE3" w:rsidRDefault="005D57DE" w:rsidP="00BE68D0">
            <w:pPr>
              <w:jc w:val="center"/>
              <w:rPr>
                <w:sz w:val="20"/>
              </w:rPr>
            </w:pPr>
            <w:r w:rsidRPr="00DF3EE3">
              <w:rPr>
                <w:sz w:val="20"/>
              </w:rPr>
              <w:t>Lietuvos bankas, Finansinių nusikaltimų tyrimo tarnyba</w:t>
            </w:r>
            <w:r w:rsidR="000A4489" w:rsidRPr="00DF3EE3">
              <w:rPr>
                <w:sz w:val="20"/>
              </w:rPr>
              <w:t xml:space="preserve"> prie </w:t>
            </w:r>
            <w:r w:rsidR="000A4489" w:rsidRPr="00DF3EE3">
              <w:rPr>
                <w:sz w:val="20"/>
              </w:rPr>
              <w:lastRenderedPageBreak/>
              <w:t>Vidaus reikalų ministerijos</w:t>
            </w:r>
          </w:p>
        </w:tc>
      </w:tr>
      <w:bookmarkEnd w:id="0"/>
      <w:tr w:rsidR="00DF3EE3" w:rsidRPr="00DF3EE3" w:rsidTr="00D81849">
        <w:tc>
          <w:tcPr>
            <w:tcW w:w="4644" w:type="dxa"/>
          </w:tcPr>
          <w:p w:rsidR="005D57DE" w:rsidRPr="00DF3EE3" w:rsidRDefault="005D57DE" w:rsidP="00940F82">
            <w:pPr>
              <w:jc w:val="both"/>
              <w:rPr>
                <w:sz w:val="20"/>
                <w:highlight w:val="yellow"/>
              </w:rPr>
            </w:pPr>
            <w:r w:rsidRPr="00DF3EE3">
              <w:rPr>
                <w:sz w:val="20"/>
              </w:rPr>
              <w:lastRenderedPageBreak/>
              <w:t xml:space="preserve">1.15. </w:t>
            </w:r>
            <w:r w:rsidR="00725F02" w:rsidRPr="00DF3EE3">
              <w:rPr>
                <w:sz w:val="20"/>
              </w:rPr>
              <w:t xml:space="preserve">Remiantis </w:t>
            </w:r>
            <w:r w:rsidRPr="00DF3EE3">
              <w:rPr>
                <w:sz w:val="20"/>
              </w:rPr>
              <w:t xml:space="preserve">Mokėjimų </w:t>
            </w:r>
            <w:r w:rsidR="00AE7BD5" w:rsidRPr="00DF3EE3">
              <w:rPr>
                <w:sz w:val="20"/>
              </w:rPr>
              <w:t>t</w:t>
            </w:r>
            <w:r w:rsidRPr="00DF3EE3">
              <w:rPr>
                <w:sz w:val="20"/>
              </w:rPr>
              <w:t>arybos ataskaitoje „Kliento pažinimo proceso optimizavimo galimybės</w:t>
            </w:r>
            <w:r w:rsidR="00AE7BD5" w:rsidRPr="00DF3EE3">
              <w:rPr>
                <w:rFonts w:cs="Times New Roman"/>
                <w:sz w:val="20"/>
              </w:rPr>
              <w:t>“</w:t>
            </w:r>
            <w:r w:rsidRPr="00DF3EE3">
              <w:rPr>
                <w:sz w:val="20"/>
              </w:rPr>
              <w:t xml:space="preserve"> pateikt</w:t>
            </w:r>
            <w:r w:rsidR="00725F02" w:rsidRPr="00DF3EE3">
              <w:rPr>
                <w:sz w:val="20"/>
              </w:rPr>
              <w:t>omis</w:t>
            </w:r>
            <w:r w:rsidRPr="00DF3EE3">
              <w:rPr>
                <w:sz w:val="20"/>
              </w:rPr>
              <w:t xml:space="preserve"> rekomendacij</w:t>
            </w:r>
            <w:r w:rsidR="00725F02" w:rsidRPr="00DF3EE3">
              <w:rPr>
                <w:sz w:val="20"/>
              </w:rPr>
              <w:t>omis</w:t>
            </w:r>
            <w:r w:rsidRPr="00DF3EE3">
              <w:rPr>
                <w:sz w:val="20"/>
              </w:rPr>
              <w:t xml:space="preserve"> išanalizuoti galimybes sukurti rinkos dalyviams </w:t>
            </w:r>
            <w:r w:rsidR="00725F02" w:rsidRPr="00DF3EE3">
              <w:rPr>
                <w:sz w:val="20"/>
              </w:rPr>
              <w:t xml:space="preserve">prieigą </w:t>
            </w:r>
            <w:r w:rsidRPr="00DF3EE3">
              <w:rPr>
                <w:sz w:val="20"/>
              </w:rPr>
              <w:t xml:space="preserve">prie valstybės institucijų turimų individualių fizinių ir juridinių asmenų duomenų, kuri būtų naudojama </w:t>
            </w:r>
            <w:r w:rsidR="00940F82" w:rsidRPr="00DF3EE3">
              <w:rPr>
                <w:i/>
                <w:sz w:val="20"/>
              </w:rPr>
              <w:t xml:space="preserve">pažink savo klientą </w:t>
            </w:r>
            <w:r w:rsidRPr="00DF3EE3">
              <w:rPr>
                <w:sz w:val="20"/>
              </w:rPr>
              <w:t xml:space="preserve">tikslais ir veiktų vieno langelio principu, ir pateikti </w:t>
            </w:r>
            <w:r w:rsidR="00BF55A3" w:rsidRPr="00DF3EE3">
              <w:rPr>
                <w:sz w:val="20"/>
              </w:rPr>
              <w:t>pa</w:t>
            </w:r>
            <w:r w:rsidRPr="00DF3EE3">
              <w:rPr>
                <w:sz w:val="20"/>
              </w:rPr>
              <w:t>siūlymą dėl tokios prieigos sukūrimo, valdymo ir techninio įgyvendinimo</w:t>
            </w:r>
          </w:p>
        </w:tc>
        <w:tc>
          <w:tcPr>
            <w:tcW w:w="5529" w:type="dxa"/>
          </w:tcPr>
          <w:p w:rsidR="005D57DE" w:rsidRPr="00DF3EE3" w:rsidRDefault="005D57DE" w:rsidP="003E7931">
            <w:pPr>
              <w:jc w:val="both"/>
              <w:rPr>
                <w:sz w:val="20"/>
              </w:rPr>
            </w:pPr>
          </w:p>
        </w:tc>
        <w:tc>
          <w:tcPr>
            <w:tcW w:w="1842" w:type="dxa"/>
            <w:vAlign w:val="center"/>
          </w:tcPr>
          <w:p w:rsidR="005D57DE" w:rsidRPr="00DF3EE3" w:rsidRDefault="005D57DE" w:rsidP="00730382">
            <w:pPr>
              <w:jc w:val="center"/>
              <w:rPr>
                <w:sz w:val="20"/>
              </w:rPr>
            </w:pPr>
            <w:r w:rsidRPr="00DF3EE3">
              <w:rPr>
                <w:sz w:val="20"/>
              </w:rPr>
              <w:t>2021 m. I</w:t>
            </w:r>
            <w:r w:rsidR="008C50B3">
              <w:rPr>
                <w:sz w:val="20"/>
              </w:rPr>
              <w:t>V</w:t>
            </w:r>
            <w:r w:rsidRPr="00DF3EE3">
              <w:rPr>
                <w:sz w:val="20"/>
              </w:rPr>
              <w:t xml:space="preserve"> </w:t>
            </w:r>
            <w:proofErr w:type="spellStart"/>
            <w:r w:rsidRPr="00DF3EE3">
              <w:rPr>
                <w:sz w:val="20"/>
              </w:rPr>
              <w:t>ketv</w:t>
            </w:r>
            <w:proofErr w:type="spellEnd"/>
            <w:r w:rsidRPr="00DF3EE3">
              <w:rPr>
                <w:sz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5D57DE" w:rsidRPr="00DF3EE3" w:rsidRDefault="005D57DE" w:rsidP="000A4489">
            <w:pPr>
              <w:jc w:val="center"/>
              <w:rPr>
                <w:sz w:val="20"/>
              </w:rPr>
            </w:pPr>
            <w:r w:rsidRPr="00DF3EE3">
              <w:rPr>
                <w:sz w:val="20"/>
              </w:rPr>
              <w:t>Ekonomikos ir inovacijų ministerija, VĮ Registrų centras, Informacinės visuomenės plėtros komitetas, Finansų ministerija, Lietuvos bankas, Teisingumo ministerija</w:t>
            </w:r>
          </w:p>
        </w:tc>
      </w:tr>
      <w:tr w:rsidR="00314793" w:rsidRPr="00DF3EE3" w:rsidTr="00D81849">
        <w:tc>
          <w:tcPr>
            <w:tcW w:w="4644" w:type="dxa"/>
          </w:tcPr>
          <w:p w:rsidR="00314793" w:rsidRPr="00DF3EE3" w:rsidRDefault="00314793" w:rsidP="00940F82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1.16. </w:t>
            </w:r>
            <w:r w:rsidRPr="00314793">
              <w:rPr>
                <w:sz w:val="20"/>
              </w:rPr>
              <w:t>Parengti nuostatas dėl prieigos prie valstybės valdomų individualių fizinių ir juridinių asmenų duomenų sąlygų ir priemonių šiai prieigai įgyvendint</w:t>
            </w:r>
            <w:r w:rsidR="00024D58">
              <w:rPr>
                <w:sz w:val="20"/>
              </w:rPr>
              <w:t>i</w:t>
            </w:r>
          </w:p>
        </w:tc>
        <w:tc>
          <w:tcPr>
            <w:tcW w:w="5529" w:type="dxa"/>
          </w:tcPr>
          <w:p w:rsidR="00314793" w:rsidRPr="00DF3EE3" w:rsidRDefault="00314793" w:rsidP="003E7931">
            <w:pPr>
              <w:jc w:val="both"/>
              <w:rPr>
                <w:sz w:val="20"/>
              </w:rPr>
            </w:pPr>
          </w:p>
        </w:tc>
        <w:tc>
          <w:tcPr>
            <w:tcW w:w="1842" w:type="dxa"/>
            <w:vAlign w:val="center"/>
          </w:tcPr>
          <w:p w:rsidR="00314793" w:rsidRPr="00DF3EE3" w:rsidRDefault="00314793" w:rsidP="0073038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2021 m. III </w:t>
            </w:r>
            <w:proofErr w:type="spellStart"/>
            <w:r>
              <w:rPr>
                <w:sz w:val="20"/>
              </w:rPr>
              <w:t>ketv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314793" w:rsidRPr="00DF3EE3" w:rsidRDefault="00314793" w:rsidP="00A7757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Lietuvos Respublikos Vyriausybės kanceliarija, Ekonomikos ir inovacijų ministerija, Teisingumo ministerija, </w:t>
            </w:r>
            <w:r w:rsidR="00A7757B">
              <w:rPr>
                <w:sz w:val="20"/>
              </w:rPr>
              <w:t xml:space="preserve">Lietuvos bankas, </w:t>
            </w:r>
            <w:r>
              <w:rPr>
                <w:sz w:val="20"/>
              </w:rPr>
              <w:t>Finansų ministerija</w:t>
            </w:r>
          </w:p>
        </w:tc>
      </w:tr>
      <w:tr w:rsidR="00DF3EE3" w:rsidRPr="00DF3EE3" w:rsidTr="00D81849">
        <w:tc>
          <w:tcPr>
            <w:tcW w:w="4644" w:type="dxa"/>
          </w:tcPr>
          <w:p w:rsidR="005D57DE" w:rsidRPr="00DF3EE3" w:rsidRDefault="00314793" w:rsidP="00780BFA">
            <w:pPr>
              <w:jc w:val="both"/>
              <w:rPr>
                <w:sz w:val="20"/>
                <w:highlight w:val="yellow"/>
              </w:rPr>
            </w:pPr>
            <w:r>
              <w:rPr>
                <w:sz w:val="20"/>
              </w:rPr>
              <w:t>1.17</w:t>
            </w:r>
            <w:r w:rsidR="005D57DE" w:rsidRPr="00DF3EE3">
              <w:rPr>
                <w:sz w:val="20"/>
              </w:rPr>
              <w:t xml:space="preserve">. Išanalizuoti galimybes sudaryti </w:t>
            </w:r>
            <w:r w:rsidR="00780BFA" w:rsidRPr="00DF3EE3">
              <w:rPr>
                <w:sz w:val="20"/>
              </w:rPr>
              <w:t xml:space="preserve">sąlygas </w:t>
            </w:r>
            <w:r w:rsidR="005D57DE" w:rsidRPr="00DF3EE3">
              <w:rPr>
                <w:sz w:val="20"/>
              </w:rPr>
              <w:t xml:space="preserve">rinkos dalyviams naudotis Valstybės informacinių išteklių </w:t>
            </w:r>
            <w:proofErr w:type="spellStart"/>
            <w:r w:rsidR="005D57DE" w:rsidRPr="00DF3EE3">
              <w:rPr>
                <w:sz w:val="20"/>
              </w:rPr>
              <w:t>sąveikumo</w:t>
            </w:r>
            <w:proofErr w:type="spellEnd"/>
            <w:r w:rsidR="005D57DE" w:rsidRPr="00DF3EE3">
              <w:rPr>
                <w:sz w:val="20"/>
              </w:rPr>
              <w:t xml:space="preserve"> platformos asmens nuotolinės atpažinties paslauga pirmą kartą registruojant klientus ir prireikus parengti reik</w:t>
            </w:r>
            <w:r w:rsidR="00780BFA" w:rsidRPr="00DF3EE3">
              <w:rPr>
                <w:sz w:val="20"/>
              </w:rPr>
              <w:t>iamus</w:t>
            </w:r>
            <w:r w:rsidR="005D57DE" w:rsidRPr="00DF3EE3">
              <w:rPr>
                <w:sz w:val="20"/>
              </w:rPr>
              <w:t xml:space="preserve"> teisės aktų </w:t>
            </w:r>
            <w:r w:rsidR="00780BFA" w:rsidRPr="00DF3EE3">
              <w:rPr>
                <w:sz w:val="20"/>
              </w:rPr>
              <w:t>pakeitimo projektus</w:t>
            </w:r>
          </w:p>
        </w:tc>
        <w:tc>
          <w:tcPr>
            <w:tcW w:w="5529" w:type="dxa"/>
          </w:tcPr>
          <w:p w:rsidR="005D57DE" w:rsidRPr="00DF3EE3" w:rsidRDefault="005D57DE" w:rsidP="00486BC6">
            <w:pPr>
              <w:jc w:val="both"/>
              <w:rPr>
                <w:sz w:val="20"/>
              </w:rPr>
            </w:pPr>
          </w:p>
        </w:tc>
        <w:tc>
          <w:tcPr>
            <w:tcW w:w="1842" w:type="dxa"/>
            <w:vAlign w:val="center"/>
          </w:tcPr>
          <w:p w:rsidR="005D57DE" w:rsidRPr="00DF3EE3" w:rsidRDefault="005D57DE" w:rsidP="00486BC6">
            <w:pPr>
              <w:jc w:val="center"/>
              <w:rPr>
                <w:sz w:val="20"/>
              </w:rPr>
            </w:pPr>
            <w:r w:rsidRPr="00DF3EE3">
              <w:rPr>
                <w:sz w:val="20"/>
              </w:rPr>
              <w:t xml:space="preserve">2021 m. IV </w:t>
            </w:r>
            <w:proofErr w:type="spellStart"/>
            <w:r w:rsidRPr="00DF3EE3">
              <w:rPr>
                <w:sz w:val="20"/>
              </w:rPr>
              <w:t>ketv</w:t>
            </w:r>
            <w:proofErr w:type="spellEnd"/>
            <w:r w:rsidRPr="00DF3EE3">
              <w:rPr>
                <w:sz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5D57DE" w:rsidRPr="00DF3EE3" w:rsidRDefault="005D57DE" w:rsidP="00486BC6">
            <w:pPr>
              <w:jc w:val="center"/>
              <w:rPr>
                <w:sz w:val="20"/>
              </w:rPr>
            </w:pPr>
            <w:r w:rsidRPr="00DF3EE3">
              <w:rPr>
                <w:sz w:val="20"/>
              </w:rPr>
              <w:t>Ekonomikos ir inovacijų ministerija, Informacinės visuomenės plėtros komitetas</w:t>
            </w:r>
          </w:p>
        </w:tc>
      </w:tr>
      <w:tr w:rsidR="00DF3EE3" w:rsidRPr="00DF3EE3" w:rsidTr="00D81849">
        <w:tc>
          <w:tcPr>
            <w:tcW w:w="4644" w:type="dxa"/>
          </w:tcPr>
          <w:p w:rsidR="005D57DE" w:rsidRPr="00DF3EE3" w:rsidRDefault="00314793" w:rsidP="00F107F2">
            <w:pPr>
              <w:jc w:val="both"/>
              <w:rPr>
                <w:sz w:val="20"/>
                <w:highlight w:val="green"/>
              </w:rPr>
            </w:pPr>
            <w:r>
              <w:rPr>
                <w:sz w:val="20"/>
              </w:rPr>
              <w:t>1.18</w:t>
            </w:r>
            <w:r w:rsidR="005D57DE" w:rsidRPr="00DF3EE3">
              <w:rPr>
                <w:sz w:val="20"/>
              </w:rPr>
              <w:t xml:space="preserve">. Nustatyti ir įgyvendinti priemones, kurios didintų elektroninių pinigų ir mokėjimo įstaigų valdymo kultūrą ir kompetenciją, padėtų </w:t>
            </w:r>
            <w:r w:rsidR="00780BFA" w:rsidRPr="00DF3EE3">
              <w:rPr>
                <w:sz w:val="20"/>
              </w:rPr>
              <w:t xml:space="preserve">šioms </w:t>
            </w:r>
            <w:r w:rsidR="005D57DE" w:rsidRPr="00DF3EE3">
              <w:rPr>
                <w:sz w:val="20"/>
              </w:rPr>
              <w:t xml:space="preserve">įstaigoms </w:t>
            </w:r>
            <w:r w:rsidR="00780BFA" w:rsidRPr="00DF3EE3">
              <w:rPr>
                <w:sz w:val="20"/>
              </w:rPr>
              <w:t xml:space="preserve">užtikrinti </w:t>
            </w:r>
            <w:r w:rsidR="005D57DE" w:rsidRPr="00DF3EE3">
              <w:rPr>
                <w:sz w:val="20"/>
              </w:rPr>
              <w:t xml:space="preserve">tinkamą </w:t>
            </w:r>
            <w:r w:rsidR="00F107F2" w:rsidRPr="00DF3EE3">
              <w:rPr>
                <w:sz w:val="20"/>
              </w:rPr>
              <w:t xml:space="preserve">praktinį </w:t>
            </w:r>
            <w:r w:rsidR="005D57DE" w:rsidRPr="00DF3EE3">
              <w:rPr>
                <w:sz w:val="20"/>
              </w:rPr>
              <w:t>teisės aktuose nustatytų reikalavimų įgyvendinimą ir tinkamą mokėjimo paslaugų vartotojų informavimą apie mokėjimo paslaugas, jų teikimo sąlygas ir tvarką</w:t>
            </w:r>
          </w:p>
        </w:tc>
        <w:tc>
          <w:tcPr>
            <w:tcW w:w="5529" w:type="dxa"/>
          </w:tcPr>
          <w:p w:rsidR="005D57DE" w:rsidRPr="00DF3EE3" w:rsidRDefault="005D57DE" w:rsidP="003E7931">
            <w:pPr>
              <w:jc w:val="both"/>
              <w:rPr>
                <w:sz w:val="20"/>
              </w:rPr>
            </w:pPr>
          </w:p>
        </w:tc>
        <w:tc>
          <w:tcPr>
            <w:tcW w:w="1842" w:type="dxa"/>
            <w:vAlign w:val="center"/>
          </w:tcPr>
          <w:p w:rsidR="005D57DE" w:rsidRPr="00DF3EE3" w:rsidRDefault="005D57DE" w:rsidP="00730382">
            <w:pPr>
              <w:jc w:val="center"/>
              <w:rPr>
                <w:sz w:val="20"/>
              </w:rPr>
            </w:pPr>
            <w:r w:rsidRPr="00DF3EE3">
              <w:rPr>
                <w:sz w:val="20"/>
              </w:rPr>
              <w:t>2021 m. I</w:t>
            </w:r>
            <w:r w:rsidR="00435C65" w:rsidRPr="00DF3EE3">
              <w:rPr>
                <w:sz w:val="20"/>
              </w:rPr>
              <w:t>V</w:t>
            </w:r>
            <w:r w:rsidRPr="00DF3EE3">
              <w:rPr>
                <w:sz w:val="20"/>
              </w:rPr>
              <w:t xml:space="preserve"> </w:t>
            </w:r>
            <w:proofErr w:type="spellStart"/>
            <w:r w:rsidRPr="00DF3EE3">
              <w:rPr>
                <w:sz w:val="20"/>
              </w:rPr>
              <w:t>ketv</w:t>
            </w:r>
            <w:proofErr w:type="spellEnd"/>
            <w:r w:rsidRPr="00DF3EE3">
              <w:rPr>
                <w:sz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5D57DE" w:rsidRPr="00DF3EE3" w:rsidRDefault="005D57DE" w:rsidP="00730382">
            <w:pPr>
              <w:jc w:val="center"/>
              <w:rPr>
                <w:sz w:val="20"/>
              </w:rPr>
            </w:pPr>
            <w:r w:rsidRPr="00DF3EE3">
              <w:rPr>
                <w:sz w:val="20"/>
              </w:rPr>
              <w:t>Lietuvos bankas</w:t>
            </w:r>
          </w:p>
        </w:tc>
      </w:tr>
      <w:tr w:rsidR="00DF3EE3" w:rsidRPr="00DF3EE3" w:rsidTr="00D81849">
        <w:trPr>
          <w:trHeight w:val="2426"/>
        </w:trPr>
        <w:tc>
          <w:tcPr>
            <w:tcW w:w="4644" w:type="dxa"/>
          </w:tcPr>
          <w:p w:rsidR="005D57DE" w:rsidRPr="00DF3EE3" w:rsidRDefault="00314793" w:rsidP="00F107F2">
            <w:pPr>
              <w:jc w:val="both"/>
              <w:rPr>
                <w:sz w:val="20"/>
              </w:rPr>
            </w:pPr>
            <w:r>
              <w:rPr>
                <w:sz w:val="20"/>
              </w:rPr>
              <w:t>1.19</w:t>
            </w:r>
            <w:r w:rsidR="005D57DE" w:rsidRPr="00DF3EE3">
              <w:rPr>
                <w:sz w:val="20"/>
              </w:rPr>
              <w:t xml:space="preserve">. Inicijuoti diskusiją dėl pagrindinių kliūčių tolesnei Lietuvos FINTECH sektoriaus plėtrai analizės, kurios pagrindu būtų parengtos gairės dėl reikalingų iniciatyvų ateityje </w:t>
            </w:r>
          </w:p>
        </w:tc>
        <w:tc>
          <w:tcPr>
            <w:tcW w:w="5529" w:type="dxa"/>
          </w:tcPr>
          <w:p w:rsidR="005D57DE" w:rsidRPr="00DF3EE3" w:rsidRDefault="005D57DE" w:rsidP="003E7931">
            <w:pPr>
              <w:jc w:val="both"/>
              <w:rPr>
                <w:sz w:val="20"/>
              </w:rPr>
            </w:pPr>
          </w:p>
        </w:tc>
        <w:tc>
          <w:tcPr>
            <w:tcW w:w="1842" w:type="dxa"/>
            <w:vAlign w:val="center"/>
          </w:tcPr>
          <w:p w:rsidR="005D57DE" w:rsidRPr="00DF3EE3" w:rsidRDefault="005D57DE" w:rsidP="00730382">
            <w:pPr>
              <w:jc w:val="center"/>
              <w:rPr>
                <w:sz w:val="20"/>
              </w:rPr>
            </w:pPr>
            <w:r w:rsidRPr="00DF3EE3">
              <w:rPr>
                <w:sz w:val="20"/>
              </w:rPr>
              <w:t xml:space="preserve">2021 m. IV </w:t>
            </w:r>
            <w:proofErr w:type="spellStart"/>
            <w:r w:rsidRPr="00DF3EE3">
              <w:rPr>
                <w:sz w:val="20"/>
              </w:rPr>
              <w:t>ketv</w:t>
            </w:r>
            <w:proofErr w:type="spellEnd"/>
            <w:r w:rsidRPr="00DF3EE3">
              <w:rPr>
                <w:sz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5D57DE" w:rsidRPr="00DF3EE3" w:rsidRDefault="005D57DE" w:rsidP="000A4489">
            <w:pPr>
              <w:jc w:val="center"/>
              <w:rPr>
                <w:sz w:val="20"/>
              </w:rPr>
            </w:pPr>
            <w:r w:rsidRPr="00DF3EE3">
              <w:rPr>
                <w:sz w:val="20"/>
              </w:rPr>
              <w:t xml:space="preserve">Finansų ministerija, Ekonomikos ir inovacijų ministerija, Lietuvos bankas, </w:t>
            </w:r>
            <w:proofErr w:type="spellStart"/>
            <w:r w:rsidRPr="00DF3EE3">
              <w:rPr>
                <w:sz w:val="20"/>
              </w:rPr>
              <w:t>VšĮ</w:t>
            </w:r>
            <w:proofErr w:type="spellEnd"/>
            <w:r w:rsidR="009B0E35" w:rsidRPr="00DF3EE3">
              <w:rPr>
                <w:sz w:val="20"/>
              </w:rPr>
              <w:t xml:space="preserve"> „Versli Lietuva“, </w:t>
            </w:r>
            <w:proofErr w:type="spellStart"/>
            <w:r w:rsidR="009B0E35" w:rsidRPr="00DF3EE3">
              <w:rPr>
                <w:sz w:val="20"/>
              </w:rPr>
              <w:t>VšĮ</w:t>
            </w:r>
            <w:proofErr w:type="spellEnd"/>
            <w:r w:rsidR="009B0E35" w:rsidRPr="00DF3EE3">
              <w:rPr>
                <w:sz w:val="20"/>
              </w:rPr>
              <w:t xml:space="preserve"> „</w:t>
            </w:r>
            <w:r w:rsidRPr="00DF3EE3">
              <w:rPr>
                <w:sz w:val="20"/>
              </w:rPr>
              <w:t>Investuok Lietuvoje</w:t>
            </w:r>
            <w:r w:rsidR="000A4489" w:rsidRPr="00DF3EE3">
              <w:rPr>
                <w:rFonts w:cs="Times New Roman"/>
                <w:sz w:val="20"/>
              </w:rPr>
              <w:t>“</w:t>
            </w:r>
            <w:r w:rsidRPr="00DF3EE3">
              <w:rPr>
                <w:sz w:val="20"/>
              </w:rPr>
              <w:t>, Mokslo, inovacijų ir technologijų agentūra</w:t>
            </w:r>
            <w:r w:rsidR="000A4489" w:rsidRPr="00DF3EE3">
              <w:rPr>
                <w:sz w:val="20"/>
              </w:rPr>
              <w:t>,</w:t>
            </w:r>
            <w:r w:rsidRPr="00DF3EE3">
              <w:rPr>
                <w:sz w:val="20"/>
              </w:rPr>
              <w:t xml:space="preserve"> konsultuojantis su rinkos dalyviais</w:t>
            </w:r>
          </w:p>
        </w:tc>
      </w:tr>
      <w:tr w:rsidR="00DF3EE3" w:rsidRPr="00DF3EE3" w:rsidTr="00D81849">
        <w:tc>
          <w:tcPr>
            <w:tcW w:w="14992" w:type="dxa"/>
            <w:gridSpan w:val="4"/>
            <w:shd w:val="clear" w:color="auto" w:fill="D9D9D9" w:themeFill="background1" w:themeFillShade="D9"/>
            <w:vAlign w:val="center"/>
          </w:tcPr>
          <w:p w:rsidR="005D57DE" w:rsidRPr="00DF3EE3" w:rsidRDefault="005D57DE" w:rsidP="003E7931">
            <w:pPr>
              <w:jc w:val="both"/>
              <w:rPr>
                <w:b/>
                <w:i/>
                <w:sz w:val="20"/>
              </w:rPr>
            </w:pPr>
            <w:r w:rsidRPr="00DF3EE3">
              <w:rPr>
                <w:b/>
                <w:i/>
                <w:sz w:val="20"/>
              </w:rPr>
              <w:lastRenderedPageBreak/>
              <w:t xml:space="preserve">2 užduotis. Populiarinti Lietuvos jurisdikciją tikslinėse rinkose ir sudaryti užsienio </w:t>
            </w:r>
            <w:bookmarkStart w:id="1" w:name="_GoBack"/>
            <w:bookmarkEnd w:id="1"/>
            <w:r w:rsidRPr="00DF3EE3">
              <w:rPr>
                <w:b/>
                <w:i/>
                <w:sz w:val="20"/>
              </w:rPr>
              <w:t>įmonių veikimo sąlygas</w:t>
            </w:r>
          </w:p>
        </w:tc>
      </w:tr>
      <w:tr w:rsidR="00DF3EE3" w:rsidRPr="00DF3EE3" w:rsidTr="00D81849">
        <w:tc>
          <w:tcPr>
            <w:tcW w:w="4644" w:type="dxa"/>
            <w:vMerge w:val="restart"/>
          </w:tcPr>
          <w:p w:rsidR="005D57DE" w:rsidRPr="00DF3EE3" w:rsidRDefault="005D57DE" w:rsidP="00F107F2">
            <w:pPr>
              <w:jc w:val="both"/>
              <w:rPr>
                <w:sz w:val="20"/>
              </w:rPr>
            </w:pPr>
            <w:r w:rsidRPr="00DF3EE3">
              <w:rPr>
                <w:sz w:val="20"/>
              </w:rPr>
              <w:t>2.1. Išanalizuoti sutelktinio finansavimo platformų operatorių pritraukim</w:t>
            </w:r>
            <w:r w:rsidR="00F107F2" w:rsidRPr="00DF3EE3">
              <w:rPr>
                <w:sz w:val="20"/>
              </w:rPr>
              <w:t>o</w:t>
            </w:r>
            <w:r w:rsidRPr="00DF3EE3">
              <w:rPr>
                <w:sz w:val="20"/>
              </w:rPr>
              <w:t xml:space="preserve"> į Lietuvą</w:t>
            </w:r>
            <w:r w:rsidR="00F107F2" w:rsidRPr="00DF3EE3">
              <w:rPr>
                <w:sz w:val="20"/>
              </w:rPr>
              <w:t xml:space="preserve"> galimybes</w:t>
            </w:r>
          </w:p>
        </w:tc>
        <w:tc>
          <w:tcPr>
            <w:tcW w:w="5529" w:type="dxa"/>
          </w:tcPr>
          <w:p w:rsidR="005D57DE" w:rsidRPr="00DF3EE3" w:rsidRDefault="005D57DE" w:rsidP="003E7931">
            <w:pPr>
              <w:jc w:val="both"/>
              <w:rPr>
                <w:sz w:val="20"/>
              </w:rPr>
            </w:pPr>
            <w:r w:rsidRPr="00DF3EE3">
              <w:rPr>
                <w:sz w:val="20"/>
              </w:rPr>
              <w:t>2.1.1. Parengti Lietuvos jurisdikcijos, palyginti su užsienio šalimis, įvertinimą</w:t>
            </w:r>
            <w:r w:rsidRPr="00DF3EE3">
              <w:t xml:space="preserve"> </w:t>
            </w:r>
            <w:r w:rsidRPr="00DF3EE3">
              <w:rPr>
                <w:sz w:val="20"/>
              </w:rPr>
              <w:t>ir sutelktinio finansavimo platformų operatorių pritraukimo planą</w:t>
            </w:r>
          </w:p>
        </w:tc>
        <w:tc>
          <w:tcPr>
            <w:tcW w:w="1842" w:type="dxa"/>
            <w:vAlign w:val="center"/>
          </w:tcPr>
          <w:p w:rsidR="005D57DE" w:rsidRPr="00DF3EE3" w:rsidRDefault="005D57DE" w:rsidP="00730382">
            <w:pPr>
              <w:jc w:val="center"/>
              <w:rPr>
                <w:sz w:val="20"/>
              </w:rPr>
            </w:pPr>
            <w:r w:rsidRPr="00DF3EE3">
              <w:rPr>
                <w:sz w:val="20"/>
              </w:rPr>
              <w:t xml:space="preserve">2021 m. II </w:t>
            </w:r>
            <w:proofErr w:type="spellStart"/>
            <w:r w:rsidRPr="00DF3EE3">
              <w:rPr>
                <w:sz w:val="20"/>
              </w:rPr>
              <w:t>ketv</w:t>
            </w:r>
            <w:proofErr w:type="spellEnd"/>
            <w:r w:rsidRPr="00DF3EE3">
              <w:rPr>
                <w:sz w:val="20"/>
              </w:rPr>
              <w:t>.</w:t>
            </w:r>
          </w:p>
        </w:tc>
        <w:tc>
          <w:tcPr>
            <w:tcW w:w="2977" w:type="dxa"/>
            <w:vMerge w:val="restart"/>
            <w:vAlign w:val="center"/>
          </w:tcPr>
          <w:p w:rsidR="005D57DE" w:rsidRPr="00DF3EE3" w:rsidRDefault="005D57DE" w:rsidP="00730382">
            <w:pPr>
              <w:jc w:val="center"/>
              <w:rPr>
                <w:sz w:val="20"/>
              </w:rPr>
            </w:pPr>
            <w:proofErr w:type="spellStart"/>
            <w:r w:rsidRPr="00DF3EE3">
              <w:rPr>
                <w:sz w:val="20"/>
              </w:rPr>
              <w:t>VšĮ</w:t>
            </w:r>
            <w:proofErr w:type="spellEnd"/>
            <w:r w:rsidRPr="00DF3EE3">
              <w:rPr>
                <w:sz w:val="20"/>
              </w:rPr>
              <w:t xml:space="preserve"> „Investuok Lietuvoje“,</w:t>
            </w:r>
          </w:p>
          <w:p w:rsidR="005D57DE" w:rsidRPr="00DF3EE3" w:rsidRDefault="005D57DE" w:rsidP="00730382">
            <w:pPr>
              <w:jc w:val="center"/>
              <w:rPr>
                <w:sz w:val="20"/>
              </w:rPr>
            </w:pPr>
            <w:r w:rsidRPr="00DF3EE3">
              <w:rPr>
                <w:sz w:val="20"/>
              </w:rPr>
              <w:t>Lietuvos bankas, Finansų ministerija</w:t>
            </w:r>
          </w:p>
        </w:tc>
      </w:tr>
      <w:tr w:rsidR="00DF3EE3" w:rsidRPr="00DF3EE3" w:rsidTr="00D81849">
        <w:tc>
          <w:tcPr>
            <w:tcW w:w="4644" w:type="dxa"/>
            <w:vMerge/>
          </w:tcPr>
          <w:p w:rsidR="005D57DE" w:rsidRPr="00DF3EE3" w:rsidRDefault="005D57DE" w:rsidP="00730382">
            <w:pPr>
              <w:jc w:val="both"/>
              <w:rPr>
                <w:sz w:val="20"/>
              </w:rPr>
            </w:pPr>
          </w:p>
        </w:tc>
        <w:tc>
          <w:tcPr>
            <w:tcW w:w="5529" w:type="dxa"/>
          </w:tcPr>
          <w:p w:rsidR="005D57DE" w:rsidRPr="00DF3EE3" w:rsidRDefault="005D57DE" w:rsidP="00F107F2">
            <w:pPr>
              <w:jc w:val="both"/>
              <w:rPr>
                <w:sz w:val="20"/>
              </w:rPr>
            </w:pPr>
            <w:r w:rsidRPr="00DF3EE3">
              <w:rPr>
                <w:sz w:val="20"/>
              </w:rPr>
              <w:t>2.1.2. Parengti vertės pasiūlymą ir komunikuoti</w:t>
            </w:r>
            <w:r w:rsidR="00F107F2" w:rsidRPr="00DF3EE3">
              <w:rPr>
                <w:sz w:val="20"/>
              </w:rPr>
              <w:t xml:space="preserve"> apie tai</w:t>
            </w:r>
          </w:p>
        </w:tc>
        <w:tc>
          <w:tcPr>
            <w:tcW w:w="1842" w:type="dxa"/>
            <w:vAlign w:val="center"/>
          </w:tcPr>
          <w:p w:rsidR="005D57DE" w:rsidRPr="00DF3EE3" w:rsidRDefault="005D57DE" w:rsidP="00730382">
            <w:pPr>
              <w:jc w:val="center"/>
              <w:rPr>
                <w:sz w:val="20"/>
              </w:rPr>
            </w:pPr>
            <w:r w:rsidRPr="00DF3EE3">
              <w:rPr>
                <w:sz w:val="20"/>
              </w:rPr>
              <w:t xml:space="preserve">2021 m. III </w:t>
            </w:r>
            <w:proofErr w:type="spellStart"/>
            <w:r w:rsidRPr="00DF3EE3">
              <w:rPr>
                <w:sz w:val="20"/>
              </w:rPr>
              <w:t>ketv</w:t>
            </w:r>
            <w:proofErr w:type="spellEnd"/>
            <w:r w:rsidRPr="00DF3EE3">
              <w:rPr>
                <w:sz w:val="20"/>
              </w:rPr>
              <w:t>.</w:t>
            </w:r>
          </w:p>
        </w:tc>
        <w:tc>
          <w:tcPr>
            <w:tcW w:w="2977" w:type="dxa"/>
            <w:vMerge/>
            <w:vAlign w:val="center"/>
          </w:tcPr>
          <w:p w:rsidR="005D57DE" w:rsidRPr="00DF3EE3" w:rsidRDefault="005D57DE" w:rsidP="00730382">
            <w:pPr>
              <w:jc w:val="center"/>
              <w:rPr>
                <w:sz w:val="20"/>
              </w:rPr>
            </w:pPr>
          </w:p>
        </w:tc>
      </w:tr>
      <w:tr w:rsidR="00DF3EE3" w:rsidRPr="00DF3EE3" w:rsidTr="00D81849">
        <w:tc>
          <w:tcPr>
            <w:tcW w:w="4644" w:type="dxa"/>
            <w:vMerge w:val="restart"/>
          </w:tcPr>
          <w:p w:rsidR="005D57DE" w:rsidRPr="00DF3EE3" w:rsidRDefault="005D57DE" w:rsidP="00F107F2">
            <w:pPr>
              <w:jc w:val="both"/>
              <w:rPr>
                <w:sz w:val="20"/>
              </w:rPr>
            </w:pPr>
            <w:r w:rsidRPr="00DF3EE3">
              <w:rPr>
                <w:sz w:val="20"/>
              </w:rPr>
              <w:t xml:space="preserve">2.2. Išanalizuoti </w:t>
            </w:r>
            <w:r w:rsidR="00F107F2" w:rsidRPr="00DF3EE3">
              <w:rPr>
                <w:rFonts w:cs="Times New Roman"/>
                <w:sz w:val="20"/>
              </w:rPr>
              <w:t>„</w:t>
            </w:r>
            <w:proofErr w:type="spellStart"/>
            <w:r w:rsidRPr="00DF3EE3">
              <w:rPr>
                <w:sz w:val="20"/>
              </w:rPr>
              <w:t>Wealthtech</w:t>
            </w:r>
            <w:proofErr w:type="spellEnd"/>
            <w:r w:rsidR="00F107F2" w:rsidRPr="00DF3EE3">
              <w:rPr>
                <w:rFonts w:cs="Times New Roman"/>
                <w:sz w:val="20"/>
              </w:rPr>
              <w:t>“</w:t>
            </w:r>
            <w:r w:rsidRPr="00DF3EE3">
              <w:rPr>
                <w:sz w:val="20"/>
              </w:rPr>
              <w:t xml:space="preserve"> įmonių pritraukim</w:t>
            </w:r>
            <w:r w:rsidR="00F107F2" w:rsidRPr="00DF3EE3">
              <w:rPr>
                <w:sz w:val="20"/>
              </w:rPr>
              <w:t>o</w:t>
            </w:r>
            <w:r w:rsidRPr="00DF3EE3">
              <w:rPr>
                <w:sz w:val="20"/>
              </w:rPr>
              <w:t xml:space="preserve"> į Lietuvą</w:t>
            </w:r>
            <w:r w:rsidR="00F107F2" w:rsidRPr="00DF3EE3">
              <w:rPr>
                <w:sz w:val="20"/>
              </w:rPr>
              <w:t xml:space="preserve"> galimybes</w:t>
            </w:r>
          </w:p>
        </w:tc>
        <w:tc>
          <w:tcPr>
            <w:tcW w:w="5529" w:type="dxa"/>
          </w:tcPr>
          <w:p w:rsidR="005D57DE" w:rsidRPr="00DF3EE3" w:rsidRDefault="005D57DE" w:rsidP="003E7931">
            <w:pPr>
              <w:jc w:val="both"/>
              <w:rPr>
                <w:sz w:val="20"/>
              </w:rPr>
            </w:pPr>
            <w:r w:rsidRPr="00DF3EE3">
              <w:rPr>
                <w:sz w:val="20"/>
              </w:rPr>
              <w:t xml:space="preserve">2.2.1. Parengti Lietuvos jurisdikcijos, palyginti su užsienio šalimis, įvertinimą ir </w:t>
            </w:r>
            <w:r w:rsidR="00F107F2" w:rsidRPr="00DF3EE3">
              <w:rPr>
                <w:rFonts w:cs="Times New Roman"/>
                <w:sz w:val="20"/>
              </w:rPr>
              <w:t>„</w:t>
            </w:r>
            <w:proofErr w:type="spellStart"/>
            <w:r w:rsidRPr="00DF3EE3">
              <w:rPr>
                <w:sz w:val="20"/>
              </w:rPr>
              <w:t>Wealthtech</w:t>
            </w:r>
            <w:proofErr w:type="spellEnd"/>
            <w:r w:rsidR="00F107F2" w:rsidRPr="00DF3EE3">
              <w:rPr>
                <w:rFonts w:cs="Times New Roman"/>
                <w:sz w:val="20"/>
              </w:rPr>
              <w:t>“</w:t>
            </w:r>
            <w:r w:rsidRPr="00DF3EE3">
              <w:rPr>
                <w:sz w:val="20"/>
              </w:rPr>
              <w:t xml:space="preserve"> įmonių pritraukimo planą</w:t>
            </w:r>
          </w:p>
        </w:tc>
        <w:tc>
          <w:tcPr>
            <w:tcW w:w="1842" w:type="dxa"/>
            <w:vAlign w:val="center"/>
          </w:tcPr>
          <w:p w:rsidR="005D57DE" w:rsidRPr="00DF3EE3" w:rsidRDefault="005D57DE" w:rsidP="00730382">
            <w:pPr>
              <w:jc w:val="center"/>
              <w:rPr>
                <w:sz w:val="20"/>
              </w:rPr>
            </w:pPr>
            <w:r w:rsidRPr="00DF3EE3">
              <w:rPr>
                <w:sz w:val="20"/>
              </w:rPr>
              <w:t xml:space="preserve">2021 m. II </w:t>
            </w:r>
            <w:proofErr w:type="spellStart"/>
            <w:r w:rsidRPr="00DF3EE3">
              <w:rPr>
                <w:sz w:val="20"/>
              </w:rPr>
              <w:t>ketv</w:t>
            </w:r>
            <w:proofErr w:type="spellEnd"/>
            <w:r w:rsidRPr="00DF3EE3">
              <w:rPr>
                <w:sz w:val="20"/>
              </w:rPr>
              <w:t>.</w:t>
            </w:r>
          </w:p>
        </w:tc>
        <w:tc>
          <w:tcPr>
            <w:tcW w:w="2977" w:type="dxa"/>
            <w:vMerge w:val="restart"/>
            <w:vAlign w:val="center"/>
          </w:tcPr>
          <w:p w:rsidR="005D57DE" w:rsidRPr="00DF3EE3" w:rsidRDefault="005D57DE" w:rsidP="00730382">
            <w:pPr>
              <w:jc w:val="center"/>
              <w:rPr>
                <w:sz w:val="20"/>
              </w:rPr>
            </w:pPr>
            <w:proofErr w:type="spellStart"/>
            <w:r w:rsidRPr="00DF3EE3">
              <w:rPr>
                <w:sz w:val="20"/>
              </w:rPr>
              <w:t>VšĮ</w:t>
            </w:r>
            <w:proofErr w:type="spellEnd"/>
            <w:r w:rsidRPr="00DF3EE3">
              <w:rPr>
                <w:sz w:val="20"/>
              </w:rPr>
              <w:t xml:space="preserve"> „Investuok Lietuvoje“,</w:t>
            </w:r>
          </w:p>
          <w:p w:rsidR="005D57DE" w:rsidRPr="00DF3EE3" w:rsidRDefault="005D57DE" w:rsidP="00730382">
            <w:pPr>
              <w:jc w:val="center"/>
              <w:rPr>
                <w:sz w:val="20"/>
              </w:rPr>
            </w:pPr>
            <w:r w:rsidRPr="00DF3EE3">
              <w:rPr>
                <w:sz w:val="20"/>
              </w:rPr>
              <w:t>Lietuvos bankas, Finansų ministerija</w:t>
            </w:r>
          </w:p>
        </w:tc>
      </w:tr>
      <w:tr w:rsidR="00DF3EE3" w:rsidRPr="00DF3EE3" w:rsidTr="00D81849">
        <w:tc>
          <w:tcPr>
            <w:tcW w:w="4644" w:type="dxa"/>
            <w:vMerge/>
          </w:tcPr>
          <w:p w:rsidR="005D57DE" w:rsidRPr="00DF3EE3" w:rsidRDefault="005D57DE" w:rsidP="00730382">
            <w:pPr>
              <w:jc w:val="both"/>
              <w:rPr>
                <w:sz w:val="20"/>
              </w:rPr>
            </w:pPr>
          </w:p>
        </w:tc>
        <w:tc>
          <w:tcPr>
            <w:tcW w:w="5529" w:type="dxa"/>
          </w:tcPr>
          <w:p w:rsidR="005D57DE" w:rsidRPr="00DF3EE3" w:rsidRDefault="005D57DE" w:rsidP="00F107F2">
            <w:pPr>
              <w:jc w:val="both"/>
              <w:rPr>
                <w:sz w:val="20"/>
              </w:rPr>
            </w:pPr>
            <w:r w:rsidRPr="00DF3EE3">
              <w:rPr>
                <w:sz w:val="20"/>
              </w:rPr>
              <w:t>2.2.2. Parengti vertės pasiūlymą ir komunikuoti</w:t>
            </w:r>
            <w:r w:rsidR="00F107F2" w:rsidRPr="00DF3EE3">
              <w:rPr>
                <w:sz w:val="20"/>
              </w:rPr>
              <w:t xml:space="preserve"> apie tai</w:t>
            </w:r>
          </w:p>
        </w:tc>
        <w:tc>
          <w:tcPr>
            <w:tcW w:w="1842" w:type="dxa"/>
            <w:vAlign w:val="center"/>
          </w:tcPr>
          <w:p w:rsidR="005D57DE" w:rsidRPr="00DF3EE3" w:rsidRDefault="005D57DE" w:rsidP="00CB7326">
            <w:pPr>
              <w:jc w:val="center"/>
              <w:rPr>
                <w:sz w:val="20"/>
              </w:rPr>
            </w:pPr>
            <w:r w:rsidRPr="00DF3EE3">
              <w:rPr>
                <w:sz w:val="20"/>
              </w:rPr>
              <w:t xml:space="preserve">2021 m. III </w:t>
            </w:r>
            <w:proofErr w:type="spellStart"/>
            <w:r w:rsidRPr="00DF3EE3">
              <w:rPr>
                <w:sz w:val="20"/>
              </w:rPr>
              <w:t>ketv</w:t>
            </w:r>
            <w:proofErr w:type="spellEnd"/>
            <w:r w:rsidRPr="00DF3EE3">
              <w:rPr>
                <w:sz w:val="20"/>
              </w:rPr>
              <w:t>.</w:t>
            </w:r>
          </w:p>
        </w:tc>
        <w:tc>
          <w:tcPr>
            <w:tcW w:w="2977" w:type="dxa"/>
            <w:vMerge/>
            <w:vAlign w:val="center"/>
          </w:tcPr>
          <w:p w:rsidR="005D57DE" w:rsidRPr="00DF3EE3" w:rsidRDefault="005D57DE" w:rsidP="00730382">
            <w:pPr>
              <w:jc w:val="center"/>
              <w:rPr>
                <w:sz w:val="20"/>
              </w:rPr>
            </w:pPr>
          </w:p>
        </w:tc>
      </w:tr>
      <w:tr w:rsidR="00DF3EE3" w:rsidRPr="00DF3EE3" w:rsidTr="00D81849">
        <w:tc>
          <w:tcPr>
            <w:tcW w:w="4644" w:type="dxa"/>
            <w:vMerge w:val="restart"/>
          </w:tcPr>
          <w:p w:rsidR="005D57DE" w:rsidRPr="00DF3EE3" w:rsidRDefault="005D57DE" w:rsidP="00BF55A3">
            <w:pPr>
              <w:jc w:val="both"/>
              <w:rPr>
                <w:sz w:val="20"/>
              </w:rPr>
            </w:pPr>
            <w:r w:rsidRPr="00DF3EE3">
              <w:rPr>
                <w:sz w:val="20"/>
              </w:rPr>
              <w:t xml:space="preserve">2.3. Išanalizuoti draudimo sektoriaus (įskaitant </w:t>
            </w:r>
            <w:r w:rsidR="00BF55A3" w:rsidRPr="00DF3EE3">
              <w:rPr>
                <w:rFonts w:cs="Times New Roman"/>
                <w:sz w:val="20"/>
              </w:rPr>
              <w:t>„</w:t>
            </w:r>
            <w:proofErr w:type="spellStart"/>
            <w:r w:rsidRPr="00DF3EE3">
              <w:rPr>
                <w:sz w:val="20"/>
              </w:rPr>
              <w:t>Insur</w:t>
            </w:r>
            <w:r w:rsidR="00BF55A3" w:rsidRPr="00DF3EE3">
              <w:rPr>
                <w:sz w:val="20"/>
              </w:rPr>
              <w:t>t</w:t>
            </w:r>
            <w:r w:rsidRPr="00DF3EE3">
              <w:rPr>
                <w:sz w:val="20"/>
              </w:rPr>
              <w:t>ech</w:t>
            </w:r>
            <w:proofErr w:type="spellEnd"/>
            <w:r w:rsidR="00BF55A3" w:rsidRPr="00DF3EE3">
              <w:rPr>
                <w:rFonts w:cs="Times New Roman"/>
                <w:sz w:val="20"/>
              </w:rPr>
              <w:t>“</w:t>
            </w:r>
            <w:r w:rsidRPr="00DF3EE3">
              <w:rPr>
                <w:sz w:val="20"/>
              </w:rPr>
              <w:t>) įmonių pritraukim</w:t>
            </w:r>
            <w:r w:rsidR="00BF55A3" w:rsidRPr="00DF3EE3">
              <w:rPr>
                <w:sz w:val="20"/>
              </w:rPr>
              <w:t>o</w:t>
            </w:r>
            <w:r w:rsidRPr="00DF3EE3">
              <w:rPr>
                <w:sz w:val="20"/>
              </w:rPr>
              <w:t xml:space="preserve"> į Lietuvą</w:t>
            </w:r>
            <w:r w:rsidR="00BF55A3" w:rsidRPr="00DF3EE3">
              <w:rPr>
                <w:sz w:val="20"/>
              </w:rPr>
              <w:t xml:space="preserve"> galimybes</w:t>
            </w:r>
          </w:p>
        </w:tc>
        <w:tc>
          <w:tcPr>
            <w:tcW w:w="5529" w:type="dxa"/>
          </w:tcPr>
          <w:p w:rsidR="005D57DE" w:rsidRPr="00DF3EE3" w:rsidRDefault="005D57DE" w:rsidP="003E7931">
            <w:pPr>
              <w:jc w:val="both"/>
              <w:rPr>
                <w:sz w:val="20"/>
              </w:rPr>
            </w:pPr>
            <w:r w:rsidRPr="00DF3EE3">
              <w:rPr>
                <w:sz w:val="20"/>
              </w:rPr>
              <w:t xml:space="preserve">2.3.1. Parengti Lietuvos jurisdikcijos, palyginti su užsienio šalimis, įvertinimą ir draudimo įmonių (įskaitant </w:t>
            </w:r>
            <w:r w:rsidR="00F107F2" w:rsidRPr="00DF3EE3">
              <w:rPr>
                <w:rFonts w:cs="Times New Roman"/>
                <w:sz w:val="20"/>
              </w:rPr>
              <w:t>„</w:t>
            </w:r>
            <w:proofErr w:type="spellStart"/>
            <w:r w:rsidRPr="00DF3EE3">
              <w:rPr>
                <w:sz w:val="20"/>
              </w:rPr>
              <w:t>Insurtech</w:t>
            </w:r>
            <w:proofErr w:type="spellEnd"/>
            <w:r w:rsidR="00F107F2" w:rsidRPr="00DF3EE3">
              <w:rPr>
                <w:rFonts w:cs="Times New Roman"/>
                <w:sz w:val="20"/>
              </w:rPr>
              <w:t>“</w:t>
            </w:r>
            <w:r w:rsidRPr="00DF3EE3">
              <w:rPr>
                <w:sz w:val="20"/>
              </w:rPr>
              <w:t>) pritraukimo planą</w:t>
            </w:r>
          </w:p>
        </w:tc>
        <w:tc>
          <w:tcPr>
            <w:tcW w:w="1842" w:type="dxa"/>
            <w:vAlign w:val="center"/>
          </w:tcPr>
          <w:p w:rsidR="005D57DE" w:rsidRPr="00DF3EE3" w:rsidRDefault="005D57DE" w:rsidP="00730382">
            <w:pPr>
              <w:jc w:val="center"/>
              <w:rPr>
                <w:sz w:val="20"/>
              </w:rPr>
            </w:pPr>
            <w:r w:rsidRPr="00DF3EE3">
              <w:rPr>
                <w:sz w:val="20"/>
              </w:rPr>
              <w:t xml:space="preserve">2021 m. II </w:t>
            </w:r>
            <w:proofErr w:type="spellStart"/>
            <w:r w:rsidRPr="00DF3EE3">
              <w:rPr>
                <w:sz w:val="20"/>
              </w:rPr>
              <w:t>ketv</w:t>
            </w:r>
            <w:proofErr w:type="spellEnd"/>
            <w:r w:rsidRPr="00DF3EE3">
              <w:rPr>
                <w:sz w:val="20"/>
              </w:rPr>
              <w:t>.</w:t>
            </w:r>
          </w:p>
        </w:tc>
        <w:tc>
          <w:tcPr>
            <w:tcW w:w="2977" w:type="dxa"/>
            <w:vMerge w:val="restart"/>
            <w:vAlign w:val="center"/>
          </w:tcPr>
          <w:p w:rsidR="005D57DE" w:rsidRPr="00DF3EE3" w:rsidRDefault="005D57DE" w:rsidP="00730382">
            <w:pPr>
              <w:jc w:val="center"/>
              <w:rPr>
                <w:sz w:val="20"/>
              </w:rPr>
            </w:pPr>
            <w:proofErr w:type="spellStart"/>
            <w:r w:rsidRPr="00DF3EE3">
              <w:rPr>
                <w:sz w:val="20"/>
              </w:rPr>
              <w:t>VšĮ</w:t>
            </w:r>
            <w:proofErr w:type="spellEnd"/>
            <w:r w:rsidRPr="00DF3EE3">
              <w:rPr>
                <w:sz w:val="20"/>
              </w:rPr>
              <w:t xml:space="preserve"> „Investuok Lietuvoje“,</w:t>
            </w:r>
          </w:p>
          <w:p w:rsidR="005D57DE" w:rsidRPr="00DF3EE3" w:rsidRDefault="005D57DE" w:rsidP="00730382">
            <w:pPr>
              <w:jc w:val="center"/>
              <w:rPr>
                <w:sz w:val="20"/>
              </w:rPr>
            </w:pPr>
            <w:r w:rsidRPr="00DF3EE3">
              <w:rPr>
                <w:sz w:val="20"/>
              </w:rPr>
              <w:t>Lietuvos bankas, Finansų ministerija</w:t>
            </w:r>
          </w:p>
        </w:tc>
      </w:tr>
      <w:tr w:rsidR="00DF3EE3" w:rsidRPr="00DF3EE3" w:rsidTr="00D81849">
        <w:tc>
          <w:tcPr>
            <w:tcW w:w="4644" w:type="dxa"/>
            <w:vMerge/>
          </w:tcPr>
          <w:p w:rsidR="005D57DE" w:rsidRPr="00DF3EE3" w:rsidRDefault="005D57DE" w:rsidP="00730382">
            <w:pPr>
              <w:jc w:val="both"/>
              <w:rPr>
                <w:sz w:val="20"/>
              </w:rPr>
            </w:pPr>
          </w:p>
        </w:tc>
        <w:tc>
          <w:tcPr>
            <w:tcW w:w="5529" w:type="dxa"/>
          </w:tcPr>
          <w:p w:rsidR="005D57DE" w:rsidRPr="00DF3EE3" w:rsidRDefault="005D57DE" w:rsidP="00F107F2">
            <w:pPr>
              <w:jc w:val="both"/>
              <w:rPr>
                <w:sz w:val="20"/>
              </w:rPr>
            </w:pPr>
            <w:r w:rsidRPr="00DF3EE3">
              <w:rPr>
                <w:sz w:val="20"/>
              </w:rPr>
              <w:t>2.3.2. Parengti vertės pasiūlymą ir komunikuoti</w:t>
            </w:r>
            <w:r w:rsidR="00F107F2" w:rsidRPr="00DF3EE3">
              <w:rPr>
                <w:sz w:val="20"/>
              </w:rPr>
              <w:t xml:space="preserve"> apie tai</w:t>
            </w:r>
          </w:p>
        </w:tc>
        <w:tc>
          <w:tcPr>
            <w:tcW w:w="1842" w:type="dxa"/>
            <w:vAlign w:val="center"/>
          </w:tcPr>
          <w:p w:rsidR="005D57DE" w:rsidRPr="00DF3EE3" w:rsidRDefault="005D57DE" w:rsidP="00116928">
            <w:pPr>
              <w:jc w:val="center"/>
              <w:rPr>
                <w:sz w:val="20"/>
              </w:rPr>
            </w:pPr>
            <w:r w:rsidRPr="00DF3EE3">
              <w:rPr>
                <w:sz w:val="20"/>
              </w:rPr>
              <w:t xml:space="preserve">2021 m. III </w:t>
            </w:r>
            <w:proofErr w:type="spellStart"/>
            <w:r w:rsidRPr="00DF3EE3">
              <w:rPr>
                <w:sz w:val="20"/>
              </w:rPr>
              <w:t>ketv</w:t>
            </w:r>
            <w:proofErr w:type="spellEnd"/>
            <w:r w:rsidRPr="00DF3EE3">
              <w:rPr>
                <w:sz w:val="20"/>
              </w:rPr>
              <w:t>.</w:t>
            </w:r>
          </w:p>
        </w:tc>
        <w:tc>
          <w:tcPr>
            <w:tcW w:w="2977" w:type="dxa"/>
            <w:vMerge/>
            <w:vAlign w:val="center"/>
          </w:tcPr>
          <w:p w:rsidR="005D57DE" w:rsidRPr="00DF3EE3" w:rsidRDefault="005D57DE" w:rsidP="00730382">
            <w:pPr>
              <w:jc w:val="center"/>
              <w:rPr>
                <w:sz w:val="20"/>
              </w:rPr>
            </w:pPr>
          </w:p>
        </w:tc>
      </w:tr>
      <w:tr w:rsidR="00DF3EE3" w:rsidRPr="00DF3EE3" w:rsidTr="00D81849">
        <w:tc>
          <w:tcPr>
            <w:tcW w:w="4644" w:type="dxa"/>
          </w:tcPr>
          <w:p w:rsidR="005D57DE" w:rsidRPr="00DF3EE3" w:rsidRDefault="005D57DE" w:rsidP="00BF55A3">
            <w:pPr>
              <w:jc w:val="both"/>
              <w:rPr>
                <w:sz w:val="20"/>
                <w:highlight w:val="green"/>
              </w:rPr>
            </w:pPr>
            <w:r w:rsidRPr="00DF3EE3">
              <w:rPr>
                <w:sz w:val="20"/>
              </w:rPr>
              <w:t xml:space="preserve">2.4. Nustatyti 100 </w:t>
            </w:r>
            <w:r w:rsidR="00F107F2" w:rsidRPr="00DF3EE3">
              <w:rPr>
                <w:sz w:val="20"/>
              </w:rPr>
              <w:t xml:space="preserve">populiariausių </w:t>
            </w:r>
            <w:r w:rsidRPr="00DF3EE3">
              <w:rPr>
                <w:sz w:val="20"/>
              </w:rPr>
              <w:t xml:space="preserve">ir </w:t>
            </w:r>
            <w:r w:rsidR="00F107F2" w:rsidRPr="00DF3EE3">
              <w:rPr>
                <w:sz w:val="20"/>
              </w:rPr>
              <w:t>sparčia</w:t>
            </w:r>
            <w:r w:rsidR="00BF55A3" w:rsidRPr="00DF3EE3">
              <w:rPr>
                <w:sz w:val="20"/>
              </w:rPr>
              <w:t>usiai</w:t>
            </w:r>
            <w:r w:rsidR="00F107F2" w:rsidRPr="00DF3EE3">
              <w:rPr>
                <w:sz w:val="20"/>
              </w:rPr>
              <w:t xml:space="preserve"> augančių </w:t>
            </w:r>
            <w:r w:rsidRPr="00DF3EE3">
              <w:rPr>
                <w:sz w:val="20"/>
              </w:rPr>
              <w:t>užsienyje veikiančių FINTECH įmonių, kurių veiklos pritraukimas į Lietuvą laikytinas prioritetiniu</w:t>
            </w:r>
            <w:r w:rsidR="00C07B04" w:rsidRPr="00DF3EE3">
              <w:rPr>
                <w:sz w:val="20"/>
              </w:rPr>
              <w:t xml:space="preserve"> uždaviniu</w:t>
            </w:r>
            <w:r w:rsidRPr="00DF3EE3">
              <w:rPr>
                <w:sz w:val="20"/>
              </w:rPr>
              <w:t xml:space="preserve">, ir parengti </w:t>
            </w:r>
            <w:r w:rsidR="00C07B04" w:rsidRPr="00DF3EE3">
              <w:rPr>
                <w:sz w:val="20"/>
              </w:rPr>
              <w:t xml:space="preserve">pasiūlymus dėl </w:t>
            </w:r>
            <w:r w:rsidRPr="00DF3EE3">
              <w:rPr>
                <w:sz w:val="20"/>
              </w:rPr>
              <w:t>ši</w:t>
            </w:r>
            <w:r w:rsidR="00C07B04" w:rsidRPr="00DF3EE3">
              <w:rPr>
                <w:sz w:val="20"/>
              </w:rPr>
              <w:t>ų</w:t>
            </w:r>
            <w:r w:rsidRPr="00DF3EE3">
              <w:rPr>
                <w:sz w:val="20"/>
              </w:rPr>
              <w:t xml:space="preserve"> įmon</w:t>
            </w:r>
            <w:r w:rsidR="00C07B04" w:rsidRPr="00DF3EE3">
              <w:rPr>
                <w:sz w:val="20"/>
              </w:rPr>
              <w:t>ių</w:t>
            </w:r>
            <w:r w:rsidRPr="00DF3EE3">
              <w:rPr>
                <w:sz w:val="20"/>
              </w:rPr>
              <w:t xml:space="preserve"> pritrauk</w:t>
            </w:r>
            <w:r w:rsidR="00C07B04" w:rsidRPr="00DF3EE3">
              <w:rPr>
                <w:sz w:val="20"/>
              </w:rPr>
              <w:t>imo</w:t>
            </w:r>
            <w:r w:rsidRPr="00DF3EE3">
              <w:rPr>
                <w:sz w:val="20"/>
              </w:rPr>
              <w:t xml:space="preserve"> </w:t>
            </w:r>
            <w:r w:rsidR="00BF55A3" w:rsidRPr="00DF3EE3">
              <w:rPr>
                <w:sz w:val="20"/>
              </w:rPr>
              <w:t>į Lietuvą</w:t>
            </w:r>
          </w:p>
        </w:tc>
        <w:tc>
          <w:tcPr>
            <w:tcW w:w="5529" w:type="dxa"/>
          </w:tcPr>
          <w:p w:rsidR="005D57DE" w:rsidRPr="00DF3EE3" w:rsidRDefault="005D57DE" w:rsidP="003E7931">
            <w:pPr>
              <w:jc w:val="both"/>
              <w:rPr>
                <w:sz w:val="20"/>
              </w:rPr>
            </w:pPr>
          </w:p>
        </w:tc>
        <w:tc>
          <w:tcPr>
            <w:tcW w:w="1842" w:type="dxa"/>
            <w:vAlign w:val="center"/>
          </w:tcPr>
          <w:p w:rsidR="005D57DE" w:rsidRPr="00DF3EE3" w:rsidRDefault="005D57DE" w:rsidP="00F107F2">
            <w:pPr>
              <w:jc w:val="center"/>
              <w:rPr>
                <w:sz w:val="20"/>
              </w:rPr>
            </w:pPr>
            <w:r w:rsidRPr="00DF3EE3">
              <w:rPr>
                <w:sz w:val="20"/>
              </w:rPr>
              <w:t>2021 m. I</w:t>
            </w:r>
            <w:r w:rsidR="00F107F2" w:rsidRPr="00DF3EE3">
              <w:rPr>
                <w:sz w:val="20"/>
              </w:rPr>
              <w:t>–</w:t>
            </w:r>
            <w:r w:rsidRPr="00DF3EE3">
              <w:rPr>
                <w:sz w:val="20"/>
              </w:rPr>
              <w:t xml:space="preserve">IV </w:t>
            </w:r>
            <w:proofErr w:type="spellStart"/>
            <w:r w:rsidRPr="00DF3EE3">
              <w:rPr>
                <w:sz w:val="20"/>
              </w:rPr>
              <w:t>ket</w:t>
            </w:r>
            <w:proofErr w:type="spellEnd"/>
            <w:r w:rsidRPr="00DF3EE3">
              <w:rPr>
                <w:sz w:val="20"/>
              </w:rPr>
              <w:t>. (atnaujinama nuolat)</w:t>
            </w:r>
          </w:p>
        </w:tc>
        <w:tc>
          <w:tcPr>
            <w:tcW w:w="2977" w:type="dxa"/>
            <w:vAlign w:val="center"/>
          </w:tcPr>
          <w:p w:rsidR="005D57DE" w:rsidRPr="00DF3EE3" w:rsidRDefault="005D57DE" w:rsidP="00730382">
            <w:pPr>
              <w:jc w:val="center"/>
              <w:rPr>
                <w:sz w:val="20"/>
              </w:rPr>
            </w:pPr>
            <w:proofErr w:type="spellStart"/>
            <w:r w:rsidRPr="00DF3EE3">
              <w:rPr>
                <w:sz w:val="20"/>
              </w:rPr>
              <w:t>VšĮ</w:t>
            </w:r>
            <w:proofErr w:type="spellEnd"/>
            <w:r w:rsidRPr="00DF3EE3">
              <w:rPr>
                <w:sz w:val="20"/>
              </w:rPr>
              <w:t xml:space="preserve"> „Investuok Lietuvoje“, Ekonomikos ir inovacijų ministerija</w:t>
            </w:r>
          </w:p>
        </w:tc>
      </w:tr>
      <w:tr w:rsidR="00DF3EE3" w:rsidRPr="00DF3EE3" w:rsidTr="00D81849">
        <w:tc>
          <w:tcPr>
            <w:tcW w:w="4644" w:type="dxa"/>
          </w:tcPr>
          <w:p w:rsidR="005D57DE" w:rsidRPr="00DF3EE3" w:rsidRDefault="005D57DE" w:rsidP="00730382">
            <w:pPr>
              <w:jc w:val="both"/>
              <w:rPr>
                <w:sz w:val="20"/>
              </w:rPr>
            </w:pPr>
            <w:r w:rsidRPr="00DF3EE3">
              <w:rPr>
                <w:sz w:val="20"/>
              </w:rPr>
              <w:t>2.5. Atlikti analizę, kuri leistų numatyti priemones, reikalingas užtikrinti, kad</w:t>
            </w:r>
            <w:r w:rsidR="00F46D36" w:rsidRPr="00DF3EE3">
              <w:rPr>
                <w:sz w:val="20"/>
              </w:rPr>
              <w:t xml:space="preserve"> Vilnius</w:t>
            </w:r>
            <w:r w:rsidRPr="00DF3EE3">
              <w:rPr>
                <w:sz w:val="20"/>
              </w:rPr>
              <w:t xml:space="preserve"> išlaikytų arba pagerintų užimamas pozicijas tarptautinių reitingų agentūrų sudaromuose finansiniuose reitinguose</w:t>
            </w:r>
          </w:p>
        </w:tc>
        <w:tc>
          <w:tcPr>
            <w:tcW w:w="5529" w:type="dxa"/>
          </w:tcPr>
          <w:p w:rsidR="005D57DE" w:rsidRPr="00DF3EE3" w:rsidRDefault="005D57DE" w:rsidP="003E7931">
            <w:pPr>
              <w:jc w:val="both"/>
              <w:rPr>
                <w:sz w:val="20"/>
              </w:rPr>
            </w:pPr>
          </w:p>
        </w:tc>
        <w:tc>
          <w:tcPr>
            <w:tcW w:w="1842" w:type="dxa"/>
            <w:vAlign w:val="center"/>
          </w:tcPr>
          <w:p w:rsidR="005D57DE" w:rsidRPr="00DF3EE3" w:rsidRDefault="005D57DE" w:rsidP="00730382">
            <w:pPr>
              <w:jc w:val="center"/>
              <w:rPr>
                <w:sz w:val="20"/>
              </w:rPr>
            </w:pPr>
            <w:r w:rsidRPr="00DF3EE3">
              <w:rPr>
                <w:sz w:val="20"/>
              </w:rPr>
              <w:t xml:space="preserve">2021 m. II </w:t>
            </w:r>
            <w:proofErr w:type="spellStart"/>
            <w:r w:rsidRPr="00DF3EE3">
              <w:rPr>
                <w:sz w:val="20"/>
              </w:rPr>
              <w:t>ketv</w:t>
            </w:r>
            <w:proofErr w:type="spellEnd"/>
            <w:r w:rsidRPr="00DF3EE3">
              <w:rPr>
                <w:sz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5D57DE" w:rsidRPr="00DF3EE3" w:rsidRDefault="005D57DE" w:rsidP="00730382">
            <w:pPr>
              <w:jc w:val="center"/>
              <w:rPr>
                <w:sz w:val="20"/>
              </w:rPr>
            </w:pPr>
            <w:proofErr w:type="spellStart"/>
            <w:r w:rsidRPr="00DF3EE3">
              <w:rPr>
                <w:sz w:val="20"/>
              </w:rPr>
              <w:t>VšĮ</w:t>
            </w:r>
            <w:proofErr w:type="spellEnd"/>
            <w:r w:rsidRPr="00DF3EE3">
              <w:rPr>
                <w:sz w:val="20"/>
              </w:rPr>
              <w:t xml:space="preserve"> „GO Vilnius“</w:t>
            </w:r>
          </w:p>
        </w:tc>
      </w:tr>
      <w:tr w:rsidR="00DF3EE3" w:rsidRPr="00DF3EE3" w:rsidTr="00D81849">
        <w:tc>
          <w:tcPr>
            <w:tcW w:w="4644" w:type="dxa"/>
          </w:tcPr>
          <w:p w:rsidR="005D57DE" w:rsidRPr="00DF3EE3" w:rsidRDefault="005D57DE" w:rsidP="00730382">
            <w:pPr>
              <w:jc w:val="both"/>
              <w:rPr>
                <w:sz w:val="20"/>
              </w:rPr>
            </w:pPr>
            <w:r w:rsidRPr="00DF3EE3">
              <w:rPr>
                <w:sz w:val="20"/>
              </w:rPr>
              <w:t>2.6. Nustatyti ir įgyvendinti priemones, kurios didintų Vilniaus, kaip FINTECH sektoriui patrauklios vietos, žinomumą</w:t>
            </w:r>
          </w:p>
        </w:tc>
        <w:tc>
          <w:tcPr>
            <w:tcW w:w="5529" w:type="dxa"/>
          </w:tcPr>
          <w:p w:rsidR="005D57DE" w:rsidRPr="00DF3EE3" w:rsidRDefault="005D57DE" w:rsidP="003E7931">
            <w:pPr>
              <w:jc w:val="both"/>
              <w:rPr>
                <w:sz w:val="20"/>
              </w:rPr>
            </w:pPr>
          </w:p>
        </w:tc>
        <w:tc>
          <w:tcPr>
            <w:tcW w:w="1842" w:type="dxa"/>
            <w:vAlign w:val="center"/>
          </w:tcPr>
          <w:p w:rsidR="005D57DE" w:rsidRPr="00DF3EE3" w:rsidRDefault="005D57DE" w:rsidP="00730382">
            <w:pPr>
              <w:jc w:val="center"/>
              <w:rPr>
                <w:sz w:val="20"/>
              </w:rPr>
            </w:pPr>
            <w:r w:rsidRPr="00DF3EE3">
              <w:rPr>
                <w:sz w:val="20"/>
              </w:rPr>
              <w:t xml:space="preserve">2021 m. III </w:t>
            </w:r>
            <w:proofErr w:type="spellStart"/>
            <w:r w:rsidRPr="00DF3EE3">
              <w:rPr>
                <w:sz w:val="20"/>
              </w:rPr>
              <w:t>ketv</w:t>
            </w:r>
            <w:proofErr w:type="spellEnd"/>
            <w:r w:rsidRPr="00DF3EE3">
              <w:rPr>
                <w:sz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5D57DE" w:rsidRPr="00DF3EE3" w:rsidRDefault="005D57DE" w:rsidP="00730382">
            <w:pPr>
              <w:jc w:val="center"/>
              <w:rPr>
                <w:sz w:val="20"/>
              </w:rPr>
            </w:pPr>
            <w:proofErr w:type="spellStart"/>
            <w:r w:rsidRPr="00DF3EE3">
              <w:rPr>
                <w:sz w:val="20"/>
              </w:rPr>
              <w:t>VšĮ</w:t>
            </w:r>
            <w:proofErr w:type="spellEnd"/>
            <w:r w:rsidRPr="00DF3EE3">
              <w:rPr>
                <w:sz w:val="20"/>
              </w:rPr>
              <w:t xml:space="preserve"> „GO Vilnius“</w:t>
            </w:r>
          </w:p>
        </w:tc>
      </w:tr>
      <w:tr w:rsidR="00DF3EE3" w:rsidRPr="00DF3EE3" w:rsidTr="00D81849">
        <w:tc>
          <w:tcPr>
            <w:tcW w:w="14992" w:type="dxa"/>
            <w:gridSpan w:val="4"/>
            <w:shd w:val="clear" w:color="auto" w:fill="D9D9D9" w:themeFill="background1" w:themeFillShade="D9"/>
            <w:vAlign w:val="center"/>
          </w:tcPr>
          <w:p w:rsidR="005D57DE" w:rsidRPr="00DF3EE3" w:rsidRDefault="005D57DE" w:rsidP="003E7931">
            <w:pPr>
              <w:jc w:val="both"/>
              <w:rPr>
                <w:b/>
                <w:i/>
                <w:sz w:val="20"/>
              </w:rPr>
            </w:pPr>
            <w:r w:rsidRPr="00DF3EE3">
              <w:rPr>
                <w:b/>
                <w:i/>
                <w:sz w:val="20"/>
              </w:rPr>
              <w:t>3 užduotis. Didinti FINTECH žinomumą ir naudojimą</w:t>
            </w:r>
          </w:p>
        </w:tc>
      </w:tr>
      <w:tr w:rsidR="00DF3EE3" w:rsidRPr="00DF3EE3" w:rsidTr="00D81849">
        <w:tc>
          <w:tcPr>
            <w:tcW w:w="4644" w:type="dxa"/>
            <w:vMerge w:val="restart"/>
          </w:tcPr>
          <w:p w:rsidR="005D57DE" w:rsidRPr="00DF3EE3" w:rsidRDefault="005D57DE" w:rsidP="00730382">
            <w:pPr>
              <w:jc w:val="both"/>
              <w:rPr>
                <w:sz w:val="20"/>
              </w:rPr>
            </w:pPr>
            <w:r w:rsidRPr="00DF3EE3">
              <w:rPr>
                <w:sz w:val="20"/>
              </w:rPr>
              <w:t>3.1. Įgyvendinti FINTECH LT projektą</w:t>
            </w:r>
          </w:p>
        </w:tc>
        <w:tc>
          <w:tcPr>
            <w:tcW w:w="5529" w:type="dxa"/>
          </w:tcPr>
          <w:p w:rsidR="005D57DE" w:rsidRPr="00DF3EE3" w:rsidRDefault="005D57DE" w:rsidP="00842658">
            <w:pPr>
              <w:jc w:val="both"/>
              <w:rPr>
                <w:sz w:val="20"/>
              </w:rPr>
            </w:pPr>
            <w:r w:rsidRPr="00DF3EE3">
              <w:rPr>
                <w:sz w:val="20"/>
              </w:rPr>
              <w:t>3.1.1. Suorganizuoti virtualią „F</w:t>
            </w:r>
            <w:r w:rsidR="00842658" w:rsidRPr="00DF3EE3">
              <w:rPr>
                <w:sz w:val="20"/>
              </w:rPr>
              <w:t>INTECH</w:t>
            </w:r>
            <w:r w:rsidRPr="00DF3EE3">
              <w:rPr>
                <w:sz w:val="20"/>
              </w:rPr>
              <w:t xml:space="preserve"> </w:t>
            </w:r>
            <w:proofErr w:type="spellStart"/>
            <w:r w:rsidRPr="00DF3EE3">
              <w:rPr>
                <w:sz w:val="20"/>
              </w:rPr>
              <w:t>Week</w:t>
            </w:r>
            <w:proofErr w:type="spellEnd"/>
            <w:r w:rsidRPr="00DF3EE3">
              <w:rPr>
                <w:sz w:val="20"/>
              </w:rPr>
              <w:t xml:space="preserve"> </w:t>
            </w:r>
            <w:proofErr w:type="spellStart"/>
            <w:r w:rsidRPr="00DF3EE3">
              <w:rPr>
                <w:sz w:val="20"/>
              </w:rPr>
              <w:t>Lithuania</w:t>
            </w:r>
            <w:proofErr w:type="spellEnd"/>
            <w:r w:rsidR="00842658" w:rsidRPr="00DF3EE3">
              <w:rPr>
                <w:rFonts w:cs="Times New Roman"/>
                <w:sz w:val="20"/>
              </w:rPr>
              <w:t>“</w:t>
            </w:r>
            <w:r w:rsidRPr="00DF3EE3">
              <w:rPr>
                <w:sz w:val="20"/>
              </w:rPr>
              <w:t xml:space="preserve"> konferenciją</w:t>
            </w:r>
          </w:p>
        </w:tc>
        <w:tc>
          <w:tcPr>
            <w:tcW w:w="1842" w:type="dxa"/>
            <w:vMerge w:val="restart"/>
            <w:vAlign w:val="center"/>
          </w:tcPr>
          <w:p w:rsidR="005D57DE" w:rsidRPr="00DF3EE3" w:rsidRDefault="005D57DE" w:rsidP="00730382">
            <w:pPr>
              <w:jc w:val="center"/>
              <w:rPr>
                <w:sz w:val="20"/>
              </w:rPr>
            </w:pPr>
            <w:r w:rsidRPr="00DF3EE3">
              <w:rPr>
                <w:sz w:val="20"/>
              </w:rPr>
              <w:t xml:space="preserve">2021 m. IV </w:t>
            </w:r>
            <w:proofErr w:type="spellStart"/>
            <w:r w:rsidRPr="00DF3EE3">
              <w:rPr>
                <w:sz w:val="20"/>
              </w:rPr>
              <w:t>ketv</w:t>
            </w:r>
            <w:proofErr w:type="spellEnd"/>
            <w:r w:rsidRPr="00DF3EE3">
              <w:rPr>
                <w:sz w:val="20"/>
              </w:rPr>
              <w:t>.</w:t>
            </w:r>
          </w:p>
        </w:tc>
        <w:tc>
          <w:tcPr>
            <w:tcW w:w="2977" w:type="dxa"/>
            <w:vMerge w:val="restart"/>
            <w:vAlign w:val="center"/>
          </w:tcPr>
          <w:p w:rsidR="005D57DE" w:rsidRPr="00DF3EE3" w:rsidRDefault="005D57DE" w:rsidP="00730382">
            <w:pPr>
              <w:jc w:val="center"/>
              <w:rPr>
                <w:sz w:val="20"/>
              </w:rPr>
            </w:pPr>
            <w:r w:rsidRPr="00DF3EE3">
              <w:rPr>
                <w:sz w:val="20"/>
              </w:rPr>
              <w:t>Mokslo, inovacijų ir technologijų agentūra</w:t>
            </w:r>
          </w:p>
        </w:tc>
      </w:tr>
      <w:tr w:rsidR="00DF3EE3" w:rsidRPr="00DF3EE3" w:rsidTr="00D81849">
        <w:tc>
          <w:tcPr>
            <w:tcW w:w="4644" w:type="dxa"/>
            <w:vMerge/>
          </w:tcPr>
          <w:p w:rsidR="005D57DE" w:rsidRPr="00DF3EE3" w:rsidRDefault="005D57DE" w:rsidP="00730382">
            <w:pPr>
              <w:jc w:val="both"/>
              <w:rPr>
                <w:sz w:val="20"/>
              </w:rPr>
            </w:pPr>
          </w:p>
        </w:tc>
        <w:tc>
          <w:tcPr>
            <w:tcW w:w="5529" w:type="dxa"/>
          </w:tcPr>
          <w:p w:rsidR="005D57DE" w:rsidRPr="00DF3EE3" w:rsidRDefault="005D57DE" w:rsidP="00506B96">
            <w:pPr>
              <w:jc w:val="both"/>
              <w:rPr>
                <w:sz w:val="20"/>
              </w:rPr>
            </w:pPr>
            <w:r w:rsidRPr="00DF3EE3">
              <w:rPr>
                <w:sz w:val="20"/>
              </w:rPr>
              <w:t>3.1.2. Suorganizuoti 14 renginių užsienyje</w:t>
            </w:r>
          </w:p>
        </w:tc>
        <w:tc>
          <w:tcPr>
            <w:tcW w:w="1842" w:type="dxa"/>
            <w:vMerge/>
            <w:vAlign w:val="center"/>
          </w:tcPr>
          <w:p w:rsidR="005D57DE" w:rsidRPr="00DF3EE3" w:rsidRDefault="005D57DE" w:rsidP="00730382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  <w:vAlign w:val="center"/>
          </w:tcPr>
          <w:p w:rsidR="005D57DE" w:rsidRPr="00DF3EE3" w:rsidRDefault="005D57DE" w:rsidP="00730382">
            <w:pPr>
              <w:jc w:val="center"/>
              <w:rPr>
                <w:sz w:val="20"/>
              </w:rPr>
            </w:pPr>
          </w:p>
        </w:tc>
      </w:tr>
      <w:tr w:rsidR="00DF3EE3" w:rsidRPr="00DF3EE3" w:rsidTr="00D81849">
        <w:tc>
          <w:tcPr>
            <w:tcW w:w="4644" w:type="dxa"/>
            <w:vMerge/>
          </w:tcPr>
          <w:p w:rsidR="005D57DE" w:rsidRPr="00DF3EE3" w:rsidRDefault="005D57DE" w:rsidP="00730382">
            <w:pPr>
              <w:jc w:val="both"/>
              <w:rPr>
                <w:sz w:val="20"/>
              </w:rPr>
            </w:pPr>
          </w:p>
        </w:tc>
        <w:tc>
          <w:tcPr>
            <w:tcW w:w="5529" w:type="dxa"/>
          </w:tcPr>
          <w:p w:rsidR="005D57DE" w:rsidRPr="00DF3EE3" w:rsidRDefault="005D57DE" w:rsidP="00506B96">
            <w:pPr>
              <w:jc w:val="both"/>
              <w:rPr>
                <w:sz w:val="20"/>
              </w:rPr>
            </w:pPr>
            <w:r w:rsidRPr="00DF3EE3">
              <w:rPr>
                <w:sz w:val="20"/>
              </w:rPr>
              <w:t>3.1.3. Suorganizuoti 10 renginių Lietuvoje</w:t>
            </w:r>
          </w:p>
        </w:tc>
        <w:tc>
          <w:tcPr>
            <w:tcW w:w="1842" w:type="dxa"/>
            <w:vMerge/>
            <w:vAlign w:val="center"/>
          </w:tcPr>
          <w:p w:rsidR="005D57DE" w:rsidRPr="00DF3EE3" w:rsidRDefault="005D57DE" w:rsidP="00730382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  <w:vAlign w:val="center"/>
          </w:tcPr>
          <w:p w:rsidR="005D57DE" w:rsidRPr="00DF3EE3" w:rsidRDefault="005D57DE" w:rsidP="00730382">
            <w:pPr>
              <w:jc w:val="center"/>
              <w:rPr>
                <w:sz w:val="20"/>
              </w:rPr>
            </w:pPr>
          </w:p>
        </w:tc>
      </w:tr>
      <w:tr w:rsidR="00DF3EE3" w:rsidRPr="00DF3EE3" w:rsidTr="00D81849">
        <w:tc>
          <w:tcPr>
            <w:tcW w:w="4644" w:type="dxa"/>
            <w:vMerge/>
          </w:tcPr>
          <w:p w:rsidR="005D57DE" w:rsidRPr="00DF3EE3" w:rsidRDefault="005D57DE" w:rsidP="00730382">
            <w:pPr>
              <w:jc w:val="both"/>
              <w:rPr>
                <w:sz w:val="20"/>
              </w:rPr>
            </w:pPr>
          </w:p>
        </w:tc>
        <w:tc>
          <w:tcPr>
            <w:tcW w:w="5529" w:type="dxa"/>
          </w:tcPr>
          <w:p w:rsidR="005D57DE" w:rsidRPr="00DF3EE3" w:rsidRDefault="005D57DE" w:rsidP="00506B96">
            <w:pPr>
              <w:jc w:val="both"/>
              <w:rPr>
                <w:sz w:val="20"/>
              </w:rPr>
            </w:pPr>
            <w:r w:rsidRPr="00DF3EE3">
              <w:rPr>
                <w:sz w:val="20"/>
              </w:rPr>
              <w:t>3.1.4. Parengti ir publikuoti 11 vaizdinių publikacijų</w:t>
            </w:r>
          </w:p>
        </w:tc>
        <w:tc>
          <w:tcPr>
            <w:tcW w:w="1842" w:type="dxa"/>
            <w:vMerge/>
            <w:vAlign w:val="center"/>
          </w:tcPr>
          <w:p w:rsidR="005D57DE" w:rsidRPr="00DF3EE3" w:rsidRDefault="005D57DE" w:rsidP="00730382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  <w:vAlign w:val="center"/>
          </w:tcPr>
          <w:p w:rsidR="005D57DE" w:rsidRPr="00DF3EE3" w:rsidRDefault="005D57DE" w:rsidP="00730382">
            <w:pPr>
              <w:jc w:val="center"/>
              <w:rPr>
                <w:sz w:val="20"/>
              </w:rPr>
            </w:pPr>
          </w:p>
        </w:tc>
      </w:tr>
      <w:tr w:rsidR="00DF3EE3" w:rsidRPr="00DF3EE3" w:rsidTr="00D81849">
        <w:tc>
          <w:tcPr>
            <w:tcW w:w="4644" w:type="dxa"/>
            <w:vMerge/>
          </w:tcPr>
          <w:p w:rsidR="005D57DE" w:rsidRPr="00DF3EE3" w:rsidRDefault="005D57DE" w:rsidP="00730382">
            <w:pPr>
              <w:jc w:val="both"/>
              <w:rPr>
                <w:sz w:val="20"/>
              </w:rPr>
            </w:pPr>
          </w:p>
        </w:tc>
        <w:tc>
          <w:tcPr>
            <w:tcW w:w="5529" w:type="dxa"/>
          </w:tcPr>
          <w:p w:rsidR="005D57DE" w:rsidRPr="00DF3EE3" w:rsidRDefault="005D57DE" w:rsidP="00506B96">
            <w:pPr>
              <w:jc w:val="both"/>
              <w:rPr>
                <w:sz w:val="20"/>
              </w:rPr>
            </w:pPr>
            <w:r w:rsidRPr="00DF3EE3">
              <w:rPr>
                <w:sz w:val="20"/>
              </w:rPr>
              <w:t>3.1.5. Inicijuoti ir publikuoti 10 straipsnių Lietuvos ir užsienio žiniasklaidoje</w:t>
            </w:r>
          </w:p>
        </w:tc>
        <w:tc>
          <w:tcPr>
            <w:tcW w:w="1842" w:type="dxa"/>
            <w:vMerge/>
            <w:vAlign w:val="center"/>
          </w:tcPr>
          <w:p w:rsidR="005D57DE" w:rsidRPr="00DF3EE3" w:rsidRDefault="005D57DE" w:rsidP="00730382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  <w:vAlign w:val="center"/>
          </w:tcPr>
          <w:p w:rsidR="005D57DE" w:rsidRPr="00DF3EE3" w:rsidRDefault="005D57DE" w:rsidP="00730382">
            <w:pPr>
              <w:jc w:val="center"/>
              <w:rPr>
                <w:sz w:val="20"/>
              </w:rPr>
            </w:pPr>
          </w:p>
        </w:tc>
      </w:tr>
      <w:tr w:rsidR="00DF3EE3" w:rsidRPr="00DF3EE3" w:rsidTr="00D81849">
        <w:tc>
          <w:tcPr>
            <w:tcW w:w="14992" w:type="dxa"/>
            <w:gridSpan w:val="4"/>
            <w:shd w:val="clear" w:color="auto" w:fill="D9D9D9" w:themeFill="background1" w:themeFillShade="D9"/>
            <w:vAlign w:val="center"/>
          </w:tcPr>
          <w:p w:rsidR="005D57DE" w:rsidRPr="00DF3EE3" w:rsidRDefault="005D57DE" w:rsidP="003E7931">
            <w:pPr>
              <w:jc w:val="both"/>
              <w:rPr>
                <w:b/>
                <w:i/>
                <w:sz w:val="20"/>
              </w:rPr>
            </w:pPr>
            <w:r w:rsidRPr="00DF3EE3">
              <w:rPr>
                <w:b/>
                <w:i/>
                <w:sz w:val="20"/>
              </w:rPr>
              <w:t>4 užduotis. Skatinti Lietuvoje įsikūrusių FINTECH sektoriaus įmonių paslaugų ir prekių eksportą į užsienio rinkas</w:t>
            </w:r>
          </w:p>
        </w:tc>
      </w:tr>
      <w:tr w:rsidR="00DF3EE3" w:rsidRPr="00DF3EE3" w:rsidTr="00D81849">
        <w:tc>
          <w:tcPr>
            <w:tcW w:w="4644" w:type="dxa"/>
          </w:tcPr>
          <w:p w:rsidR="005D57DE" w:rsidRPr="00DF3EE3" w:rsidRDefault="005D57DE" w:rsidP="00A1277F">
            <w:pPr>
              <w:jc w:val="both"/>
              <w:rPr>
                <w:sz w:val="20"/>
              </w:rPr>
            </w:pPr>
            <w:r w:rsidRPr="00DF3EE3">
              <w:rPr>
                <w:sz w:val="20"/>
              </w:rPr>
              <w:t>4.1. Parengti 2021 m. FINTECH renginių užsienyje sąrašą. Dalyvauti pagrindiniuose tarptautiniuose FINTECH renginiuose (</w:t>
            </w:r>
            <w:r w:rsidR="00A1277F" w:rsidRPr="00DF3EE3">
              <w:rPr>
                <w:rFonts w:cs="Times New Roman"/>
                <w:sz w:val="20"/>
              </w:rPr>
              <w:t>„</w:t>
            </w:r>
            <w:r w:rsidRPr="00DF3EE3">
              <w:rPr>
                <w:sz w:val="20"/>
              </w:rPr>
              <w:t xml:space="preserve">Money 2020 </w:t>
            </w:r>
            <w:proofErr w:type="spellStart"/>
            <w:r w:rsidRPr="00DF3EE3">
              <w:rPr>
                <w:sz w:val="20"/>
              </w:rPr>
              <w:t>Europe</w:t>
            </w:r>
            <w:proofErr w:type="spellEnd"/>
            <w:r w:rsidR="00A1277F" w:rsidRPr="00DF3EE3">
              <w:rPr>
                <w:rFonts w:cs="Times New Roman"/>
                <w:sz w:val="20"/>
              </w:rPr>
              <w:t>“</w:t>
            </w:r>
            <w:r w:rsidRPr="00DF3EE3">
              <w:rPr>
                <w:sz w:val="20"/>
              </w:rPr>
              <w:t xml:space="preserve">, </w:t>
            </w:r>
            <w:r w:rsidR="00A1277F" w:rsidRPr="00DF3EE3">
              <w:rPr>
                <w:rFonts w:cs="Times New Roman"/>
                <w:sz w:val="20"/>
              </w:rPr>
              <w:t>„</w:t>
            </w:r>
            <w:r w:rsidRPr="00DF3EE3">
              <w:rPr>
                <w:sz w:val="20"/>
              </w:rPr>
              <w:t>Money2020 USA</w:t>
            </w:r>
            <w:r w:rsidR="00A1277F" w:rsidRPr="00DF3EE3">
              <w:rPr>
                <w:rFonts w:cs="Times New Roman"/>
                <w:sz w:val="20"/>
              </w:rPr>
              <w:t>“</w:t>
            </w:r>
            <w:r w:rsidRPr="00DF3EE3">
              <w:rPr>
                <w:sz w:val="20"/>
              </w:rPr>
              <w:t xml:space="preserve">, </w:t>
            </w:r>
            <w:r w:rsidR="00A1277F" w:rsidRPr="00DF3EE3">
              <w:rPr>
                <w:rFonts w:cs="Times New Roman"/>
                <w:sz w:val="20"/>
              </w:rPr>
              <w:t>„</w:t>
            </w:r>
            <w:r w:rsidRPr="00DF3EE3">
              <w:rPr>
                <w:sz w:val="20"/>
              </w:rPr>
              <w:t xml:space="preserve">Money2020 </w:t>
            </w:r>
            <w:proofErr w:type="spellStart"/>
            <w:r w:rsidRPr="00DF3EE3">
              <w:rPr>
                <w:sz w:val="20"/>
              </w:rPr>
              <w:t>Asia</w:t>
            </w:r>
            <w:proofErr w:type="spellEnd"/>
            <w:r w:rsidR="00A1277F" w:rsidRPr="00DF3EE3">
              <w:rPr>
                <w:rFonts w:cs="Times New Roman"/>
                <w:sz w:val="20"/>
              </w:rPr>
              <w:t>“</w:t>
            </w:r>
            <w:r w:rsidRPr="00DF3EE3">
              <w:rPr>
                <w:sz w:val="20"/>
              </w:rPr>
              <w:t>)</w:t>
            </w:r>
            <w:r w:rsidR="00A1277F" w:rsidRPr="00DF3EE3">
              <w:rPr>
                <w:sz w:val="20"/>
              </w:rPr>
              <w:t>,</w:t>
            </w:r>
            <w:r w:rsidRPr="00DF3EE3">
              <w:rPr>
                <w:sz w:val="20"/>
              </w:rPr>
              <w:t xml:space="preserve"> </w:t>
            </w:r>
            <w:r w:rsidR="00A1277F" w:rsidRPr="00DF3EE3">
              <w:rPr>
                <w:sz w:val="20"/>
              </w:rPr>
              <w:t>siekiant</w:t>
            </w:r>
            <w:r w:rsidRPr="00DF3EE3">
              <w:rPr>
                <w:sz w:val="20"/>
              </w:rPr>
              <w:t xml:space="preserve"> pristatyti Lietuvos vertės pasiūlymą ir pritraukti nauj</w:t>
            </w:r>
            <w:r w:rsidR="00A1277F" w:rsidRPr="00DF3EE3">
              <w:rPr>
                <w:sz w:val="20"/>
              </w:rPr>
              <w:t>ų</w:t>
            </w:r>
            <w:r w:rsidRPr="00DF3EE3">
              <w:rPr>
                <w:sz w:val="20"/>
              </w:rPr>
              <w:t xml:space="preserve"> </w:t>
            </w:r>
            <w:r w:rsidRPr="00DF3EE3">
              <w:rPr>
                <w:sz w:val="20"/>
              </w:rPr>
              <w:lastRenderedPageBreak/>
              <w:t>FINTECH investuotoj</w:t>
            </w:r>
            <w:r w:rsidR="00A1277F" w:rsidRPr="00DF3EE3">
              <w:rPr>
                <w:sz w:val="20"/>
              </w:rPr>
              <w:t>ų</w:t>
            </w:r>
          </w:p>
        </w:tc>
        <w:tc>
          <w:tcPr>
            <w:tcW w:w="5529" w:type="dxa"/>
          </w:tcPr>
          <w:p w:rsidR="005D57DE" w:rsidRPr="00DF3EE3" w:rsidRDefault="005D57DE" w:rsidP="003E7931">
            <w:pPr>
              <w:jc w:val="both"/>
              <w:rPr>
                <w:sz w:val="20"/>
              </w:rPr>
            </w:pPr>
          </w:p>
        </w:tc>
        <w:tc>
          <w:tcPr>
            <w:tcW w:w="1842" w:type="dxa"/>
            <w:vAlign w:val="center"/>
          </w:tcPr>
          <w:p w:rsidR="005D57DE" w:rsidRPr="00DF3EE3" w:rsidRDefault="005D57DE" w:rsidP="00730382">
            <w:pPr>
              <w:jc w:val="center"/>
              <w:rPr>
                <w:sz w:val="20"/>
              </w:rPr>
            </w:pPr>
            <w:r w:rsidRPr="00DF3EE3">
              <w:rPr>
                <w:sz w:val="20"/>
              </w:rPr>
              <w:t xml:space="preserve">2021 m. II </w:t>
            </w:r>
            <w:proofErr w:type="spellStart"/>
            <w:r w:rsidRPr="00DF3EE3">
              <w:rPr>
                <w:sz w:val="20"/>
              </w:rPr>
              <w:t>ketv</w:t>
            </w:r>
            <w:proofErr w:type="spellEnd"/>
            <w:r w:rsidRPr="00DF3EE3">
              <w:rPr>
                <w:sz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5D57DE" w:rsidRPr="00DF3EE3" w:rsidRDefault="005D57DE" w:rsidP="000A4489">
            <w:pPr>
              <w:jc w:val="center"/>
              <w:rPr>
                <w:sz w:val="20"/>
              </w:rPr>
            </w:pPr>
            <w:proofErr w:type="spellStart"/>
            <w:r w:rsidRPr="00DF3EE3">
              <w:rPr>
                <w:sz w:val="20"/>
              </w:rPr>
              <w:t>VšĮ</w:t>
            </w:r>
            <w:proofErr w:type="spellEnd"/>
            <w:r w:rsidRPr="00DF3EE3">
              <w:rPr>
                <w:sz w:val="20"/>
              </w:rPr>
              <w:t xml:space="preserve"> </w:t>
            </w:r>
            <w:r w:rsidR="000A4489" w:rsidRPr="00DF3EE3">
              <w:rPr>
                <w:rFonts w:cs="Times New Roman"/>
                <w:sz w:val="20"/>
              </w:rPr>
              <w:t>„</w:t>
            </w:r>
            <w:r w:rsidRPr="00DF3EE3">
              <w:rPr>
                <w:sz w:val="20"/>
              </w:rPr>
              <w:t>Investuok Lietuvoje</w:t>
            </w:r>
            <w:r w:rsidR="000A4489" w:rsidRPr="00DF3EE3">
              <w:rPr>
                <w:rFonts w:cs="Times New Roman"/>
                <w:sz w:val="20"/>
              </w:rPr>
              <w:t>“</w:t>
            </w:r>
            <w:r w:rsidRPr="00DF3EE3">
              <w:rPr>
                <w:sz w:val="20"/>
              </w:rPr>
              <w:t xml:space="preserve">, Mokslo, inovacijų ir technologijų agentūra, </w:t>
            </w:r>
            <w:proofErr w:type="spellStart"/>
            <w:r w:rsidRPr="00DF3EE3">
              <w:rPr>
                <w:sz w:val="20"/>
              </w:rPr>
              <w:t>VšĮ</w:t>
            </w:r>
            <w:proofErr w:type="spellEnd"/>
            <w:r w:rsidRPr="00DF3EE3">
              <w:rPr>
                <w:sz w:val="20"/>
              </w:rPr>
              <w:t xml:space="preserve"> </w:t>
            </w:r>
            <w:r w:rsidR="000A4489" w:rsidRPr="00DF3EE3">
              <w:rPr>
                <w:rFonts w:cs="Times New Roman"/>
                <w:sz w:val="20"/>
              </w:rPr>
              <w:t>„</w:t>
            </w:r>
            <w:r w:rsidRPr="00DF3EE3">
              <w:rPr>
                <w:sz w:val="20"/>
              </w:rPr>
              <w:t>Versli Lietuva</w:t>
            </w:r>
            <w:r w:rsidR="000A4489" w:rsidRPr="00DF3EE3">
              <w:rPr>
                <w:rFonts w:cs="Times New Roman"/>
                <w:sz w:val="20"/>
              </w:rPr>
              <w:t>“</w:t>
            </w:r>
            <w:r w:rsidRPr="00DF3EE3">
              <w:rPr>
                <w:sz w:val="20"/>
              </w:rPr>
              <w:t>, Ekonomikos ir inovacijų ministerija</w:t>
            </w:r>
          </w:p>
        </w:tc>
      </w:tr>
      <w:tr w:rsidR="00DF3EE3" w:rsidRPr="00DF3EE3" w:rsidTr="00D81849">
        <w:tc>
          <w:tcPr>
            <w:tcW w:w="4644" w:type="dxa"/>
          </w:tcPr>
          <w:p w:rsidR="005D57DE" w:rsidRPr="00DF3EE3" w:rsidRDefault="005D57DE" w:rsidP="00516C34">
            <w:pPr>
              <w:jc w:val="both"/>
              <w:rPr>
                <w:sz w:val="20"/>
              </w:rPr>
            </w:pPr>
            <w:r w:rsidRPr="00DF3EE3">
              <w:rPr>
                <w:sz w:val="20"/>
              </w:rPr>
              <w:lastRenderedPageBreak/>
              <w:t xml:space="preserve">4.2. Atsižvelgiant į </w:t>
            </w:r>
            <w:r w:rsidR="00A1277F" w:rsidRPr="00DF3EE3">
              <w:rPr>
                <w:sz w:val="20"/>
              </w:rPr>
              <w:t xml:space="preserve">situaciją dėl </w:t>
            </w:r>
            <w:r w:rsidRPr="00DF3EE3">
              <w:rPr>
                <w:sz w:val="20"/>
              </w:rPr>
              <w:t>COVID-19</w:t>
            </w:r>
            <w:r w:rsidR="00A1277F" w:rsidRPr="00DF3EE3">
              <w:rPr>
                <w:sz w:val="20"/>
              </w:rPr>
              <w:t xml:space="preserve"> pandemijos</w:t>
            </w:r>
            <w:r w:rsidRPr="00DF3EE3">
              <w:rPr>
                <w:sz w:val="20"/>
              </w:rPr>
              <w:t>, finansuoti bent 5 Lietuvoje įsikūrusių įmonių</w:t>
            </w:r>
            <w:r w:rsidR="00A1277F" w:rsidRPr="00DF3EE3">
              <w:rPr>
                <w:sz w:val="20"/>
              </w:rPr>
              <w:t xml:space="preserve"> atstovų</w:t>
            </w:r>
            <w:r w:rsidRPr="00DF3EE3">
              <w:rPr>
                <w:sz w:val="20"/>
              </w:rPr>
              <w:t xml:space="preserve"> išvykas į FINTECH renginius</w:t>
            </w:r>
            <w:r w:rsidR="00516C34" w:rsidRPr="00DF3EE3">
              <w:rPr>
                <w:sz w:val="20"/>
              </w:rPr>
              <w:t xml:space="preserve"> užsienyje</w:t>
            </w:r>
          </w:p>
        </w:tc>
        <w:tc>
          <w:tcPr>
            <w:tcW w:w="5529" w:type="dxa"/>
          </w:tcPr>
          <w:p w:rsidR="005D57DE" w:rsidRPr="00DF3EE3" w:rsidRDefault="005D57DE" w:rsidP="00A1277F">
            <w:pPr>
              <w:jc w:val="both"/>
              <w:rPr>
                <w:sz w:val="20"/>
              </w:rPr>
            </w:pPr>
            <w:r w:rsidRPr="00DF3EE3">
              <w:rPr>
                <w:sz w:val="20"/>
              </w:rPr>
              <w:t>4.2.1. Parengti F</w:t>
            </w:r>
            <w:r w:rsidR="000A4489" w:rsidRPr="00DF3EE3">
              <w:rPr>
                <w:sz w:val="20"/>
              </w:rPr>
              <w:t>INTECH</w:t>
            </w:r>
            <w:r w:rsidRPr="00DF3EE3">
              <w:rPr>
                <w:sz w:val="20"/>
              </w:rPr>
              <w:t xml:space="preserve"> 2021 m. renginių, į kuriuos </w:t>
            </w:r>
            <w:r w:rsidR="00A1277F" w:rsidRPr="00DF3EE3">
              <w:rPr>
                <w:sz w:val="20"/>
              </w:rPr>
              <w:t xml:space="preserve">vyktų </w:t>
            </w:r>
            <w:r w:rsidRPr="00DF3EE3">
              <w:rPr>
                <w:sz w:val="20"/>
              </w:rPr>
              <w:t>Lietuvos F</w:t>
            </w:r>
            <w:r w:rsidR="000A4489" w:rsidRPr="00DF3EE3">
              <w:rPr>
                <w:sz w:val="20"/>
              </w:rPr>
              <w:t>INTECH</w:t>
            </w:r>
            <w:r w:rsidR="00A1277F" w:rsidRPr="00DF3EE3">
              <w:rPr>
                <w:sz w:val="20"/>
              </w:rPr>
              <w:t xml:space="preserve"> įmonių atstovai</w:t>
            </w:r>
            <w:r w:rsidRPr="00DF3EE3">
              <w:rPr>
                <w:sz w:val="20"/>
              </w:rPr>
              <w:t>, sąrašą</w:t>
            </w:r>
          </w:p>
        </w:tc>
        <w:tc>
          <w:tcPr>
            <w:tcW w:w="1842" w:type="dxa"/>
            <w:vAlign w:val="center"/>
          </w:tcPr>
          <w:p w:rsidR="005D57DE" w:rsidRPr="00DF3EE3" w:rsidRDefault="005D57DE" w:rsidP="00730382">
            <w:pPr>
              <w:jc w:val="center"/>
              <w:rPr>
                <w:sz w:val="20"/>
              </w:rPr>
            </w:pPr>
            <w:r w:rsidRPr="00DF3EE3">
              <w:rPr>
                <w:sz w:val="20"/>
              </w:rPr>
              <w:t xml:space="preserve">Sąrašo parengimas 2021 m. I </w:t>
            </w:r>
            <w:proofErr w:type="spellStart"/>
            <w:r w:rsidRPr="00DF3EE3">
              <w:rPr>
                <w:sz w:val="20"/>
              </w:rPr>
              <w:t>ketv</w:t>
            </w:r>
            <w:proofErr w:type="spellEnd"/>
            <w:r w:rsidRPr="00DF3EE3">
              <w:rPr>
                <w:sz w:val="20"/>
              </w:rPr>
              <w:t>.</w:t>
            </w:r>
            <w:r w:rsidR="00B65381" w:rsidRPr="00DF3EE3">
              <w:rPr>
                <w:sz w:val="20"/>
              </w:rPr>
              <w:t>,</w:t>
            </w:r>
            <w:r w:rsidRPr="00DF3EE3">
              <w:rPr>
                <w:sz w:val="20"/>
              </w:rPr>
              <w:t xml:space="preserve"> </w:t>
            </w:r>
          </w:p>
          <w:p w:rsidR="005D57DE" w:rsidRPr="00DF3EE3" w:rsidRDefault="00B65381" w:rsidP="00730382">
            <w:pPr>
              <w:jc w:val="center"/>
              <w:rPr>
                <w:sz w:val="20"/>
              </w:rPr>
            </w:pPr>
            <w:r w:rsidRPr="00DF3EE3">
              <w:rPr>
                <w:sz w:val="20"/>
              </w:rPr>
              <w:t>į</w:t>
            </w:r>
            <w:r w:rsidR="005D57DE" w:rsidRPr="00DF3EE3">
              <w:rPr>
                <w:sz w:val="20"/>
              </w:rPr>
              <w:t>monių dalyvavimas iki</w:t>
            </w:r>
          </w:p>
          <w:p w:rsidR="005D57DE" w:rsidRPr="00DF3EE3" w:rsidRDefault="005D57DE" w:rsidP="00730382">
            <w:pPr>
              <w:jc w:val="center"/>
              <w:rPr>
                <w:sz w:val="20"/>
              </w:rPr>
            </w:pPr>
            <w:r w:rsidRPr="00DF3EE3">
              <w:rPr>
                <w:sz w:val="20"/>
              </w:rPr>
              <w:t xml:space="preserve">2021 m. IV </w:t>
            </w:r>
            <w:proofErr w:type="spellStart"/>
            <w:r w:rsidRPr="00DF3EE3">
              <w:rPr>
                <w:sz w:val="20"/>
              </w:rPr>
              <w:t>ketv</w:t>
            </w:r>
            <w:proofErr w:type="spellEnd"/>
            <w:r w:rsidRPr="00DF3EE3">
              <w:rPr>
                <w:sz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5D57DE" w:rsidRPr="00DF3EE3" w:rsidRDefault="005D57DE" w:rsidP="000A4489">
            <w:pPr>
              <w:jc w:val="center"/>
              <w:rPr>
                <w:sz w:val="20"/>
              </w:rPr>
            </w:pPr>
            <w:r w:rsidRPr="00DF3EE3">
              <w:rPr>
                <w:sz w:val="20"/>
              </w:rPr>
              <w:t>Mokslo, inovacijų ir technologijų agentūra, konsultuojantis su Lietuvos F</w:t>
            </w:r>
            <w:r w:rsidR="000A4489" w:rsidRPr="00DF3EE3">
              <w:rPr>
                <w:sz w:val="20"/>
              </w:rPr>
              <w:t>INTECH</w:t>
            </w:r>
            <w:r w:rsidRPr="00DF3EE3">
              <w:rPr>
                <w:sz w:val="20"/>
              </w:rPr>
              <w:t xml:space="preserve"> ekosistemos dalyviais</w:t>
            </w:r>
          </w:p>
        </w:tc>
      </w:tr>
      <w:tr w:rsidR="00DF3EE3" w:rsidRPr="00DF3EE3" w:rsidTr="00D81849">
        <w:tc>
          <w:tcPr>
            <w:tcW w:w="4644" w:type="dxa"/>
            <w:vMerge w:val="restart"/>
          </w:tcPr>
          <w:p w:rsidR="005D57DE" w:rsidRPr="00DF3EE3" w:rsidRDefault="005D57DE" w:rsidP="00730382">
            <w:pPr>
              <w:jc w:val="both"/>
              <w:rPr>
                <w:sz w:val="20"/>
              </w:rPr>
            </w:pPr>
            <w:r w:rsidRPr="00DF3EE3">
              <w:rPr>
                <w:sz w:val="20"/>
              </w:rPr>
              <w:t>4.3. Konsultuojantis su valstybės institucijomis ir FINTECH sektoriaus asocijuotomis struktūromis, parengti užduočių ekonominiams diplomatams, dirbantiems tikslinėse FINTECH srities rinkose, sąrašą</w:t>
            </w:r>
          </w:p>
        </w:tc>
        <w:tc>
          <w:tcPr>
            <w:tcW w:w="5529" w:type="dxa"/>
          </w:tcPr>
          <w:p w:rsidR="005D57DE" w:rsidRPr="00DF3EE3" w:rsidRDefault="005D57DE" w:rsidP="006F49EA">
            <w:pPr>
              <w:jc w:val="both"/>
              <w:rPr>
                <w:sz w:val="20"/>
              </w:rPr>
            </w:pPr>
            <w:r w:rsidRPr="00DF3EE3">
              <w:rPr>
                <w:sz w:val="20"/>
              </w:rPr>
              <w:t>4.3.1.</w:t>
            </w:r>
            <w:r w:rsidRPr="00DF3EE3">
              <w:t xml:space="preserve"> </w:t>
            </w:r>
            <w:r w:rsidRPr="00DF3EE3">
              <w:rPr>
                <w:sz w:val="20"/>
              </w:rPr>
              <w:t>Parengti ir išplatinti dal</w:t>
            </w:r>
            <w:r w:rsidR="006F49EA" w:rsidRPr="00DF3EE3">
              <w:rPr>
                <w:sz w:val="20"/>
              </w:rPr>
              <w:t>ija</w:t>
            </w:r>
            <w:r w:rsidRPr="00DF3EE3">
              <w:rPr>
                <w:sz w:val="20"/>
              </w:rPr>
              <w:t>mąją medžiagą apie „</w:t>
            </w:r>
            <w:proofErr w:type="spellStart"/>
            <w:r w:rsidRPr="00DF3EE3">
              <w:rPr>
                <w:sz w:val="20"/>
              </w:rPr>
              <w:t>Fintech</w:t>
            </w:r>
            <w:proofErr w:type="spellEnd"/>
            <w:r w:rsidRPr="00DF3EE3">
              <w:rPr>
                <w:sz w:val="20"/>
              </w:rPr>
              <w:t xml:space="preserve"> </w:t>
            </w:r>
            <w:proofErr w:type="spellStart"/>
            <w:r w:rsidRPr="00DF3EE3">
              <w:rPr>
                <w:sz w:val="20"/>
              </w:rPr>
              <w:t>Inn</w:t>
            </w:r>
            <w:proofErr w:type="spellEnd"/>
            <w:r w:rsidR="006F49EA" w:rsidRPr="00DF3EE3">
              <w:rPr>
                <w:rFonts w:cs="Times New Roman"/>
                <w:sz w:val="20"/>
              </w:rPr>
              <w:t>“</w:t>
            </w:r>
            <w:r w:rsidRPr="00DF3EE3">
              <w:rPr>
                <w:sz w:val="20"/>
              </w:rPr>
              <w:t xml:space="preserve"> konferenciją ambasadų atstovams, atašė, FINTECH srities asociacijų atstovams</w:t>
            </w:r>
          </w:p>
        </w:tc>
        <w:tc>
          <w:tcPr>
            <w:tcW w:w="1842" w:type="dxa"/>
            <w:vAlign w:val="center"/>
          </w:tcPr>
          <w:p w:rsidR="005D57DE" w:rsidRPr="00DF3EE3" w:rsidRDefault="005D57DE" w:rsidP="00730382">
            <w:pPr>
              <w:jc w:val="center"/>
              <w:rPr>
                <w:sz w:val="20"/>
              </w:rPr>
            </w:pPr>
            <w:r w:rsidRPr="00DF3EE3">
              <w:rPr>
                <w:sz w:val="20"/>
              </w:rPr>
              <w:t xml:space="preserve">2021 m. II </w:t>
            </w:r>
            <w:proofErr w:type="spellStart"/>
            <w:r w:rsidRPr="00DF3EE3">
              <w:rPr>
                <w:sz w:val="20"/>
              </w:rPr>
              <w:t>ketv</w:t>
            </w:r>
            <w:proofErr w:type="spellEnd"/>
            <w:r w:rsidRPr="00DF3EE3">
              <w:rPr>
                <w:sz w:val="20"/>
              </w:rPr>
              <w:t>.</w:t>
            </w:r>
          </w:p>
        </w:tc>
        <w:tc>
          <w:tcPr>
            <w:tcW w:w="2977" w:type="dxa"/>
            <w:vMerge w:val="restart"/>
            <w:vAlign w:val="center"/>
          </w:tcPr>
          <w:p w:rsidR="005D57DE" w:rsidRPr="00DF3EE3" w:rsidRDefault="005D57DE" w:rsidP="00730382">
            <w:pPr>
              <w:jc w:val="center"/>
              <w:rPr>
                <w:sz w:val="20"/>
              </w:rPr>
            </w:pPr>
            <w:r w:rsidRPr="00DF3EE3">
              <w:rPr>
                <w:sz w:val="20"/>
              </w:rPr>
              <w:t xml:space="preserve">Užsienio reikalų ministerija, </w:t>
            </w:r>
            <w:proofErr w:type="spellStart"/>
            <w:r w:rsidRPr="00DF3EE3">
              <w:rPr>
                <w:sz w:val="20"/>
              </w:rPr>
              <w:t>VšĮ</w:t>
            </w:r>
            <w:proofErr w:type="spellEnd"/>
            <w:r w:rsidRPr="00DF3EE3">
              <w:rPr>
                <w:sz w:val="20"/>
              </w:rPr>
              <w:t xml:space="preserve"> „Versli Lietuva“, Mokslo, inovacijų ir technologijų agentūra</w:t>
            </w:r>
          </w:p>
        </w:tc>
      </w:tr>
      <w:tr w:rsidR="00DF3EE3" w:rsidRPr="00DF3EE3" w:rsidTr="00D81849">
        <w:tc>
          <w:tcPr>
            <w:tcW w:w="4644" w:type="dxa"/>
            <w:vMerge/>
          </w:tcPr>
          <w:p w:rsidR="005D57DE" w:rsidRPr="00DF3EE3" w:rsidRDefault="005D57DE" w:rsidP="00730382">
            <w:pPr>
              <w:jc w:val="both"/>
              <w:rPr>
                <w:sz w:val="20"/>
              </w:rPr>
            </w:pPr>
          </w:p>
        </w:tc>
        <w:tc>
          <w:tcPr>
            <w:tcW w:w="5529" w:type="dxa"/>
          </w:tcPr>
          <w:p w:rsidR="005D57DE" w:rsidRPr="00DF3EE3" w:rsidRDefault="005D57DE" w:rsidP="006F49EA">
            <w:pPr>
              <w:jc w:val="both"/>
              <w:rPr>
                <w:sz w:val="20"/>
              </w:rPr>
            </w:pPr>
            <w:r w:rsidRPr="00DF3EE3">
              <w:rPr>
                <w:sz w:val="20"/>
              </w:rPr>
              <w:t xml:space="preserve">4.3.2. </w:t>
            </w:r>
            <w:r w:rsidR="006F49EA" w:rsidRPr="00DF3EE3">
              <w:rPr>
                <w:sz w:val="20"/>
              </w:rPr>
              <w:t>Pagal poreikį parengti i</w:t>
            </w:r>
            <w:r w:rsidRPr="00DF3EE3">
              <w:rPr>
                <w:sz w:val="20"/>
              </w:rPr>
              <w:t>ndividual</w:t>
            </w:r>
            <w:r w:rsidR="006F49EA" w:rsidRPr="00DF3EE3">
              <w:rPr>
                <w:sz w:val="20"/>
              </w:rPr>
              <w:t>ia</w:t>
            </w:r>
            <w:r w:rsidRPr="00DF3EE3">
              <w:rPr>
                <w:sz w:val="20"/>
              </w:rPr>
              <w:t>s užduo</w:t>
            </w:r>
            <w:r w:rsidR="006F49EA" w:rsidRPr="00DF3EE3">
              <w:rPr>
                <w:sz w:val="20"/>
              </w:rPr>
              <w:t>tis</w:t>
            </w:r>
            <w:r w:rsidRPr="00DF3EE3">
              <w:rPr>
                <w:sz w:val="20"/>
              </w:rPr>
              <w:t xml:space="preserve"> dėl renginių užsienyje </w:t>
            </w:r>
          </w:p>
        </w:tc>
        <w:tc>
          <w:tcPr>
            <w:tcW w:w="1842" w:type="dxa"/>
            <w:vAlign w:val="center"/>
          </w:tcPr>
          <w:p w:rsidR="005D57DE" w:rsidRPr="00DF3EE3" w:rsidRDefault="005D57DE" w:rsidP="00730382">
            <w:pPr>
              <w:jc w:val="center"/>
              <w:rPr>
                <w:sz w:val="20"/>
              </w:rPr>
            </w:pPr>
            <w:r w:rsidRPr="00DF3EE3">
              <w:rPr>
                <w:sz w:val="20"/>
              </w:rPr>
              <w:t xml:space="preserve">2021 m. IV </w:t>
            </w:r>
            <w:proofErr w:type="spellStart"/>
            <w:r w:rsidRPr="00DF3EE3">
              <w:rPr>
                <w:sz w:val="20"/>
              </w:rPr>
              <w:t>ketv</w:t>
            </w:r>
            <w:proofErr w:type="spellEnd"/>
            <w:r w:rsidRPr="00DF3EE3">
              <w:rPr>
                <w:sz w:val="20"/>
              </w:rPr>
              <w:t>.</w:t>
            </w:r>
          </w:p>
        </w:tc>
        <w:tc>
          <w:tcPr>
            <w:tcW w:w="2977" w:type="dxa"/>
            <w:vMerge/>
            <w:vAlign w:val="center"/>
          </w:tcPr>
          <w:p w:rsidR="005D57DE" w:rsidRPr="00DF3EE3" w:rsidRDefault="005D57DE" w:rsidP="00730382">
            <w:pPr>
              <w:jc w:val="center"/>
              <w:rPr>
                <w:sz w:val="20"/>
              </w:rPr>
            </w:pPr>
          </w:p>
        </w:tc>
      </w:tr>
    </w:tbl>
    <w:p w:rsidR="00AA6B86" w:rsidRDefault="00AA6B86"/>
    <w:p w:rsidR="000A4489" w:rsidRDefault="000A4489" w:rsidP="00E2156F">
      <w:pPr>
        <w:jc w:val="center"/>
      </w:pPr>
      <w:r>
        <w:t>________________________________</w:t>
      </w:r>
    </w:p>
    <w:sectPr w:rsidR="000A4489" w:rsidSect="00E2156F">
      <w:headerReference w:type="default" r:id="rId9"/>
      <w:footerReference w:type="default" r:id="rId10"/>
      <w:headerReference w:type="first" r:id="rId11"/>
      <w:pgSz w:w="16838" w:h="11906" w:orient="landscape"/>
      <w:pgMar w:top="1701" w:right="567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180" w:rsidRDefault="00F24180" w:rsidP="00F24180">
      <w:pPr>
        <w:spacing w:after="0" w:line="240" w:lineRule="auto"/>
      </w:pPr>
      <w:r>
        <w:separator/>
      </w:r>
    </w:p>
  </w:endnote>
  <w:endnote w:type="continuationSeparator" w:id="0">
    <w:p w:rsidR="00F24180" w:rsidRDefault="00F24180" w:rsidP="00F24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7B9" w:rsidRPr="000627B9" w:rsidRDefault="000627B9">
    <w:pPr>
      <w:pStyle w:val="Porat"/>
      <w:jc w:val="right"/>
      <w:rPr>
        <w:sz w:val="20"/>
        <w:szCs w:val="20"/>
      </w:rPr>
    </w:pPr>
  </w:p>
  <w:p w:rsidR="000627B9" w:rsidRDefault="000627B9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180" w:rsidRDefault="00F24180" w:rsidP="00F24180">
      <w:pPr>
        <w:spacing w:after="0" w:line="240" w:lineRule="auto"/>
      </w:pPr>
      <w:r>
        <w:separator/>
      </w:r>
    </w:p>
  </w:footnote>
  <w:footnote w:type="continuationSeparator" w:id="0">
    <w:p w:rsidR="00F24180" w:rsidRDefault="00F24180" w:rsidP="00F241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9745219"/>
      <w:docPartObj>
        <w:docPartGallery w:val="Page Numbers (Top of Page)"/>
        <w:docPartUnique/>
      </w:docPartObj>
    </w:sdtPr>
    <w:sdtEndPr/>
    <w:sdtContent>
      <w:p w:rsidR="005C735B" w:rsidRDefault="005C735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2C05">
          <w:rPr>
            <w:noProof/>
          </w:rPr>
          <w:t>6</w:t>
        </w:r>
        <w:r>
          <w:fldChar w:fldCharType="end"/>
        </w:r>
      </w:p>
    </w:sdtContent>
  </w:sdt>
  <w:p w:rsidR="00F24180" w:rsidRPr="00DF3EE3" w:rsidRDefault="00F24180" w:rsidP="00F24180">
    <w:pPr>
      <w:pStyle w:val="Antrats"/>
      <w:jc w:val="right"/>
      <w:rPr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F82" w:rsidRDefault="00E2156F">
    <w:pPr>
      <w:pStyle w:val="Antrats"/>
      <w:jc w:val="cent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0731D5" wp14:editId="300FAB18">
              <wp:simplePos x="0" y="0"/>
              <wp:positionH relativeFrom="column">
                <wp:posOffset>3564865</wp:posOffset>
              </wp:positionH>
              <wp:positionV relativeFrom="paragraph">
                <wp:posOffset>-73152</wp:posOffset>
              </wp:positionV>
              <wp:extent cx="2801721" cy="416966"/>
              <wp:effectExtent l="0" t="0" r="17780" b="21590"/>
              <wp:wrapNone/>
              <wp:docPr id="307" name="2 teksto lauka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1721" cy="416966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2156F" w:rsidRDefault="00E2156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2 teksto laukas" o:spid="_x0000_s1026" type="#_x0000_t202" style="position:absolute;left:0;text-align:left;margin-left:280.7pt;margin-top:-5.75pt;width:220.6pt;height:3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" fillcolor="white [3212]" strokecolor="white [3212]">
              <v:textbox>
                <w:txbxContent>
                  <w:p w:rsidR="00E2156F" w:rsidRDefault="00E2156F"/>
                </w:txbxContent>
              </v:textbox>
            </v:shape>
          </w:pict>
        </mc:Fallback>
      </mc:AlternateContent>
    </w:r>
    <w:sdt>
      <w:sdtPr>
        <w:id w:val="834497326"/>
        <w:docPartObj>
          <w:docPartGallery w:val="Page Numbers (Top of Page)"/>
          <w:docPartUnique/>
        </w:docPartObj>
      </w:sdtPr>
      <w:sdtEndPr/>
      <w:sdtContent>
        <w:r w:rsidR="00940F82">
          <w:fldChar w:fldCharType="begin"/>
        </w:r>
        <w:r w:rsidR="00940F82">
          <w:instrText>PAGE   \* MERGEFORMAT</w:instrText>
        </w:r>
        <w:r w:rsidR="00940F82">
          <w:fldChar w:fldCharType="separate"/>
        </w:r>
        <w:r w:rsidR="00D12C05">
          <w:rPr>
            <w:noProof/>
          </w:rPr>
          <w:t>1</w:t>
        </w:r>
        <w:r w:rsidR="00940F82">
          <w:fldChar w:fldCharType="end"/>
        </w:r>
      </w:sdtContent>
    </w:sdt>
  </w:p>
  <w:p w:rsidR="00940F82" w:rsidRDefault="00940F8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EE605C"/>
    <w:multiLevelType w:val="multilevel"/>
    <w:tmpl w:val="C9AEBA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B86"/>
    <w:rsid w:val="00024D58"/>
    <w:rsid w:val="000332C7"/>
    <w:rsid w:val="000627B9"/>
    <w:rsid w:val="00083948"/>
    <w:rsid w:val="000A4489"/>
    <w:rsid w:val="000D166D"/>
    <w:rsid w:val="000E53D0"/>
    <w:rsid w:val="001107EB"/>
    <w:rsid w:val="00146041"/>
    <w:rsid w:val="001716A0"/>
    <w:rsid w:val="0018130A"/>
    <w:rsid w:val="0018349A"/>
    <w:rsid w:val="00197807"/>
    <w:rsid w:val="001D2E70"/>
    <w:rsid w:val="001E1ED4"/>
    <w:rsid w:val="00201A99"/>
    <w:rsid w:val="0021091D"/>
    <w:rsid w:val="00297B17"/>
    <w:rsid w:val="002A60AE"/>
    <w:rsid w:val="002E48AE"/>
    <w:rsid w:val="00314793"/>
    <w:rsid w:val="00392C61"/>
    <w:rsid w:val="003E7931"/>
    <w:rsid w:val="00435C65"/>
    <w:rsid w:val="00496F01"/>
    <w:rsid w:val="004E2E04"/>
    <w:rsid w:val="00506B96"/>
    <w:rsid w:val="005079AD"/>
    <w:rsid w:val="00507F38"/>
    <w:rsid w:val="00516C34"/>
    <w:rsid w:val="00521FDB"/>
    <w:rsid w:val="00524E5E"/>
    <w:rsid w:val="00597839"/>
    <w:rsid w:val="005A5F4B"/>
    <w:rsid w:val="005B7B99"/>
    <w:rsid w:val="005C2D18"/>
    <w:rsid w:val="005C735B"/>
    <w:rsid w:val="005D57DE"/>
    <w:rsid w:val="005E13EE"/>
    <w:rsid w:val="006230D6"/>
    <w:rsid w:val="00660245"/>
    <w:rsid w:val="00687F1C"/>
    <w:rsid w:val="006F49EA"/>
    <w:rsid w:val="0070255C"/>
    <w:rsid w:val="0071671E"/>
    <w:rsid w:val="007241A4"/>
    <w:rsid w:val="00725F02"/>
    <w:rsid w:val="00730382"/>
    <w:rsid w:val="00780BFA"/>
    <w:rsid w:val="008331AC"/>
    <w:rsid w:val="00842658"/>
    <w:rsid w:val="008840A5"/>
    <w:rsid w:val="008C50B3"/>
    <w:rsid w:val="00940F82"/>
    <w:rsid w:val="00982F16"/>
    <w:rsid w:val="009A09BE"/>
    <w:rsid w:val="009A1DDC"/>
    <w:rsid w:val="009B0E35"/>
    <w:rsid w:val="009D77D2"/>
    <w:rsid w:val="00A1277F"/>
    <w:rsid w:val="00A36F9F"/>
    <w:rsid w:val="00A502F5"/>
    <w:rsid w:val="00A664B5"/>
    <w:rsid w:val="00A7757B"/>
    <w:rsid w:val="00AA6B86"/>
    <w:rsid w:val="00AD390C"/>
    <w:rsid w:val="00AE7BD5"/>
    <w:rsid w:val="00AF0F2A"/>
    <w:rsid w:val="00B65381"/>
    <w:rsid w:val="00BA2FA1"/>
    <w:rsid w:val="00BE68D0"/>
    <w:rsid w:val="00BF2A15"/>
    <w:rsid w:val="00BF55A3"/>
    <w:rsid w:val="00C04593"/>
    <w:rsid w:val="00C07B04"/>
    <w:rsid w:val="00C26887"/>
    <w:rsid w:val="00C5183C"/>
    <w:rsid w:val="00CC07C3"/>
    <w:rsid w:val="00CD248A"/>
    <w:rsid w:val="00D12C05"/>
    <w:rsid w:val="00D12FFF"/>
    <w:rsid w:val="00D1647C"/>
    <w:rsid w:val="00D81849"/>
    <w:rsid w:val="00DF3EE3"/>
    <w:rsid w:val="00E2156F"/>
    <w:rsid w:val="00E80D92"/>
    <w:rsid w:val="00E81639"/>
    <w:rsid w:val="00E83BB0"/>
    <w:rsid w:val="00F107F2"/>
    <w:rsid w:val="00F15834"/>
    <w:rsid w:val="00F24180"/>
    <w:rsid w:val="00F25923"/>
    <w:rsid w:val="00F443D4"/>
    <w:rsid w:val="00F46D36"/>
    <w:rsid w:val="00F56B3F"/>
    <w:rsid w:val="00F823D6"/>
    <w:rsid w:val="00F871FC"/>
    <w:rsid w:val="00FD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AA6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26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26887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F24180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F241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24180"/>
  </w:style>
  <w:style w:type="paragraph" w:styleId="Porat">
    <w:name w:val="footer"/>
    <w:basedOn w:val="prastasis"/>
    <w:link w:val="PoratDiagrama"/>
    <w:uiPriority w:val="99"/>
    <w:unhideWhenUsed/>
    <w:rsid w:val="00F241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24180"/>
  </w:style>
  <w:style w:type="character" w:styleId="Komentaronuoroda">
    <w:name w:val="annotation reference"/>
    <w:basedOn w:val="Numatytasispastraiposriftas"/>
    <w:uiPriority w:val="99"/>
    <w:semiHidden/>
    <w:unhideWhenUsed/>
    <w:rsid w:val="00E83BB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83BB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83BB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83BB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83BB0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E2156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AA6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26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26887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F24180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F241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24180"/>
  </w:style>
  <w:style w:type="paragraph" w:styleId="Porat">
    <w:name w:val="footer"/>
    <w:basedOn w:val="prastasis"/>
    <w:link w:val="PoratDiagrama"/>
    <w:uiPriority w:val="99"/>
    <w:unhideWhenUsed/>
    <w:rsid w:val="00F241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24180"/>
  </w:style>
  <w:style w:type="character" w:styleId="Komentaronuoroda">
    <w:name w:val="annotation reference"/>
    <w:basedOn w:val="Numatytasispastraiposriftas"/>
    <w:uiPriority w:val="99"/>
    <w:semiHidden/>
    <w:unhideWhenUsed/>
    <w:rsid w:val="00E83BB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83BB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83BB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83BB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83BB0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E215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BB67F-AD0E-4A75-817C-6FB7E2B2B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7620</Words>
  <Characters>4344</Characters>
  <Application>Microsoft Office Word</Application>
  <DocSecurity>0</DocSecurity>
  <Lines>36</Lines>
  <Paragraphs>23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Greta Ranonytė</dc:creator>
  <cp:lastModifiedBy>Greta Ranonytė</cp:lastModifiedBy>
  <cp:revision>4</cp:revision>
  <dcterms:created xsi:type="dcterms:W3CDTF">2021-03-25T12:34:00Z</dcterms:created>
  <dcterms:modified xsi:type="dcterms:W3CDTF">2021-03-25T12:37:00Z</dcterms:modified>
</cp:coreProperties>
</file>