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B90" w:rsidRPr="00077641" w:rsidRDefault="00EE1216">
      <w:pPr>
        <w:pStyle w:val="BodyA"/>
        <w:jc w:val="center"/>
        <w:rPr>
          <w:rFonts w:hAnsi="Times New Roman" w:cs="Times New Roman"/>
          <w:b/>
          <w:lang w:val="lt-LT"/>
        </w:rPr>
      </w:pPr>
      <w:r w:rsidRPr="00077641">
        <w:rPr>
          <w:rFonts w:hAnsi="Times New Roman" w:cs="Times New Roman"/>
          <w:b/>
          <w:lang w:val="lt-LT"/>
        </w:rPr>
        <w:t xml:space="preserve">ES </w:t>
      </w:r>
      <w:r w:rsidR="00073929">
        <w:rPr>
          <w:rFonts w:hAnsi="Times New Roman" w:cs="Times New Roman"/>
          <w:b/>
          <w:lang w:val="lt-LT"/>
        </w:rPr>
        <w:t xml:space="preserve">TEISINGUMO IR </w:t>
      </w:r>
      <w:r w:rsidR="002C7E0C" w:rsidRPr="00077641">
        <w:rPr>
          <w:rFonts w:hAnsi="Times New Roman" w:cs="Times New Roman"/>
          <w:b/>
          <w:lang w:val="lt-LT"/>
        </w:rPr>
        <w:t xml:space="preserve">VIDAUS REIKALŲ </w:t>
      </w:r>
      <w:r w:rsidR="00D920D6">
        <w:rPr>
          <w:rFonts w:hAnsi="Times New Roman" w:cs="Times New Roman"/>
          <w:b/>
          <w:lang w:val="lt-LT"/>
        </w:rPr>
        <w:t xml:space="preserve">MINISTRŲ </w:t>
      </w:r>
      <w:r w:rsidR="00073929">
        <w:rPr>
          <w:rFonts w:hAnsi="Times New Roman" w:cs="Times New Roman"/>
          <w:b/>
          <w:lang w:val="lt-LT"/>
        </w:rPr>
        <w:t>TARYBA</w:t>
      </w:r>
    </w:p>
    <w:p w:rsidR="004B217F" w:rsidRPr="00077641" w:rsidRDefault="003C4B90">
      <w:pPr>
        <w:pStyle w:val="BodyA"/>
        <w:jc w:val="center"/>
        <w:rPr>
          <w:rFonts w:eastAsia="Times New Roman Bold" w:hAnsi="Times New Roman" w:cs="Times New Roman"/>
          <w:b/>
          <w:lang w:val="lt-LT"/>
        </w:rPr>
      </w:pPr>
      <w:r w:rsidRPr="00077641">
        <w:rPr>
          <w:rFonts w:hAnsi="Times New Roman" w:cs="Times New Roman"/>
          <w:b/>
          <w:lang w:val="lt-LT"/>
        </w:rPr>
        <w:t>202</w:t>
      </w:r>
      <w:r w:rsidR="00D920D6">
        <w:rPr>
          <w:rFonts w:hAnsi="Times New Roman" w:cs="Times New Roman"/>
          <w:b/>
          <w:lang w:val="lt-LT"/>
        </w:rPr>
        <w:t>1</w:t>
      </w:r>
      <w:r w:rsidRPr="00077641">
        <w:rPr>
          <w:rFonts w:hAnsi="Times New Roman" w:cs="Times New Roman"/>
          <w:b/>
          <w:lang w:val="lt-LT"/>
        </w:rPr>
        <w:t xml:space="preserve"> M. </w:t>
      </w:r>
      <w:r w:rsidR="00B40C75">
        <w:rPr>
          <w:rFonts w:hAnsi="Times New Roman" w:cs="Times New Roman"/>
          <w:b/>
          <w:lang w:val="lt-LT"/>
        </w:rPr>
        <w:t>GRUODŽIO</w:t>
      </w:r>
      <w:r w:rsidRPr="00077641">
        <w:rPr>
          <w:rFonts w:hAnsi="Times New Roman" w:cs="Times New Roman"/>
          <w:b/>
          <w:lang w:val="lt-LT"/>
        </w:rPr>
        <w:t xml:space="preserve"> </w:t>
      </w:r>
      <w:r w:rsidR="00B40C75">
        <w:rPr>
          <w:rFonts w:hAnsi="Times New Roman" w:cs="Times New Roman"/>
          <w:b/>
          <w:lang w:val="lt-LT"/>
        </w:rPr>
        <w:t>9-10</w:t>
      </w:r>
      <w:r w:rsidRPr="00077641">
        <w:rPr>
          <w:rFonts w:hAnsi="Times New Roman" w:cs="Times New Roman"/>
          <w:b/>
          <w:lang w:val="lt-LT"/>
        </w:rPr>
        <w:t xml:space="preserve"> D.</w:t>
      </w:r>
    </w:p>
    <w:p w:rsidR="004B217F" w:rsidRDefault="004B217F">
      <w:pPr>
        <w:pStyle w:val="BodyA"/>
        <w:rPr>
          <w:rFonts w:eastAsia="Times New Roman Bold" w:hAnsi="Times New Roman" w:cs="Times New Roman"/>
          <w:lang w:val="lt-LT"/>
        </w:rPr>
      </w:pPr>
    </w:p>
    <w:p w:rsidR="00073929" w:rsidRDefault="00073929">
      <w:pPr>
        <w:pStyle w:val="BodyA"/>
        <w:rPr>
          <w:rFonts w:eastAsia="Times New Roman Bold" w:hAnsi="Times New Roman" w:cs="Times New Roman"/>
          <w:lang w:val="lt-LT"/>
        </w:rPr>
      </w:pPr>
    </w:p>
    <w:tbl>
      <w:tblPr>
        <w:tblStyle w:val="Lentelstinklelis"/>
        <w:tblpPr w:leftFromText="180" w:rightFromText="180" w:vertAnchor="text" w:horzAnchor="page" w:tblpX="1990" w:tblpY="63"/>
        <w:tblW w:w="9067" w:type="dxa"/>
        <w:tblLook w:val="04A0" w:firstRow="1" w:lastRow="0" w:firstColumn="1" w:lastColumn="0" w:noHBand="0" w:noVBand="1"/>
      </w:tblPr>
      <w:tblGrid>
        <w:gridCol w:w="9067"/>
      </w:tblGrid>
      <w:tr w:rsidR="00073929" w:rsidTr="00073929">
        <w:tc>
          <w:tcPr>
            <w:tcW w:w="9067" w:type="dxa"/>
          </w:tcPr>
          <w:p w:rsidR="00073929" w:rsidRPr="00073929" w:rsidRDefault="00073929" w:rsidP="00073929">
            <w:pPr>
              <w:rPr>
                <w:b/>
              </w:rPr>
            </w:pPr>
            <w:r w:rsidRPr="00073929">
              <w:rPr>
                <w:rFonts w:eastAsia="Times New Roman Bold"/>
                <w:b/>
                <w:lang w:val="lt-LT"/>
              </w:rPr>
              <w:t xml:space="preserve">1. </w:t>
            </w:r>
            <w:r w:rsidRPr="00073929">
              <w:rPr>
                <w:b/>
              </w:rPr>
              <w:t xml:space="preserve"> </w:t>
            </w:r>
            <w:r w:rsidR="00C92748">
              <w:t xml:space="preserve"> </w:t>
            </w:r>
            <w:r w:rsidR="00C92748" w:rsidRPr="00C92748">
              <w:rPr>
                <w:b/>
                <w:lang w:val="lt-LT"/>
              </w:rPr>
              <w:t>Direktyva dėl ypati</w:t>
            </w:r>
            <w:r w:rsidR="00C92748">
              <w:rPr>
                <w:b/>
                <w:lang w:val="lt-LT"/>
              </w:rPr>
              <w:t>ngos svarbos subjektų atsparumo</w:t>
            </w:r>
          </w:p>
          <w:p w:rsidR="00073929" w:rsidRPr="00073929" w:rsidRDefault="00073929" w:rsidP="00C308A0">
            <w:pPr>
              <w:pStyle w:val="Sraopastraipa"/>
              <w:numPr>
                <w:ilvl w:val="0"/>
                <w:numId w:val="13"/>
              </w:numPr>
              <w:ind w:hanging="375"/>
              <w:rPr>
                <w:rFonts w:hAnsi="Times New Roman" w:cs="Times New Roman"/>
                <w:lang w:val="lt-LT"/>
              </w:rPr>
            </w:pPr>
            <w:r>
              <w:rPr>
                <w:rFonts w:hAnsi="Times New Roman" w:cs="Times New Roman"/>
                <w:i/>
                <w:lang w:val="lt-LT"/>
              </w:rPr>
              <w:t>P</w:t>
            </w:r>
            <w:r w:rsidR="00C92748">
              <w:rPr>
                <w:rFonts w:hAnsi="Times New Roman" w:cs="Times New Roman"/>
                <w:i/>
                <w:lang w:val="lt-LT"/>
              </w:rPr>
              <w:t>ažangos ataskaita</w:t>
            </w:r>
          </w:p>
          <w:p w:rsidR="00073929" w:rsidRDefault="00073929" w:rsidP="00073929">
            <w:pPr>
              <w:spacing w:after="120"/>
              <w:rPr>
                <w:b/>
                <w:u w:val="single"/>
                <w:lang w:val="lt-LT"/>
              </w:rPr>
            </w:pPr>
            <w:r w:rsidRPr="00077641">
              <w:rPr>
                <w:b/>
                <w:u w:val="single"/>
                <w:lang w:val="lt-LT"/>
              </w:rPr>
              <w:t>Klausimo esmė:</w:t>
            </w:r>
          </w:p>
          <w:p w:rsidR="009F42B8" w:rsidRDefault="009F42B8" w:rsidP="009F42B8">
            <w:pPr>
              <w:spacing w:after="120"/>
              <w:jc w:val="both"/>
              <w:rPr>
                <w:lang w:val="lt-LT"/>
              </w:rPr>
            </w:pPr>
            <w:r w:rsidRPr="009F42B8">
              <w:rPr>
                <w:lang w:val="lt-LT"/>
              </w:rPr>
              <w:t>2020 m. gruodžio 16 d. Komisija priėmė pasiūlymą dėl Direktyvos dėl ypatingos svarbos objektų ats</w:t>
            </w:r>
            <w:r>
              <w:rPr>
                <w:lang w:val="lt-LT"/>
              </w:rPr>
              <w:t>parumo (toliau – CER direktyva)</w:t>
            </w:r>
            <w:r w:rsidRPr="009F42B8">
              <w:rPr>
                <w:lang w:val="lt-LT"/>
              </w:rPr>
              <w:t>, kuria siekiama pakeisti dabartinę Direktyvą dėl Europos ypatingos svarbos infrastruktūros objektų nustatymo ir priskyrimo</w:t>
            </w:r>
            <w:r>
              <w:rPr>
                <w:lang w:val="lt-LT"/>
              </w:rPr>
              <w:t xml:space="preserve"> jiems (toliau – ECI direktyva)</w:t>
            </w:r>
            <w:r w:rsidRPr="009F42B8">
              <w:rPr>
                <w:lang w:val="lt-LT"/>
              </w:rPr>
              <w:t>, nes ją reikia iš esmės pertvarkyti atsižvelgiant į iššūkius, su kuriais šiuo metu susiduria Sąjunga ir jos valstybės narės.</w:t>
            </w:r>
          </w:p>
          <w:p w:rsidR="009F42B8" w:rsidRDefault="009F42B8" w:rsidP="009F42B8">
            <w:pPr>
              <w:spacing w:after="120"/>
              <w:jc w:val="both"/>
              <w:rPr>
                <w:lang w:val="lt-LT"/>
              </w:rPr>
            </w:pPr>
            <w:r w:rsidRPr="009F42B8">
              <w:rPr>
                <w:lang w:val="lt-LT"/>
              </w:rPr>
              <w:t>CER direktyvos</w:t>
            </w:r>
            <w:r>
              <w:rPr>
                <w:lang w:val="lt-LT"/>
              </w:rPr>
              <w:t xml:space="preserve"> </w:t>
            </w:r>
            <w:r w:rsidRPr="009F42B8">
              <w:rPr>
                <w:lang w:val="lt-LT"/>
              </w:rPr>
              <w:t>tikslas – padėti didinti ypatingos svarbos subjektų, kurie eksploatuoja infrastruktūros objektus ir teikia paslaugas, būtinas gyvybiškai svarbioms visuomenės funkcijoms arba ekonominei veiklai, apsaugos ir atsparumo lygį, taip užtikrinant gerą vidaus rinkos veikimą.</w:t>
            </w:r>
          </w:p>
          <w:p w:rsidR="009F42B8" w:rsidRDefault="009F42B8" w:rsidP="009F42B8">
            <w:pPr>
              <w:spacing w:after="120"/>
              <w:jc w:val="both"/>
              <w:rPr>
                <w:lang w:val="lt-LT"/>
              </w:rPr>
            </w:pPr>
            <w:r>
              <w:rPr>
                <w:lang w:val="lt-LT"/>
              </w:rPr>
              <w:t xml:space="preserve">Atsižvelgiant į tai, pasiūlyme dėl CER direktyvos </w:t>
            </w:r>
            <w:r w:rsidRPr="009F42B8">
              <w:rPr>
                <w:lang w:val="lt-LT"/>
              </w:rPr>
              <w:t xml:space="preserve">išplečiama </w:t>
            </w:r>
            <w:r>
              <w:rPr>
                <w:lang w:val="lt-LT"/>
              </w:rPr>
              <w:t xml:space="preserve">jos </w:t>
            </w:r>
            <w:r w:rsidRPr="009F42B8">
              <w:rPr>
                <w:lang w:val="lt-LT"/>
              </w:rPr>
              <w:t xml:space="preserve">taikymo sritis ir didinamas ES </w:t>
            </w:r>
            <w:r>
              <w:rPr>
                <w:lang w:val="lt-LT"/>
              </w:rPr>
              <w:t>įsitraukimas</w:t>
            </w:r>
            <w:r w:rsidRPr="009F42B8">
              <w:rPr>
                <w:lang w:val="lt-LT"/>
              </w:rPr>
              <w:t xml:space="preserve">. Viena vertus, pasiūlymas dėl CER apima 10 sektorių (energetikos, transporto, bankininkystės, finansų rinkos infrastruktūros, sveikatos, geriamojo vandens, nuotekų, skaitmeninės infrastruktūros, viešojo administravimo ir kosmoso), o šiuo metu galiojanti ECI direktyva apima tik du sektorius (transporto ir energetikos). Kita vertus, atsižvelgiant į politikos tendencijas, pasiūlyme akcentuojama </w:t>
            </w:r>
            <w:proofErr w:type="spellStart"/>
            <w:r w:rsidRPr="009F42B8">
              <w:rPr>
                <w:lang w:val="lt-LT"/>
              </w:rPr>
              <w:t>tarpsektorinė</w:t>
            </w:r>
            <w:proofErr w:type="spellEnd"/>
            <w:r w:rsidRPr="009F42B8">
              <w:rPr>
                <w:lang w:val="lt-LT"/>
              </w:rPr>
              <w:t xml:space="preserve"> ir tarpvalstybinė tarpusavio priklausomybė, o dėmesys sutelkiamas į atsparumo aspektus, suprantant, kad fizinė infrastruktūros apsauga yra tik vienas iš elementų greta rizikos prevencijos ir mažinimo, veiklos tęstinumo ir atsigavimo. Naujuoju pasiūlymu taip pat pereinama nuo 2008 m. ECI direktyvoje sutelkto dėmesio į terorizmą prie visų rūšių pavojus apimančio požiūrio, apimančio tiek gaivalines, tiek žmogaus sukeltas nelaimes, nuo kurių gali nukentėti infrastruktūra, išskyrus kibernetines grėsmes, kurios patenka į</w:t>
            </w:r>
            <w:r>
              <w:rPr>
                <w:lang w:val="lt-LT"/>
              </w:rPr>
              <w:t xml:space="preserve"> kito teisėkūros</w:t>
            </w:r>
            <w:r w:rsidRPr="009F42B8">
              <w:rPr>
                <w:lang w:val="lt-LT"/>
              </w:rPr>
              <w:t xml:space="preserve"> pasiūlymo </w:t>
            </w:r>
            <w:r>
              <w:rPr>
                <w:lang w:val="lt-LT"/>
              </w:rPr>
              <w:t>(</w:t>
            </w:r>
            <w:r w:rsidRPr="009F42B8">
              <w:rPr>
                <w:lang w:val="lt-LT"/>
              </w:rPr>
              <w:t>dėl TIS 2 direktyvos</w:t>
            </w:r>
            <w:r>
              <w:rPr>
                <w:lang w:val="lt-LT"/>
              </w:rPr>
              <w:t>)</w:t>
            </w:r>
            <w:r w:rsidRPr="009F42B8">
              <w:rPr>
                <w:lang w:val="lt-LT"/>
              </w:rPr>
              <w:t xml:space="preserve"> taikymo sritį.</w:t>
            </w:r>
          </w:p>
          <w:p w:rsidR="009F42B8" w:rsidRPr="009F42B8" w:rsidRDefault="009F42B8" w:rsidP="009F42B8">
            <w:pPr>
              <w:spacing w:after="120"/>
              <w:jc w:val="both"/>
              <w:rPr>
                <w:lang w:val="lt-LT"/>
              </w:rPr>
            </w:pPr>
            <w:r w:rsidRPr="009F42B8">
              <w:rPr>
                <w:lang w:val="lt-LT"/>
              </w:rPr>
              <w:t>Pirmininkaujanti šalis parengė pažangos ataskaitą, kurioje  apžvelgiama CER direktyvos nagrinėjimo eiga, iki šiol atliktas darbas ir įvertinama dabartinė padėtis. Ataskaita bus pristatyta ES vidaus reikalų ministrams 2021 m. gruodžio 9–10 d. Teisingumo ir vidaus reikalų tarybos posėdyje.</w:t>
            </w:r>
          </w:p>
          <w:p w:rsidR="009F42B8" w:rsidRPr="009F42B8" w:rsidRDefault="009F42B8" w:rsidP="009F42B8">
            <w:pPr>
              <w:jc w:val="both"/>
              <w:rPr>
                <w:lang w:val="lt-LT"/>
              </w:rPr>
            </w:pPr>
            <w:r w:rsidRPr="009F42B8">
              <w:rPr>
                <w:lang w:val="lt-LT"/>
              </w:rPr>
              <w:t xml:space="preserve">Pirmininkaujanti valstybė narė yra įsitikinusi, kad svarstant CER direktyvos pasiūlymą valstybių narių išreikštus susirūpinimą keliančius klausimus galima išspręsti kartu išlaikant ir plataus užmojo tikslą suderinti nacionalinius teisės aktus, didinti ypatingos svarbos subjektų atsparumą ir stiprinti priežiūrą bei vykdymo užtikrinimą. Pirmininkaujanti valstybė narė tikisi, kad netrukus bus galima pasiekti kompromisą, kuriam pritartų didelė </w:t>
            </w:r>
            <w:r>
              <w:rPr>
                <w:lang w:val="lt-LT"/>
              </w:rPr>
              <w:t>valstybių narių</w:t>
            </w:r>
            <w:r w:rsidRPr="009F42B8">
              <w:rPr>
                <w:lang w:val="lt-LT"/>
              </w:rPr>
              <w:t xml:space="preserve"> dauguma, </w:t>
            </w:r>
            <w:r>
              <w:rPr>
                <w:lang w:val="lt-LT"/>
              </w:rPr>
              <w:t xml:space="preserve">todėl </w:t>
            </w:r>
            <w:r w:rsidRPr="009F42B8">
              <w:rPr>
                <w:lang w:val="lt-LT"/>
              </w:rPr>
              <w:t>deda daug pastangų, kad bendras požiūris būtų p</w:t>
            </w:r>
            <w:r>
              <w:rPr>
                <w:lang w:val="lt-LT"/>
              </w:rPr>
              <w:t xml:space="preserve">asiektas dar </w:t>
            </w:r>
            <w:r w:rsidRPr="009F42B8">
              <w:rPr>
                <w:lang w:val="lt-LT"/>
              </w:rPr>
              <w:t>iki</w:t>
            </w:r>
            <w:r>
              <w:rPr>
                <w:lang w:val="lt-LT"/>
              </w:rPr>
              <w:t xml:space="preserve"> šių</w:t>
            </w:r>
            <w:r w:rsidRPr="009F42B8">
              <w:rPr>
                <w:lang w:val="lt-LT"/>
              </w:rPr>
              <w:t xml:space="preserve"> metų pabaigos.</w:t>
            </w:r>
          </w:p>
          <w:p w:rsidR="00073929" w:rsidRDefault="00073929" w:rsidP="009F42B8">
            <w:pPr>
              <w:spacing w:before="120" w:after="120"/>
              <w:rPr>
                <w:b/>
                <w:u w:val="single"/>
                <w:lang w:val="lt-LT"/>
              </w:rPr>
            </w:pPr>
            <w:r w:rsidRPr="00077641">
              <w:rPr>
                <w:b/>
                <w:u w:val="single"/>
                <w:lang w:val="lt-LT"/>
              </w:rPr>
              <w:t>Lietuvos pozicija:</w:t>
            </w:r>
          </w:p>
          <w:p w:rsidR="00477C2F" w:rsidRPr="007C158D" w:rsidRDefault="00087C16" w:rsidP="00DB2EDC">
            <w:pPr>
              <w:pStyle w:val="prastasiniatinklio"/>
              <w:spacing w:before="0" w:beforeAutospacing="0" w:after="120" w:afterAutospacing="0"/>
              <w:jc w:val="both"/>
              <w:rPr>
                <w:rFonts w:ascii="Arial" w:hAnsi="Arial" w:cs="Arial"/>
                <w:color w:val="000000"/>
                <w:sz w:val="18"/>
                <w:szCs w:val="18"/>
              </w:rPr>
            </w:pPr>
            <w:r>
              <w:t>Tai informacinio pobūdžio klausimas, todėl siūloma tik išklausyti pirmininkaujančios šalies informaciją apie pasiektą pažangą ir posėdžio metu nepasisakinėti.</w:t>
            </w:r>
          </w:p>
        </w:tc>
      </w:tr>
    </w:tbl>
    <w:p w:rsidR="00073929" w:rsidRDefault="00073929">
      <w:pPr>
        <w:pStyle w:val="BodyA"/>
        <w:rPr>
          <w:rFonts w:eastAsia="Times New Roman Bold" w:hAnsi="Times New Roman" w:cs="Times New Roman"/>
          <w:lang w:val="lt-LT"/>
        </w:rPr>
      </w:pPr>
    </w:p>
    <w:p w:rsidR="00073929" w:rsidRPr="00077641" w:rsidRDefault="00073929">
      <w:pPr>
        <w:pStyle w:val="BodyA"/>
        <w:rPr>
          <w:rFonts w:eastAsia="Times New Roman Bold"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65002E" w:rsidTr="00946AC6">
        <w:trPr>
          <w:trHeight w:val="9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64C9" w:rsidRPr="00077641" w:rsidRDefault="00073929" w:rsidP="002C67CC">
            <w:pPr>
              <w:pStyle w:val="BodyA"/>
              <w:rPr>
                <w:rFonts w:hAnsi="Times New Roman" w:cs="Times New Roman"/>
                <w:b/>
                <w:lang w:val="lt-LT"/>
              </w:rPr>
            </w:pPr>
            <w:r>
              <w:rPr>
                <w:rFonts w:hAnsi="Times New Roman" w:cs="Times New Roman"/>
                <w:b/>
                <w:lang w:val="lt-LT"/>
              </w:rPr>
              <w:lastRenderedPageBreak/>
              <w:t>2</w:t>
            </w:r>
            <w:r w:rsidR="00EE1216" w:rsidRPr="00077641">
              <w:rPr>
                <w:rFonts w:hAnsi="Times New Roman" w:cs="Times New Roman"/>
                <w:b/>
                <w:lang w:val="lt-LT"/>
              </w:rPr>
              <w:t xml:space="preserve">. </w:t>
            </w:r>
            <w:r w:rsidR="00087C16" w:rsidRPr="00087C16">
              <w:rPr>
                <w:rFonts w:hAnsi="Times New Roman" w:cs="Times New Roman"/>
                <w:b/>
                <w:bCs/>
                <w:lang w:val="lt-LT"/>
              </w:rPr>
              <w:t>Tarybos reglamentas dėl Šengeno ver</w:t>
            </w:r>
            <w:r w:rsidR="00087C16">
              <w:rPr>
                <w:rFonts w:hAnsi="Times New Roman" w:cs="Times New Roman"/>
                <w:b/>
                <w:bCs/>
                <w:lang w:val="lt-LT"/>
              </w:rPr>
              <w:t>tinimo ir stebėsenos mechanizmo</w:t>
            </w:r>
          </w:p>
          <w:p w:rsidR="00087C16" w:rsidRPr="00073929" w:rsidRDefault="00087C16" w:rsidP="00087C16">
            <w:pPr>
              <w:pStyle w:val="Sraopastraipa"/>
              <w:numPr>
                <w:ilvl w:val="0"/>
                <w:numId w:val="13"/>
              </w:numPr>
              <w:ind w:hanging="375"/>
              <w:rPr>
                <w:rFonts w:hAnsi="Times New Roman" w:cs="Times New Roman"/>
                <w:lang w:val="lt-LT"/>
              </w:rPr>
            </w:pPr>
            <w:r>
              <w:rPr>
                <w:rFonts w:hAnsi="Times New Roman" w:cs="Times New Roman"/>
                <w:i/>
                <w:lang w:val="lt-LT"/>
              </w:rPr>
              <w:t>Pažangos ataskaita</w:t>
            </w:r>
          </w:p>
          <w:p w:rsidR="002C67CC" w:rsidRDefault="002C67CC" w:rsidP="0058250F">
            <w:pPr>
              <w:spacing w:after="120"/>
              <w:rPr>
                <w:b/>
                <w:u w:val="single"/>
                <w:lang w:val="lt-LT"/>
              </w:rPr>
            </w:pPr>
            <w:r w:rsidRPr="00077641">
              <w:rPr>
                <w:b/>
                <w:u w:val="single"/>
                <w:lang w:val="lt-LT"/>
              </w:rPr>
              <w:t>Klausimo esmė:</w:t>
            </w:r>
          </w:p>
          <w:p w:rsidR="00EA6718" w:rsidRDefault="00EA6718" w:rsidP="00EA6718">
            <w:pPr>
              <w:spacing w:after="120"/>
              <w:jc w:val="both"/>
              <w:rPr>
                <w:color w:val="000000"/>
                <w:lang w:val="lt-LT"/>
              </w:rPr>
            </w:pPr>
            <w:r w:rsidRPr="00EA6718">
              <w:rPr>
                <w:color w:val="000000"/>
                <w:lang w:val="lt-LT"/>
              </w:rPr>
              <w:t xml:space="preserve">Š. m. birželio 2 d. kartu su komunikatu dėl </w:t>
            </w:r>
            <w:r w:rsidRPr="00EA6718">
              <w:rPr>
                <w:color w:val="414141"/>
                <w:lang w:val="lt-LT"/>
              </w:rPr>
              <w:t xml:space="preserve">Sklandžiai veikiančios ir atsparios Šengeno erdvės strategijos </w:t>
            </w:r>
            <w:r w:rsidRPr="00EA6718">
              <w:rPr>
                <w:color w:val="000000"/>
                <w:lang w:val="lt-LT"/>
              </w:rPr>
              <w:t xml:space="preserve">Europos Komisija pateikė </w:t>
            </w:r>
            <w:r>
              <w:rPr>
                <w:color w:val="000000"/>
                <w:lang w:val="lt-LT"/>
              </w:rPr>
              <w:t xml:space="preserve">ir </w:t>
            </w:r>
            <w:r w:rsidRPr="00EA6718">
              <w:rPr>
                <w:color w:val="000000"/>
                <w:lang w:val="lt-LT"/>
              </w:rPr>
              <w:t xml:space="preserve">teisėkūros pasiūlymą dėl Tarybos Reglamento dėl vertinimo ir stebėsenos, kaip taikoma Šengeno </w:t>
            </w:r>
            <w:proofErr w:type="spellStart"/>
            <w:r w:rsidRPr="00EA6718">
              <w:rPr>
                <w:i/>
                <w:color w:val="000000"/>
                <w:lang w:val="lt-LT"/>
              </w:rPr>
              <w:t>acquis</w:t>
            </w:r>
            <w:proofErr w:type="spellEnd"/>
            <w:r w:rsidRPr="00EA6718">
              <w:rPr>
                <w:color w:val="000000"/>
                <w:lang w:val="lt-LT"/>
              </w:rPr>
              <w:t>, mechanizmo sukūrimo ir veikimo, kuriuo panaikinamas Reglamentas (ES) Nr. 1053/2013</w:t>
            </w:r>
            <w:r>
              <w:rPr>
                <w:color w:val="000000"/>
                <w:lang w:val="lt-LT"/>
              </w:rPr>
              <w:t>.</w:t>
            </w:r>
          </w:p>
          <w:p w:rsidR="00EA6718" w:rsidRPr="00EA6718" w:rsidRDefault="00EA6718" w:rsidP="00EA6718">
            <w:pPr>
              <w:spacing w:after="120"/>
              <w:jc w:val="both"/>
              <w:rPr>
                <w:lang w:val="lt-LT"/>
              </w:rPr>
            </w:pPr>
            <w:r>
              <w:rPr>
                <w:color w:val="000000"/>
                <w:lang w:val="lt-LT"/>
              </w:rPr>
              <w:t xml:space="preserve">Šiuo reglamentu, pakeisiančiu dabar galiojantį, numatoma padidinti </w:t>
            </w:r>
            <w:r w:rsidRPr="00EA6718">
              <w:rPr>
                <w:color w:val="000000"/>
                <w:lang w:val="lt-LT"/>
              </w:rPr>
              <w:t xml:space="preserve">Šengeno vertinimo proceso greitį ir lankstumą bei </w:t>
            </w:r>
            <w:r>
              <w:rPr>
                <w:color w:val="000000"/>
                <w:lang w:val="lt-LT"/>
              </w:rPr>
              <w:t xml:space="preserve">nustatyti </w:t>
            </w:r>
            <w:r w:rsidRPr="00EA6718">
              <w:rPr>
                <w:color w:val="000000"/>
                <w:lang w:val="lt-LT"/>
              </w:rPr>
              <w:t xml:space="preserve">paspartintą procedūrą atvejams, kai vertinimų metu nustatoma labai rimtų trūkumų, dėl kurių gali kilti pavojus visai Šengeno erdvei. Be to, vertinimams Šengeno </w:t>
            </w:r>
            <w:proofErr w:type="spellStart"/>
            <w:r w:rsidRPr="00EA6718">
              <w:rPr>
                <w:i/>
                <w:color w:val="000000"/>
                <w:lang w:val="lt-LT"/>
              </w:rPr>
              <w:t>acquis</w:t>
            </w:r>
            <w:proofErr w:type="spellEnd"/>
            <w:r w:rsidRPr="00EA6718">
              <w:rPr>
                <w:color w:val="000000"/>
                <w:lang w:val="lt-LT"/>
              </w:rPr>
              <w:t xml:space="preserve"> taikymo srityje būtų skiriama daugiau dėmesio politiniu lygmeniu, nes vertinimo rezultatai būtų įtraukiami į kasmetinę ataskaitą apie padėtį Šengeno erdvėje ir aptariami su Europos Parlamentu ir Taryba. Atnaujintas mechanizmas taip pat numato sustiprintą pagrindinių teisių užtikrinimo priežiūrą.</w:t>
            </w:r>
          </w:p>
          <w:p w:rsidR="00EA6718" w:rsidRPr="00EA6718" w:rsidRDefault="00EA6718" w:rsidP="00EA6718">
            <w:pPr>
              <w:spacing w:after="120"/>
              <w:jc w:val="both"/>
              <w:rPr>
                <w:lang w:val="lt-LT"/>
              </w:rPr>
            </w:pPr>
            <w:r w:rsidRPr="00EA6718">
              <w:rPr>
                <w:b/>
                <w:color w:val="000000"/>
                <w:u w:val="single"/>
                <w:lang w:val="lt-LT"/>
              </w:rPr>
              <w:t>Šiuo pasiūlymu siekiama tokių konkrečių tikslų: </w:t>
            </w:r>
          </w:p>
          <w:p w:rsidR="00EA6718" w:rsidRPr="00EA6718" w:rsidRDefault="00EA6718" w:rsidP="00EA6718">
            <w:pPr>
              <w:spacing w:after="120"/>
              <w:jc w:val="both"/>
              <w:rPr>
                <w:lang w:val="lt-LT"/>
              </w:rPr>
            </w:pPr>
            <w:r w:rsidRPr="00EA6718">
              <w:rPr>
                <w:color w:val="000000"/>
                <w:lang w:val="lt-LT"/>
              </w:rPr>
              <w:t>1. Padidinti mechanizmo strateginį fokusavimą ir užtikrinti proporcingesnį bei strategiškesnį įvairių vertinimo ir stebėsenos priemonių naudojimą.</w:t>
            </w:r>
          </w:p>
          <w:p w:rsidR="00EA6718" w:rsidRPr="00EA6718" w:rsidRDefault="00EA6718" w:rsidP="00EA6718">
            <w:pPr>
              <w:spacing w:after="120"/>
              <w:jc w:val="both"/>
              <w:rPr>
                <w:lang w:val="lt-LT"/>
              </w:rPr>
            </w:pPr>
            <w:r w:rsidRPr="00EA6718">
              <w:rPr>
                <w:color w:val="000000"/>
                <w:lang w:val="lt-LT"/>
              </w:rPr>
              <w:t xml:space="preserve">2. Sutrumpinti ir supaprastinti procedūras, kad procesas taptų veiksmingesnis ir efektyvesnis, ir padidinti tarpusavio spaudimą (angl. </w:t>
            </w:r>
            <w:proofErr w:type="spellStart"/>
            <w:r w:rsidRPr="00EA6718">
              <w:rPr>
                <w:color w:val="000000"/>
                <w:lang w:val="lt-LT"/>
              </w:rPr>
              <w:t>peer-pressure</w:t>
            </w:r>
            <w:proofErr w:type="spellEnd"/>
            <w:r w:rsidRPr="00EA6718">
              <w:rPr>
                <w:color w:val="000000"/>
                <w:lang w:val="lt-LT"/>
              </w:rPr>
              <w:t>), kad būtų užtikrinamas spartus rekomendacijų įgyvendinimas.</w:t>
            </w:r>
          </w:p>
          <w:p w:rsidR="00EA6718" w:rsidRPr="00EA6718" w:rsidRDefault="00EA6718" w:rsidP="00EA6718">
            <w:pPr>
              <w:spacing w:after="120"/>
              <w:jc w:val="both"/>
              <w:rPr>
                <w:lang w:val="lt-LT"/>
              </w:rPr>
            </w:pPr>
            <w:r w:rsidRPr="00EA6718">
              <w:rPr>
                <w:color w:val="000000"/>
                <w:lang w:val="lt-LT"/>
              </w:rPr>
              <w:t xml:space="preserve">3. Stiprinti pagrindinių teisių pagal Šengeno </w:t>
            </w:r>
            <w:proofErr w:type="spellStart"/>
            <w:r w:rsidRPr="00EA6718">
              <w:rPr>
                <w:color w:val="000000"/>
                <w:lang w:val="lt-LT"/>
              </w:rPr>
              <w:t>acquis</w:t>
            </w:r>
            <w:proofErr w:type="spellEnd"/>
            <w:r w:rsidRPr="00EA6718">
              <w:rPr>
                <w:color w:val="000000"/>
                <w:lang w:val="lt-LT"/>
              </w:rPr>
              <w:t xml:space="preserve"> laikymosi vertinimą.</w:t>
            </w:r>
          </w:p>
          <w:p w:rsidR="00EA6718" w:rsidRPr="00EA6718" w:rsidRDefault="00EA6718" w:rsidP="00EA6718">
            <w:pPr>
              <w:spacing w:after="120"/>
              <w:jc w:val="both"/>
              <w:rPr>
                <w:lang w:val="lt-LT"/>
              </w:rPr>
            </w:pPr>
            <w:r w:rsidRPr="00EA6718">
              <w:rPr>
                <w:color w:val="000000"/>
                <w:lang w:val="lt-LT"/>
              </w:rPr>
              <w:t>4. Optimizuoti valstybių narių ekspertų dalyvavimą vertinimuose, bendradarbiavimą su Sąjungos įstaigomis, biurais ir agentūromis, taip pat sinergiją su kitais vertinimo ir stebėsenos mechanizmais, kad būtų galima atlikti tikslingesnius, strategiškesnius ir labiau individualiai pritaikytus vertinimus.</w:t>
            </w:r>
          </w:p>
          <w:p w:rsidR="00EA6718" w:rsidRPr="00EA6718" w:rsidRDefault="00EA6718" w:rsidP="00EA6718">
            <w:pPr>
              <w:spacing w:after="120"/>
              <w:jc w:val="both"/>
              <w:rPr>
                <w:color w:val="D70A00" w:themeColor="accent5" w:themeShade="BF"/>
                <w:lang w:val="lt-LT"/>
              </w:rPr>
            </w:pPr>
            <w:r w:rsidRPr="00EA6718">
              <w:rPr>
                <w:color w:val="000000"/>
                <w:lang w:val="lt-LT"/>
              </w:rPr>
              <w:t>Dėl didelio pakeitimų skaičiaus Komisija siūlo panaikinti dabar galiojantį Šengeno vertinimų mechanizmo Reglamentą pakeičiant jį nauju. Todėl pasiūlyme numatyta ambicinga naujojo reglamento įsigaliojimo data – 2022 m. rugsėjo mėnesis. Tai leistų patvirtinti naują daugiametę vertinimų programą 2022 m. lapkritį ir pradėti jos vykdymą nuo 2023 m. sausio jau vadovaujantis nauju reglamentu.</w:t>
            </w:r>
          </w:p>
          <w:p w:rsidR="00EA6718" w:rsidRDefault="00EA6718" w:rsidP="00EA6718">
            <w:pPr>
              <w:spacing w:after="120"/>
              <w:jc w:val="both"/>
              <w:rPr>
                <w:lang w:val="lt-LT"/>
              </w:rPr>
            </w:pPr>
            <w:r w:rsidRPr="00EA6718">
              <w:rPr>
                <w:lang w:val="lt-LT"/>
              </w:rPr>
              <w:t xml:space="preserve">Šio Reglamento svarstymas jau yra gerokai pasistūmėjęs į priekį, </w:t>
            </w:r>
            <w:r>
              <w:rPr>
                <w:lang w:val="lt-LT"/>
              </w:rPr>
              <w:t>tačiau dar reikia surasti kompromisus dėl keleto straipsnių, susijusių su Tarybos vaidmeniu tvirtinant rekomendacijas ir su nacionalinių ekspertų delegavimų į ekspertų rezervą. Taip pat reikia sutarti dėl konstatuojamosios dalies teksto.</w:t>
            </w:r>
            <w:r w:rsidRPr="00EA6718">
              <w:rPr>
                <w:lang w:val="lt-LT"/>
              </w:rPr>
              <w:t xml:space="preserve"> Nuomonę dėl pasiūlymo dar turi pateikti ir Europos Parlamentas, tačiau kadangi tai Tarybos Reglamentas, EP v</w:t>
            </w:r>
            <w:r>
              <w:rPr>
                <w:lang w:val="lt-LT"/>
              </w:rPr>
              <w:t>aidmuo teisėkūros procese yra t</w:t>
            </w:r>
            <w:r w:rsidRPr="00EA6718">
              <w:rPr>
                <w:lang w:val="lt-LT"/>
              </w:rPr>
              <w:t xml:space="preserve">ik patariamasis. Tai leidžia tikėtis, kad Reglamentas bus priimtas </w:t>
            </w:r>
            <w:r>
              <w:rPr>
                <w:lang w:val="lt-LT"/>
              </w:rPr>
              <w:t>jau ateinantį pusmetį.</w:t>
            </w:r>
          </w:p>
          <w:p w:rsidR="00EA6718" w:rsidRPr="00EA6718" w:rsidRDefault="00EA6718" w:rsidP="00EA6718">
            <w:pPr>
              <w:spacing w:after="120"/>
              <w:jc w:val="both"/>
              <w:rPr>
                <w:lang w:val="lt-LT"/>
              </w:rPr>
            </w:pPr>
            <w:r>
              <w:rPr>
                <w:lang w:val="lt-LT"/>
              </w:rPr>
              <w:t xml:space="preserve">Pirmininkaujanti šalis parengs ir </w:t>
            </w:r>
            <w:r w:rsidRPr="009F42B8">
              <w:rPr>
                <w:lang w:val="lt-LT"/>
              </w:rPr>
              <w:t>ministrams 2021 m. gruodžio 9–10 d. Teisingumo ir vidaus reikalų tarybos posėdyje</w:t>
            </w:r>
            <w:r>
              <w:rPr>
                <w:lang w:val="lt-LT"/>
              </w:rPr>
              <w:t xml:space="preserve"> pristatys pažangos ataskaitą, </w:t>
            </w:r>
            <w:r w:rsidRPr="00EA6718">
              <w:rPr>
                <w:lang w:val="lt-LT"/>
              </w:rPr>
              <w:t xml:space="preserve"> </w:t>
            </w:r>
            <w:r w:rsidRPr="009F42B8">
              <w:rPr>
                <w:lang w:val="lt-LT"/>
              </w:rPr>
              <w:t xml:space="preserve">kurioje </w:t>
            </w:r>
            <w:r>
              <w:rPr>
                <w:lang w:val="lt-LT"/>
              </w:rPr>
              <w:t xml:space="preserve">bus </w:t>
            </w:r>
            <w:r w:rsidRPr="009F42B8">
              <w:rPr>
                <w:lang w:val="lt-LT"/>
              </w:rPr>
              <w:t>apžvel</w:t>
            </w:r>
            <w:r>
              <w:rPr>
                <w:lang w:val="lt-LT"/>
              </w:rPr>
              <w:t>gta šio</w:t>
            </w:r>
            <w:r w:rsidRPr="009F42B8">
              <w:rPr>
                <w:lang w:val="lt-LT"/>
              </w:rPr>
              <w:t xml:space="preserve"> </w:t>
            </w:r>
            <w:r>
              <w:rPr>
                <w:lang w:val="lt-LT"/>
              </w:rPr>
              <w:t>Tarybos Reglamento</w:t>
            </w:r>
            <w:r w:rsidRPr="009F42B8">
              <w:rPr>
                <w:lang w:val="lt-LT"/>
              </w:rPr>
              <w:t xml:space="preserve"> nagrinėjimo eiga, iki šiol atliktas darbas ir įvertinama </w:t>
            </w:r>
            <w:r>
              <w:rPr>
                <w:lang w:val="lt-LT"/>
              </w:rPr>
              <w:t>esama</w:t>
            </w:r>
            <w:r w:rsidRPr="009F42B8">
              <w:rPr>
                <w:lang w:val="lt-LT"/>
              </w:rPr>
              <w:t xml:space="preserve"> padėtis.</w:t>
            </w:r>
          </w:p>
          <w:p w:rsidR="00BB54D1" w:rsidRPr="00DB2EDC" w:rsidRDefault="002C67CC" w:rsidP="00A101C3">
            <w:pPr>
              <w:spacing w:before="120" w:after="120"/>
              <w:rPr>
                <w:b/>
                <w:u w:val="single"/>
                <w:lang w:val="lt-LT"/>
              </w:rPr>
            </w:pPr>
            <w:r w:rsidRPr="00DB2EDC">
              <w:rPr>
                <w:b/>
                <w:u w:val="single"/>
                <w:lang w:val="lt-LT"/>
              </w:rPr>
              <w:t>Lietuvos pozicija:</w:t>
            </w:r>
          </w:p>
          <w:p w:rsidR="005B7EF8" w:rsidRPr="00D11EAE" w:rsidRDefault="00087C16" w:rsidP="00087C16">
            <w:pPr>
              <w:pStyle w:val="prastasiniatinklio"/>
              <w:spacing w:before="0" w:beforeAutospacing="0" w:after="0" w:afterAutospacing="0"/>
              <w:rPr>
                <w:rFonts w:ascii="Arial" w:hAnsi="Arial" w:cs="Arial"/>
                <w:color w:val="000000"/>
                <w:sz w:val="18"/>
                <w:szCs w:val="18"/>
              </w:rPr>
            </w:pPr>
            <w:r>
              <w:t>Tai informacinio pobūdžio klausimas, todėl siūloma tik išklausyti pirmininkaujančios šalies informaciją apie pasiektą pažangą ir posėdžio metu nepasisakinėti.</w:t>
            </w:r>
          </w:p>
        </w:tc>
      </w:tr>
    </w:tbl>
    <w:p w:rsidR="004B217F" w:rsidRPr="00077641" w:rsidRDefault="004B217F">
      <w:pPr>
        <w:pStyle w:val="BodyA"/>
        <w:rPr>
          <w:rFonts w:eastAsia="Times New Roman Bold"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1C0AB5" w:rsidTr="00946AC6">
        <w:trPr>
          <w:trHeight w:val="6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073929" w:rsidRPr="00073929" w:rsidRDefault="00073929" w:rsidP="00073929">
            <w:pPr>
              <w:rPr>
                <w:b/>
                <w:lang w:val="lt-LT"/>
              </w:rPr>
            </w:pPr>
            <w:r>
              <w:rPr>
                <w:b/>
                <w:lang w:val="lt-LT"/>
              </w:rPr>
              <w:lastRenderedPageBreak/>
              <w:t>3</w:t>
            </w:r>
            <w:r w:rsidRPr="00073929">
              <w:rPr>
                <w:b/>
                <w:lang w:val="lt-LT"/>
              </w:rPr>
              <w:t xml:space="preserve">. </w:t>
            </w:r>
            <w:r w:rsidR="00087C16" w:rsidRPr="00087C16">
              <w:rPr>
                <w:b/>
                <w:lang w:val="lt-LT"/>
              </w:rPr>
              <w:t xml:space="preserve">Išvados dėl būtinų Šengeno </w:t>
            </w:r>
            <w:proofErr w:type="spellStart"/>
            <w:r w:rsidR="00087C16" w:rsidRPr="00087C16">
              <w:rPr>
                <w:b/>
                <w:lang w:val="lt-LT"/>
              </w:rPr>
              <w:t>acquis</w:t>
            </w:r>
            <w:proofErr w:type="spellEnd"/>
            <w:r w:rsidR="00087C16" w:rsidRPr="00087C16">
              <w:rPr>
                <w:b/>
                <w:lang w:val="lt-LT"/>
              </w:rPr>
              <w:t xml:space="preserve"> visapusiško tai</w:t>
            </w:r>
            <w:r w:rsidR="00087C16">
              <w:rPr>
                <w:b/>
                <w:lang w:val="lt-LT"/>
              </w:rPr>
              <w:t>kymo Kroatijoje sąlygų įvykdymo</w:t>
            </w:r>
          </w:p>
          <w:p w:rsidR="002C67CC" w:rsidRPr="005C468E" w:rsidRDefault="005C468E" w:rsidP="005C468E">
            <w:pPr>
              <w:pStyle w:val="Sraopastraipa"/>
              <w:numPr>
                <w:ilvl w:val="0"/>
                <w:numId w:val="13"/>
              </w:numPr>
              <w:spacing w:line="240" w:lineRule="auto"/>
              <w:ind w:left="486" w:hanging="375"/>
              <w:rPr>
                <w:rFonts w:hAnsi="Times New Roman" w:cs="Times New Roman"/>
                <w:i/>
                <w:lang w:val="lt-LT"/>
              </w:rPr>
            </w:pPr>
            <w:r w:rsidRPr="005C468E">
              <w:rPr>
                <w:rFonts w:hAnsi="Times New Roman" w:cs="Times New Roman"/>
                <w:i/>
                <w:lang w:val="lt-LT"/>
              </w:rPr>
              <w:t>P</w:t>
            </w:r>
            <w:r w:rsidR="00087C16">
              <w:rPr>
                <w:rFonts w:hAnsi="Times New Roman" w:cs="Times New Roman"/>
                <w:i/>
                <w:lang w:val="lt-LT"/>
              </w:rPr>
              <w:t>atvirtinimas</w:t>
            </w:r>
          </w:p>
          <w:p w:rsidR="00A82DF1" w:rsidRDefault="00EE1216" w:rsidP="00080285">
            <w:pPr>
              <w:pStyle w:val="BodyA"/>
              <w:tabs>
                <w:tab w:val="left" w:pos="-222"/>
              </w:tabs>
              <w:spacing w:after="120"/>
              <w:ind w:hanging="221"/>
              <w:rPr>
                <w:rFonts w:hAnsi="Times New Roman" w:cs="Times New Roman"/>
                <w:b/>
                <w:u w:val="single"/>
                <w:lang w:val="lt-LT"/>
              </w:rPr>
            </w:pPr>
            <w:r w:rsidRPr="00077641">
              <w:rPr>
                <w:rFonts w:hAnsi="Times New Roman" w:cs="Times New Roman"/>
                <w:b/>
                <w:u w:val="single"/>
                <w:lang w:val="lt-LT"/>
              </w:rPr>
              <w:t>Klausimo esmė</w:t>
            </w:r>
            <w:r w:rsidR="002C67CC" w:rsidRPr="00077641">
              <w:rPr>
                <w:rFonts w:hAnsi="Times New Roman" w:cs="Times New Roman"/>
                <w:b/>
                <w:u w:val="single"/>
                <w:lang w:val="lt-LT"/>
              </w:rPr>
              <w:t>:</w:t>
            </w:r>
          </w:p>
          <w:p w:rsidR="00C916D4" w:rsidRPr="00C916D4" w:rsidRDefault="00C916D4" w:rsidP="00C916D4">
            <w:pPr>
              <w:pStyle w:val="BodyA"/>
              <w:tabs>
                <w:tab w:val="left" w:pos="-222"/>
              </w:tabs>
              <w:spacing w:after="120"/>
              <w:ind w:left="-222" w:firstLine="1"/>
              <w:jc w:val="both"/>
              <w:rPr>
                <w:rFonts w:hAnsi="Times New Roman" w:cs="Times New Roman"/>
                <w:lang w:val="lt-LT"/>
              </w:rPr>
            </w:pPr>
            <w:r w:rsidRPr="00C916D4">
              <w:rPr>
                <w:rFonts w:hAnsi="Times New Roman" w:cs="Times New Roman"/>
                <w:lang w:val="lt-LT"/>
              </w:rPr>
              <w:t xml:space="preserve">Kroatijai Šengeno </w:t>
            </w:r>
            <w:proofErr w:type="spellStart"/>
            <w:r w:rsidRPr="00C916D4">
              <w:rPr>
                <w:rFonts w:hAnsi="Times New Roman" w:cs="Times New Roman"/>
                <w:lang w:val="lt-LT"/>
              </w:rPr>
              <w:t>acquis</w:t>
            </w:r>
            <w:proofErr w:type="spellEnd"/>
            <w:r w:rsidRPr="00C916D4">
              <w:rPr>
                <w:rFonts w:hAnsi="Times New Roman" w:cs="Times New Roman"/>
                <w:lang w:val="lt-LT"/>
              </w:rPr>
              <w:t xml:space="preserve"> yra privaloma nuo jos įstojimo į ES dienos. Kroatija </w:t>
            </w:r>
            <w:r>
              <w:rPr>
                <w:rFonts w:hAnsi="Times New Roman" w:cs="Times New Roman"/>
                <w:lang w:val="lt-LT"/>
              </w:rPr>
              <w:t xml:space="preserve">jau </w:t>
            </w:r>
            <w:r w:rsidRPr="00C916D4">
              <w:rPr>
                <w:rFonts w:hAnsi="Times New Roman" w:cs="Times New Roman"/>
                <w:lang w:val="lt-LT"/>
              </w:rPr>
              <w:t xml:space="preserve">taiko visą Šengeno </w:t>
            </w:r>
            <w:proofErr w:type="spellStart"/>
            <w:r w:rsidRPr="00C916D4">
              <w:rPr>
                <w:rFonts w:hAnsi="Times New Roman" w:cs="Times New Roman"/>
                <w:i/>
                <w:lang w:val="lt-LT"/>
              </w:rPr>
              <w:t>acquis</w:t>
            </w:r>
            <w:proofErr w:type="spellEnd"/>
            <w:r w:rsidRPr="00C916D4">
              <w:rPr>
                <w:rFonts w:hAnsi="Times New Roman" w:cs="Times New Roman"/>
                <w:lang w:val="lt-LT"/>
              </w:rPr>
              <w:t>, išskyrus nuostatas dėl vidaus sienų kontrolės panaikinimo. Pagal Kroatijos stojimo aktą (4 str</w:t>
            </w:r>
            <w:r>
              <w:rPr>
                <w:rFonts w:hAnsi="Times New Roman" w:cs="Times New Roman"/>
                <w:lang w:val="lt-LT"/>
              </w:rPr>
              <w:t>.</w:t>
            </w:r>
            <w:r w:rsidRPr="00C916D4">
              <w:rPr>
                <w:rFonts w:hAnsi="Times New Roman" w:cs="Times New Roman"/>
                <w:lang w:val="lt-LT"/>
              </w:rPr>
              <w:t xml:space="preserve"> 2 dalį) Šengeno </w:t>
            </w:r>
            <w:proofErr w:type="spellStart"/>
            <w:r w:rsidRPr="00C916D4">
              <w:rPr>
                <w:rFonts w:hAnsi="Times New Roman" w:cs="Times New Roman"/>
                <w:lang w:val="lt-LT"/>
              </w:rPr>
              <w:t>acquis</w:t>
            </w:r>
            <w:proofErr w:type="spellEnd"/>
            <w:r w:rsidRPr="00C916D4">
              <w:rPr>
                <w:rFonts w:hAnsi="Times New Roman" w:cs="Times New Roman"/>
                <w:lang w:val="lt-LT"/>
              </w:rPr>
              <w:t xml:space="preserve"> Kroatijoje bus pradėtas taikyti visa apimtimi pagal atitinkamą Tarybos sprendimą, prieš tai patikrinus pagal Šengeno vertinimo procedūras, ar Kroatija atitinka </w:t>
            </w:r>
            <w:r>
              <w:rPr>
                <w:rFonts w:hAnsi="Times New Roman" w:cs="Times New Roman"/>
                <w:lang w:val="lt-LT"/>
              </w:rPr>
              <w:t xml:space="preserve">visas </w:t>
            </w:r>
            <w:r w:rsidRPr="00C916D4">
              <w:rPr>
                <w:rFonts w:hAnsi="Times New Roman" w:cs="Times New Roman"/>
                <w:lang w:val="lt-LT"/>
              </w:rPr>
              <w:t>šio visapusiško taikymo sąlygas. Taryba</w:t>
            </w:r>
            <w:r>
              <w:rPr>
                <w:rFonts w:hAnsi="Times New Roman" w:cs="Times New Roman"/>
                <w:lang w:val="lt-LT"/>
              </w:rPr>
              <w:t>,</w:t>
            </w:r>
            <w:r w:rsidRPr="00C916D4">
              <w:rPr>
                <w:rFonts w:hAnsi="Times New Roman" w:cs="Times New Roman"/>
                <w:lang w:val="lt-LT"/>
              </w:rPr>
              <w:t xml:space="preserve"> priim</w:t>
            </w:r>
            <w:r>
              <w:rPr>
                <w:rFonts w:hAnsi="Times New Roman" w:cs="Times New Roman"/>
                <w:lang w:val="lt-LT"/>
              </w:rPr>
              <w:t>dam</w:t>
            </w:r>
            <w:r w:rsidRPr="00C916D4">
              <w:rPr>
                <w:rFonts w:hAnsi="Times New Roman" w:cs="Times New Roman"/>
                <w:lang w:val="lt-LT"/>
              </w:rPr>
              <w:t>a</w:t>
            </w:r>
            <w:r>
              <w:rPr>
                <w:rFonts w:hAnsi="Times New Roman" w:cs="Times New Roman"/>
                <w:lang w:val="lt-LT"/>
              </w:rPr>
              <w:t xml:space="preserve"> tokį</w:t>
            </w:r>
            <w:r w:rsidRPr="00C916D4">
              <w:rPr>
                <w:rFonts w:hAnsi="Times New Roman" w:cs="Times New Roman"/>
                <w:lang w:val="lt-LT"/>
              </w:rPr>
              <w:t xml:space="preserve"> sprendimą</w:t>
            </w:r>
            <w:r>
              <w:rPr>
                <w:rFonts w:hAnsi="Times New Roman" w:cs="Times New Roman"/>
                <w:lang w:val="lt-LT"/>
              </w:rPr>
              <w:t>,</w:t>
            </w:r>
            <w:r w:rsidRPr="00C916D4">
              <w:rPr>
                <w:rFonts w:hAnsi="Times New Roman" w:cs="Times New Roman"/>
                <w:lang w:val="lt-LT"/>
              </w:rPr>
              <w:t xml:space="preserve"> </w:t>
            </w:r>
            <w:r>
              <w:rPr>
                <w:rFonts w:hAnsi="Times New Roman" w:cs="Times New Roman"/>
                <w:lang w:val="lt-LT"/>
              </w:rPr>
              <w:t xml:space="preserve">turi </w:t>
            </w:r>
            <w:r w:rsidRPr="00C916D4">
              <w:rPr>
                <w:rFonts w:hAnsi="Times New Roman" w:cs="Times New Roman"/>
                <w:lang w:val="lt-LT"/>
              </w:rPr>
              <w:t>konsul</w:t>
            </w:r>
            <w:r>
              <w:rPr>
                <w:rFonts w:hAnsi="Times New Roman" w:cs="Times New Roman"/>
                <w:lang w:val="lt-LT"/>
              </w:rPr>
              <w:t>tuotis ir</w:t>
            </w:r>
            <w:r w:rsidRPr="00C916D4">
              <w:rPr>
                <w:rFonts w:hAnsi="Times New Roman" w:cs="Times New Roman"/>
                <w:lang w:val="lt-LT"/>
              </w:rPr>
              <w:t xml:space="preserve"> su Europos Parlamentu. </w:t>
            </w:r>
          </w:p>
          <w:p w:rsidR="00C916D4" w:rsidRDefault="00C916D4" w:rsidP="00C916D4">
            <w:pPr>
              <w:pStyle w:val="BodyA"/>
              <w:tabs>
                <w:tab w:val="left" w:pos="-222"/>
              </w:tabs>
              <w:spacing w:after="120"/>
              <w:ind w:left="-222" w:firstLine="1"/>
              <w:jc w:val="both"/>
              <w:rPr>
                <w:rFonts w:hAnsi="Times New Roman" w:cs="Times New Roman"/>
                <w:lang w:val="lt-LT"/>
              </w:rPr>
            </w:pPr>
            <w:r w:rsidRPr="00C916D4">
              <w:rPr>
                <w:rFonts w:hAnsi="Times New Roman" w:cs="Times New Roman"/>
                <w:lang w:val="lt-LT"/>
              </w:rPr>
              <w:t xml:space="preserve">Šengeno </w:t>
            </w:r>
            <w:proofErr w:type="spellStart"/>
            <w:r w:rsidRPr="00C916D4">
              <w:rPr>
                <w:rFonts w:hAnsi="Times New Roman" w:cs="Times New Roman"/>
                <w:i/>
                <w:lang w:val="lt-LT"/>
              </w:rPr>
              <w:t>acquis</w:t>
            </w:r>
            <w:proofErr w:type="spellEnd"/>
            <w:r w:rsidRPr="00C916D4">
              <w:rPr>
                <w:rFonts w:hAnsi="Times New Roman" w:cs="Times New Roman"/>
                <w:lang w:val="lt-LT"/>
              </w:rPr>
              <w:t xml:space="preserve"> taikymo Kroatijoje vertinimas buvo atliktas 2016–2020 m. po to, kai Kroatija 2015 m. raštu pareiškė esanti pasirengusi pradėti Šengeno vertinimo procesą visose srityse. 2019 m. spalio 22 d. Europos Komisija paskelbė Komunikatą dėl tikrinimo, ar Kroatija visapusiškai taiko Šengeno </w:t>
            </w:r>
            <w:proofErr w:type="spellStart"/>
            <w:r w:rsidRPr="00C916D4">
              <w:rPr>
                <w:rFonts w:hAnsi="Times New Roman" w:cs="Times New Roman"/>
                <w:i/>
                <w:lang w:val="lt-LT"/>
              </w:rPr>
              <w:t>acquis</w:t>
            </w:r>
            <w:proofErr w:type="spellEnd"/>
            <w:r w:rsidRPr="00C916D4">
              <w:rPr>
                <w:rFonts w:hAnsi="Times New Roman" w:cs="Times New Roman"/>
                <w:lang w:val="lt-LT"/>
              </w:rPr>
              <w:t xml:space="preserve">, </w:t>
            </w:r>
            <w:r>
              <w:rPr>
                <w:rFonts w:hAnsi="Times New Roman" w:cs="Times New Roman"/>
                <w:lang w:val="lt-LT"/>
              </w:rPr>
              <w:t>kuriame</w:t>
            </w:r>
            <w:r w:rsidRPr="00C916D4">
              <w:rPr>
                <w:rFonts w:hAnsi="Times New Roman" w:cs="Times New Roman"/>
                <w:lang w:val="lt-LT"/>
              </w:rPr>
              <w:t xml:space="preserve"> padarė išvadą, kad „Komisija mano, jog Kroatija ėmėsi priemonių, būtinų užtikrinti, kad būtų įvykdytos būtinos sąlygos visoms atitinkamoms Šengeno </w:t>
            </w:r>
            <w:proofErr w:type="spellStart"/>
            <w:r w:rsidRPr="00C916D4">
              <w:rPr>
                <w:rFonts w:hAnsi="Times New Roman" w:cs="Times New Roman"/>
                <w:i/>
                <w:lang w:val="lt-LT"/>
              </w:rPr>
              <w:t>acquis</w:t>
            </w:r>
            <w:proofErr w:type="spellEnd"/>
            <w:r w:rsidRPr="00C916D4">
              <w:rPr>
                <w:rFonts w:hAnsi="Times New Roman" w:cs="Times New Roman"/>
                <w:lang w:val="lt-LT"/>
              </w:rPr>
              <w:t xml:space="preserve"> dalims taikyti“. Komisija uždarė Kroatijos veiksmų planus</w:t>
            </w:r>
            <w:r>
              <w:rPr>
                <w:rFonts w:hAnsi="Times New Roman" w:cs="Times New Roman"/>
                <w:lang w:val="lt-LT"/>
              </w:rPr>
              <w:t xml:space="preserve"> </w:t>
            </w:r>
            <w:r w:rsidRPr="00C916D4">
              <w:rPr>
                <w:rFonts w:hAnsi="Times New Roman" w:cs="Times New Roman"/>
                <w:lang w:val="lt-LT"/>
              </w:rPr>
              <w:t>vis</w:t>
            </w:r>
            <w:r>
              <w:rPr>
                <w:rFonts w:hAnsi="Times New Roman" w:cs="Times New Roman"/>
                <w:lang w:val="lt-LT"/>
              </w:rPr>
              <w:t>ose</w:t>
            </w:r>
            <w:r w:rsidRPr="00C916D4">
              <w:rPr>
                <w:rFonts w:hAnsi="Times New Roman" w:cs="Times New Roman"/>
                <w:lang w:val="lt-LT"/>
              </w:rPr>
              <w:t xml:space="preserve"> </w:t>
            </w:r>
            <w:proofErr w:type="spellStart"/>
            <w:r w:rsidRPr="00C916D4">
              <w:rPr>
                <w:rFonts w:hAnsi="Times New Roman" w:cs="Times New Roman"/>
                <w:lang w:val="lt-LT"/>
              </w:rPr>
              <w:t>vertinam</w:t>
            </w:r>
            <w:r>
              <w:rPr>
                <w:rFonts w:hAnsi="Times New Roman" w:cs="Times New Roman"/>
                <w:lang w:val="lt-LT"/>
              </w:rPr>
              <w:t>amose</w:t>
            </w:r>
            <w:proofErr w:type="spellEnd"/>
            <w:r w:rsidRPr="00C916D4">
              <w:rPr>
                <w:rFonts w:hAnsi="Times New Roman" w:cs="Times New Roman"/>
                <w:lang w:val="lt-LT"/>
              </w:rPr>
              <w:t xml:space="preserve"> sri</w:t>
            </w:r>
            <w:r>
              <w:rPr>
                <w:rFonts w:hAnsi="Times New Roman" w:cs="Times New Roman"/>
                <w:lang w:val="lt-LT"/>
              </w:rPr>
              <w:t>tyse</w:t>
            </w:r>
            <w:r w:rsidRPr="00C916D4">
              <w:rPr>
                <w:rFonts w:hAnsi="Times New Roman" w:cs="Times New Roman"/>
                <w:lang w:val="lt-LT"/>
              </w:rPr>
              <w:t>; paskutinis veiksmų planas baigtas įgyvendinti 2021 m. vasario mėn. Komisija informavo Tarybą apie jo užbaigimą 2021 m. kovo mėn. TVR tarybos posėdyje.</w:t>
            </w:r>
          </w:p>
          <w:p w:rsidR="00C916D4" w:rsidRDefault="00C916D4" w:rsidP="00C916D4">
            <w:pPr>
              <w:pStyle w:val="BodyA"/>
              <w:tabs>
                <w:tab w:val="left" w:pos="-222"/>
              </w:tabs>
              <w:spacing w:after="120"/>
              <w:ind w:left="-222" w:firstLine="1"/>
              <w:jc w:val="both"/>
              <w:rPr>
                <w:rFonts w:hAnsi="Times New Roman" w:cs="Times New Roman"/>
                <w:lang w:val="lt-LT"/>
              </w:rPr>
            </w:pPr>
            <w:r>
              <w:rPr>
                <w:rFonts w:hAnsi="Times New Roman" w:cs="Times New Roman"/>
                <w:lang w:val="lt-LT"/>
              </w:rPr>
              <w:t>P</w:t>
            </w:r>
            <w:r w:rsidRPr="00C916D4">
              <w:rPr>
                <w:rFonts w:hAnsi="Times New Roman" w:cs="Times New Roman"/>
                <w:lang w:val="lt-LT"/>
              </w:rPr>
              <w:t xml:space="preserve">atvirtinimas, kurį Taryba atlieka priimdama </w:t>
            </w:r>
            <w:r>
              <w:rPr>
                <w:rFonts w:hAnsi="Times New Roman" w:cs="Times New Roman"/>
                <w:lang w:val="lt-LT"/>
              </w:rPr>
              <w:t xml:space="preserve">šias </w:t>
            </w:r>
            <w:r w:rsidRPr="00C916D4">
              <w:rPr>
                <w:rFonts w:hAnsi="Times New Roman" w:cs="Times New Roman"/>
                <w:lang w:val="lt-LT"/>
              </w:rPr>
              <w:t xml:space="preserve">išvadas dėl </w:t>
            </w:r>
            <w:r>
              <w:rPr>
                <w:rFonts w:hAnsi="Times New Roman" w:cs="Times New Roman"/>
                <w:lang w:val="lt-LT"/>
              </w:rPr>
              <w:t xml:space="preserve">sąlygų, būtinų visapusiškam </w:t>
            </w:r>
            <w:r w:rsidRPr="00C916D4">
              <w:rPr>
                <w:rFonts w:hAnsi="Times New Roman" w:cs="Times New Roman"/>
                <w:lang w:val="lt-LT"/>
              </w:rPr>
              <w:t xml:space="preserve">Šengeno </w:t>
            </w:r>
            <w:proofErr w:type="spellStart"/>
            <w:r w:rsidRPr="00C916D4">
              <w:rPr>
                <w:rFonts w:hAnsi="Times New Roman" w:cs="Times New Roman"/>
                <w:i/>
                <w:lang w:val="lt-LT"/>
              </w:rPr>
              <w:t>acquis</w:t>
            </w:r>
            <w:proofErr w:type="spellEnd"/>
            <w:r w:rsidRPr="00C916D4">
              <w:rPr>
                <w:rFonts w:hAnsi="Times New Roman" w:cs="Times New Roman"/>
                <w:i/>
                <w:lang w:val="lt-LT"/>
              </w:rPr>
              <w:t xml:space="preserve"> </w:t>
            </w:r>
            <w:r w:rsidRPr="00C916D4">
              <w:rPr>
                <w:rFonts w:hAnsi="Times New Roman" w:cs="Times New Roman"/>
                <w:lang w:val="lt-LT"/>
              </w:rPr>
              <w:t>taikym</w:t>
            </w:r>
            <w:r>
              <w:rPr>
                <w:rFonts w:hAnsi="Times New Roman" w:cs="Times New Roman"/>
                <w:lang w:val="lt-LT"/>
              </w:rPr>
              <w:t>ui</w:t>
            </w:r>
            <w:r w:rsidRPr="00C916D4">
              <w:rPr>
                <w:rFonts w:hAnsi="Times New Roman" w:cs="Times New Roman"/>
                <w:lang w:val="lt-LT"/>
              </w:rPr>
              <w:t xml:space="preserve"> Kroatijoje įvykdymo, yra būtinas procedūrinis žingsnis siekiant priimti Tarybos sprendimą dėl Šengeno </w:t>
            </w:r>
            <w:proofErr w:type="spellStart"/>
            <w:r w:rsidRPr="00C916D4">
              <w:rPr>
                <w:rFonts w:hAnsi="Times New Roman" w:cs="Times New Roman"/>
                <w:i/>
                <w:lang w:val="lt-LT"/>
              </w:rPr>
              <w:t>acquis</w:t>
            </w:r>
            <w:proofErr w:type="spellEnd"/>
            <w:r w:rsidRPr="00C916D4">
              <w:rPr>
                <w:rFonts w:hAnsi="Times New Roman" w:cs="Times New Roman"/>
                <w:lang w:val="lt-LT"/>
              </w:rPr>
              <w:t xml:space="preserve"> </w:t>
            </w:r>
            <w:r>
              <w:rPr>
                <w:rFonts w:hAnsi="Times New Roman" w:cs="Times New Roman"/>
                <w:lang w:val="lt-LT"/>
              </w:rPr>
              <w:t xml:space="preserve">visapusiško taikymo Kroatijoje ir kontrolės prie jos vidaus sienų panaikinimo. </w:t>
            </w:r>
          </w:p>
          <w:p w:rsidR="00C916D4" w:rsidRDefault="00C916D4" w:rsidP="00C916D4">
            <w:pPr>
              <w:pStyle w:val="BodyA"/>
              <w:tabs>
                <w:tab w:val="left" w:pos="-222"/>
              </w:tabs>
              <w:spacing w:after="120"/>
              <w:ind w:left="-222" w:firstLine="1"/>
              <w:jc w:val="both"/>
              <w:rPr>
                <w:rFonts w:hAnsi="Times New Roman" w:cs="Times New Roman"/>
                <w:lang w:val="lt-LT"/>
              </w:rPr>
            </w:pPr>
            <w:r>
              <w:rPr>
                <w:rFonts w:hAnsi="Times New Roman" w:cs="Times New Roman"/>
                <w:lang w:val="lt-LT"/>
              </w:rPr>
              <w:t>Šių Tarybos išvadų tikslas - nustatyti</w:t>
            </w:r>
            <w:r w:rsidRPr="00C916D4">
              <w:rPr>
                <w:rFonts w:hAnsi="Times New Roman" w:cs="Times New Roman"/>
                <w:lang w:val="lt-LT"/>
              </w:rPr>
              <w:t xml:space="preserve">, jog Kroatija, kuriai </w:t>
            </w:r>
            <w:r>
              <w:rPr>
                <w:rFonts w:hAnsi="Times New Roman" w:cs="Times New Roman"/>
                <w:lang w:val="lt-LT"/>
              </w:rPr>
              <w:t>atlikta</w:t>
            </w:r>
            <w:r w:rsidRPr="00C916D4">
              <w:rPr>
                <w:rFonts w:hAnsi="Times New Roman" w:cs="Times New Roman"/>
                <w:lang w:val="lt-LT"/>
              </w:rPr>
              <w:t xml:space="preserve"> visapusiško įvertinimo pr</w:t>
            </w:r>
            <w:r>
              <w:rPr>
                <w:rFonts w:hAnsi="Times New Roman" w:cs="Times New Roman"/>
                <w:lang w:val="lt-LT"/>
              </w:rPr>
              <w:t>ocedūra, jau atitinka visas sąlygas</w:t>
            </w:r>
            <w:r w:rsidRPr="00C916D4">
              <w:rPr>
                <w:rFonts w:hAnsi="Times New Roman" w:cs="Times New Roman"/>
                <w:lang w:val="lt-LT"/>
              </w:rPr>
              <w:t xml:space="preserve">, kad Taryba galėtų priimti Kroatijos stojimo akto </w:t>
            </w:r>
            <w:r>
              <w:rPr>
                <w:rFonts w:hAnsi="Times New Roman" w:cs="Times New Roman"/>
                <w:lang w:val="lt-LT"/>
              </w:rPr>
              <w:t>(</w:t>
            </w:r>
            <w:r w:rsidRPr="00C916D4">
              <w:rPr>
                <w:rFonts w:hAnsi="Times New Roman" w:cs="Times New Roman"/>
                <w:lang w:val="lt-LT"/>
              </w:rPr>
              <w:t>4 str</w:t>
            </w:r>
            <w:r>
              <w:rPr>
                <w:rFonts w:hAnsi="Times New Roman" w:cs="Times New Roman"/>
                <w:lang w:val="lt-LT"/>
              </w:rPr>
              <w:t>.</w:t>
            </w:r>
            <w:r w:rsidRPr="00C916D4">
              <w:rPr>
                <w:rFonts w:hAnsi="Times New Roman" w:cs="Times New Roman"/>
                <w:lang w:val="lt-LT"/>
              </w:rPr>
              <w:t xml:space="preserve"> 2 dalyje</w:t>
            </w:r>
            <w:r>
              <w:rPr>
                <w:rFonts w:hAnsi="Times New Roman" w:cs="Times New Roman"/>
                <w:lang w:val="lt-LT"/>
              </w:rPr>
              <w:t>)</w:t>
            </w:r>
            <w:r w:rsidRPr="00C916D4">
              <w:rPr>
                <w:rFonts w:hAnsi="Times New Roman" w:cs="Times New Roman"/>
                <w:lang w:val="lt-LT"/>
              </w:rPr>
              <w:t xml:space="preserve"> nurodytą sprendimą, kuriuo leidžiama panaikinti vidaus sienų kontrolę.</w:t>
            </w:r>
          </w:p>
          <w:p w:rsidR="00C916D4" w:rsidRPr="00C916D4" w:rsidRDefault="00C916D4" w:rsidP="00C916D4">
            <w:pPr>
              <w:pStyle w:val="BodyA"/>
              <w:tabs>
                <w:tab w:val="left" w:pos="-222"/>
              </w:tabs>
              <w:spacing w:after="120"/>
              <w:ind w:left="-222" w:firstLine="1"/>
              <w:jc w:val="both"/>
              <w:rPr>
                <w:rFonts w:hAnsi="Times New Roman" w:cs="Times New Roman"/>
                <w:lang w:val="lt-LT"/>
              </w:rPr>
            </w:pPr>
            <w:r w:rsidRPr="00C916D4">
              <w:rPr>
                <w:rFonts w:hAnsi="Times New Roman" w:cs="Times New Roman"/>
                <w:lang w:val="lt-LT"/>
              </w:rPr>
              <w:t>Patvirtinus šį Tarybos išvadų projektą, Taryba gal</w:t>
            </w:r>
            <w:r>
              <w:rPr>
                <w:rFonts w:hAnsi="Times New Roman" w:cs="Times New Roman"/>
                <w:lang w:val="lt-LT"/>
              </w:rPr>
              <w:t>ėtų nedelsdama</w:t>
            </w:r>
            <w:r w:rsidRPr="00C916D4">
              <w:rPr>
                <w:rFonts w:hAnsi="Times New Roman" w:cs="Times New Roman"/>
                <w:lang w:val="lt-LT"/>
              </w:rPr>
              <w:t xml:space="preserve"> pradėti rengti </w:t>
            </w:r>
            <w:r>
              <w:rPr>
                <w:rFonts w:hAnsi="Times New Roman" w:cs="Times New Roman"/>
                <w:lang w:val="lt-LT"/>
              </w:rPr>
              <w:t>minėtą</w:t>
            </w:r>
            <w:r w:rsidRPr="00C916D4">
              <w:rPr>
                <w:rFonts w:hAnsi="Times New Roman" w:cs="Times New Roman"/>
                <w:lang w:val="lt-LT"/>
              </w:rPr>
              <w:t xml:space="preserve"> Tarybos sprendimo projektą, kad kuo greičiau jį perduotų Europos Parlamentui konsultacijoms.</w:t>
            </w:r>
          </w:p>
          <w:p w:rsidR="000E1695" w:rsidRPr="00077641" w:rsidRDefault="002C67CC" w:rsidP="00B97906">
            <w:pPr>
              <w:spacing w:after="120"/>
              <w:ind w:left="-221"/>
              <w:jc w:val="both"/>
              <w:rPr>
                <w:b/>
                <w:lang w:val="lt-LT"/>
              </w:rPr>
            </w:pPr>
            <w:r w:rsidRPr="00077641">
              <w:rPr>
                <w:b/>
                <w:u w:val="single"/>
                <w:lang w:val="lt-LT"/>
              </w:rPr>
              <w:t>Lietuvos pozicija:</w:t>
            </w:r>
          </w:p>
          <w:p w:rsidR="001C0AB5" w:rsidRPr="00B97906" w:rsidRDefault="00634349" w:rsidP="00634349">
            <w:pPr>
              <w:ind w:left="-222"/>
              <w:jc w:val="both"/>
              <w:rPr>
                <w:lang w:val="lt-LT"/>
              </w:rPr>
            </w:pPr>
            <w:r w:rsidRPr="00634349">
              <w:rPr>
                <w:lang w:val="lt-LT"/>
              </w:rPr>
              <w:t xml:space="preserve">Lietuva visiškai pritaria Tarybos išvadų </w:t>
            </w:r>
            <w:r>
              <w:rPr>
                <w:lang w:val="lt-LT"/>
              </w:rPr>
              <w:t xml:space="preserve">dėl </w:t>
            </w:r>
            <w:r w:rsidRPr="00634349">
              <w:rPr>
                <w:lang w:val="lt-LT"/>
              </w:rPr>
              <w:t xml:space="preserve">būtinų Šengeno </w:t>
            </w:r>
            <w:proofErr w:type="spellStart"/>
            <w:r w:rsidRPr="00634349">
              <w:rPr>
                <w:lang w:val="lt-LT"/>
              </w:rPr>
              <w:t>acquis</w:t>
            </w:r>
            <w:proofErr w:type="spellEnd"/>
            <w:r w:rsidRPr="00634349">
              <w:rPr>
                <w:lang w:val="lt-LT"/>
              </w:rPr>
              <w:t xml:space="preserve"> visapusiško taikymo Kroatijoje sąlygų įvykdymo projekt</w:t>
            </w:r>
            <w:r>
              <w:rPr>
                <w:lang w:val="lt-LT"/>
              </w:rPr>
              <w:t>o patvirtinimui</w:t>
            </w:r>
            <w:r w:rsidRPr="00634349">
              <w:rPr>
                <w:lang w:val="lt-LT"/>
              </w:rPr>
              <w:t xml:space="preserve"> </w:t>
            </w:r>
            <w:r>
              <w:rPr>
                <w:lang w:val="lt-LT"/>
              </w:rPr>
              <w:t>bei</w:t>
            </w:r>
            <w:r w:rsidRPr="00634349">
              <w:rPr>
                <w:lang w:val="lt-LT"/>
              </w:rPr>
              <w:t xml:space="preserve"> </w:t>
            </w:r>
            <w:r>
              <w:rPr>
                <w:lang w:val="lt-LT"/>
              </w:rPr>
              <w:t xml:space="preserve">tolesniam procesui dėl </w:t>
            </w:r>
            <w:r w:rsidRPr="00634349">
              <w:rPr>
                <w:lang w:val="lt-LT"/>
              </w:rPr>
              <w:t>Kroatijos visapusišk</w:t>
            </w:r>
            <w:r>
              <w:rPr>
                <w:lang w:val="lt-LT"/>
              </w:rPr>
              <w:t>o</w:t>
            </w:r>
            <w:r w:rsidRPr="00634349">
              <w:rPr>
                <w:lang w:val="lt-LT"/>
              </w:rPr>
              <w:t xml:space="preserve"> pr</w:t>
            </w:r>
            <w:r>
              <w:rPr>
                <w:lang w:val="lt-LT"/>
              </w:rPr>
              <w:t>isijungimo prie Šengeno erdvės panaikinant kontrolę prie jos vidaus sienų.</w:t>
            </w:r>
          </w:p>
        </w:tc>
      </w:tr>
    </w:tbl>
    <w:p w:rsidR="004B217F" w:rsidRPr="00077641" w:rsidRDefault="004B217F">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4B217F" w:rsidRPr="0065002E" w:rsidTr="00946AC6">
        <w:trPr>
          <w:trHeight w:val="620"/>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5C468E" w:rsidRPr="005C468E" w:rsidRDefault="009D494C" w:rsidP="005C468E">
            <w:pPr>
              <w:rPr>
                <w:rFonts w:asciiTheme="majorBidi" w:hAnsiTheme="majorBidi" w:cstheme="majorBidi"/>
                <w:iCs/>
                <w:lang w:val="lt-LT"/>
              </w:rPr>
            </w:pPr>
            <w:r w:rsidRPr="005C468E">
              <w:rPr>
                <w:b/>
                <w:lang w:val="lt-LT"/>
              </w:rPr>
              <w:t>4</w:t>
            </w:r>
            <w:r w:rsidR="00EE1216" w:rsidRPr="005C468E">
              <w:rPr>
                <w:b/>
                <w:lang w:val="lt-LT"/>
              </w:rPr>
              <w:t xml:space="preserve">. </w:t>
            </w:r>
            <w:r w:rsidR="00087C16" w:rsidRPr="00087C16">
              <w:rPr>
                <w:rFonts w:asciiTheme="majorBidi" w:hAnsiTheme="majorBidi"/>
                <w:b/>
                <w:iCs/>
                <w:lang w:val="lt-LT"/>
              </w:rPr>
              <w:t xml:space="preserve">Sąveikumo įgyvendinimas </w:t>
            </w:r>
          </w:p>
          <w:p w:rsidR="005C468E" w:rsidRPr="005C468E" w:rsidRDefault="005C468E" w:rsidP="00087C16">
            <w:pPr>
              <w:pStyle w:val="Sraopastraipa"/>
              <w:numPr>
                <w:ilvl w:val="0"/>
                <w:numId w:val="13"/>
              </w:numPr>
              <w:spacing w:after="0"/>
              <w:ind w:left="714" w:hanging="357"/>
              <w:rPr>
                <w:rFonts w:asciiTheme="majorBidi" w:hAnsiTheme="majorBidi" w:cstheme="majorBidi"/>
                <w:i/>
                <w:lang w:val="lt-LT"/>
              </w:rPr>
            </w:pPr>
            <w:r w:rsidRPr="005C468E">
              <w:rPr>
                <w:rFonts w:asciiTheme="majorBidi" w:hAnsiTheme="majorBidi"/>
                <w:i/>
                <w:lang w:val="lt-LT"/>
              </w:rPr>
              <w:t xml:space="preserve">Komisijos ir </w:t>
            </w:r>
            <w:proofErr w:type="spellStart"/>
            <w:r w:rsidR="00087C16">
              <w:rPr>
                <w:rFonts w:asciiTheme="majorBidi" w:hAnsiTheme="majorBidi"/>
                <w:i/>
                <w:lang w:val="lt-LT"/>
              </w:rPr>
              <w:t>eu</w:t>
            </w:r>
            <w:proofErr w:type="spellEnd"/>
            <w:r w:rsidR="00087C16">
              <w:rPr>
                <w:rFonts w:asciiTheme="majorBidi" w:hAnsiTheme="majorBidi"/>
                <w:i/>
                <w:lang w:val="lt-LT"/>
              </w:rPr>
              <w:t>-LISA</w:t>
            </w:r>
            <w:r w:rsidRPr="005C468E">
              <w:rPr>
                <w:rFonts w:asciiTheme="majorBidi" w:hAnsiTheme="majorBidi"/>
                <w:i/>
                <w:lang w:val="lt-LT"/>
              </w:rPr>
              <w:t xml:space="preserve"> informacija</w:t>
            </w:r>
          </w:p>
          <w:p w:rsidR="009D494C" w:rsidRPr="005C468E" w:rsidRDefault="009D494C" w:rsidP="00C308A0">
            <w:pPr>
              <w:pStyle w:val="Sraopastraipa"/>
              <w:numPr>
                <w:ilvl w:val="0"/>
                <w:numId w:val="13"/>
              </w:numPr>
              <w:ind w:hanging="375"/>
              <w:rPr>
                <w:rFonts w:hAnsi="Times New Roman" w:cs="Times New Roman"/>
                <w:lang w:val="lt-LT"/>
              </w:rPr>
            </w:pPr>
            <w:r w:rsidRPr="005C468E">
              <w:rPr>
                <w:rFonts w:hAnsi="Times New Roman" w:cs="Times New Roman"/>
                <w:i/>
                <w:lang w:val="lt-LT"/>
              </w:rPr>
              <w:t>Pasikeitimas nuomonėmis</w:t>
            </w:r>
          </w:p>
          <w:p w:rsidR="00FC30AD" w:rsidRDefault="00BF7037" w:rsidP="00087C16">
            <w:pPr>
              <w:pStyle w:val="BodyA"/>
              <w:tabs>
                <w:tab w:val="left" w:pos="284"/>
              </w:tabs>
              <w:spacing w:after="120"/>
              <w:ind w:left="284" w:hanging="505"/>
              <w:rPr>
                <w:rFonts w:hAnsi="Times New Roman" w:cs="Times New Roman"/>
                <w:b/>
                <w:u w:val="single"/>
                <w:lang w:val="lt-LT"/>
              </w:rPr>
            </w:pPr>
            <w:r w:rsidRPr="00077641">
              <w:rPr>
                <w:rFonts w:hAnsi="Times New Roman" w:cs="Times New Roman"/>
                <w:b/>
                <w:u w:val="single"/>
                <w:lang w:val="lt-LT"/>
              </w:rPr>
              <w:t>Klausimo esmė:</w:t>
            </w:r>
          </w:p>
          <w:p w:rsidR="00D36F0A" w:rsidRPr="00D36F0A" w:rsidRDefault="00D36F0A" w:rsidP="00D36F0A">
            <w:pPr>
              <w:ind w:left="-222" w:right="284"/>
              <w:jc w:val="both"/>
              <w:rPr>
                <w:szCs w:val="20"/>
                <w:lang w:val="lt-LT"/>
              </w:rPr>
            </w:pPr>
            <w:r w:rsidRPr="00D36F0A">
              <w:rPr>
                <w:lang w:val="lt-LT"/>
              </w:rPr>
              <w:t xml:space="preserve">2021 m. spalio 8 d. Vidaus reikalų tarybos posėdžio metu </w:t>
            </w:r>
            <w:proofErr w:type="spellStart"/>
            <w:r w:rsidRPr="00D36F0A">
              <w:rPr>
                <w:lang w:val="lt-LT"/>
              </w:rPr>
              <w:t>eu</w:t>
            </w:r>
            <w:proofErr w:type="spellEnd"/>
            <w:r w:rsidRPr="00D36F0A">
              <w:rPr>
                <w:lang w:val="lt-LT"/>
              </w:rPr>
              <w:t xml:space="preserve">-LISA pateikė ataskaitą apie padėtį, susijusią su Atvykimo/išvykimo sistemos (EES) įgyvendinimu. Agentūra konstatavo, kad dėl didelių rangovo vėlavimų ir didelių sunkumų, su kuriais susiduria daugelis valstybių narių, nebus įmanoma įvykdyti EES paleidimo 2022 m. gegužės mėn., kaip planuota. Taryba įgaliojo </w:t>
            </w:r>
            <w:proofErr w:type="spellStart"/>
            <w:r w:rsidRPr="00D36F0A">
              <w:rPr>
                <w:lang w:val="lt-LT"/>
              </w:rPr>
              <w:t>eu</w:t>
            </w:r>
            <w:proofErr w:type="spellEnd"/>
            <w:r w:rsidRPr="00D36F0A">
              <w:rPr>
                <w:lang w:val="lt-LT"/>
              </w:rPr>
              <w:t xml:space="preserve">-LISA kartu su valstybėmis narėmis ir Komisija parengti alternatyvų EES įgyvendinimo scenarijų ir 2021 m. gruodžio mėn. pradžioje pateikti savo išvadas TVR tarybai. Tai įgyvendindama, </w:t>
            </w:r>
            <w:proofErr w:type="spellStart"/>
            <w:r w:rsidRPr="00D36F0A">
              <w:rPr>
                <w:lang w:val="lt-LT"/>
              </w:rPr>
              <w:t>eu</w:t>
            </w:r>
            <w:proofErr w:type="spellEnd"/>
            <w:r w:rsidRPr="00D36F0A">
              <w:rPr>
                <w:lang w:val="lt-LT"/>
              </w:rPr>
              <w:t xml:space="preserve">-LISA su valstybėmis narėmis ir Komisija išnagrinėjo alternatyvius scenarijus dėl EES įgyvendinimo ir to poveikį Europos kelionių </w:t>
            </w:r>
            <w:r w:rsidRPr="00D36F0A">
              <w:rPr>
                <w:lang w:val="lt-LT"/>
              </w:rPr>
              <w:lastRenderedPageBreak/>
              <w:t xml:space="preserve">informacijos ir leidimų sistemos (ETIAS) įgyvendinimui, turėdami tikslą išlaikyti naujos sąveikos architektūros įgyvendinimą iki 2023 m. pabaigos. Galutinė diskusija vyko </w:t>
            </w:r>
            <w:proofErr w:type="spellStart"/>
            <w:r w:rsidRPr="00D36F0A">
              <w:rPr>
                <w:lang w:val="lt-LT"/>
              </w:rPr>
              <w:t>š.m</w:t>
            </w:r>
            <w:proofErr w:type="spellEnd"/>
            <w:r w:rsidRPr="00D36F0A">
              <w:rPr>
                <w:lang w:val="lt-LT"/>
              </w:rPr>
              <w:t xml:space="preserve">. lapkričio 16 d. </w:t>
            </w:r>
            <w:proofErr w:type="spellStart"/>
            <w:r w:rsidRPr="00D36F0A">
              <w:rPr>
                <w:lang w:val="lt-LT"/>
              </w:rPr>
              <w:t>eu</w:t>
            </w:r>
            <w:proofErr w:type="spellEnd"/>
            <w:r w:rsidRPr="00D36F0A">
              <w:rPr>
                <w:lang w:val="lt-LT"/>
              </w:rPr>
              <w:t xml:space="preserve">-LISA Valdančiosios tarybos posėdžio metu. Valdyba rekomendavo EES ir ETIAS veiklos pradžios datas perkelti atitinkamai į 2022 m. rugsėjo pabaigą ir 2023 m. gegužės vidurį. Tuo pačiu pabrėžė, kad nors alternatyvus scenarijus suteikia pakankamai laiko veiksmams tiek centriniu, tiek nacionaliniu lygiu atlikti, jis vis tiek turi rizikų. Galutinė jo sėkmė priklausys nuo </w:t>
            </w:r>
            <w:proofErr w:type="spellStart"/>
            <w:r w:rsidRPr="00D36F0A">
              <w:rPr>
                <w:lang w:val="lt-LT"/>
              </w:rPr>
              <w:t>eu</w:t>
            </w:r>
            <w:proofErr w:type="spellEnd"/>
            <w:r w:rsidRPr="00D36F0A">
              <w:rPr>
                <w:lang w:val="lt-LT"/>
              </w:rPr>
              <w:t>-LISA, valstybių narių, Komisijos, FRONTEX ir Europolo bendrų pastangų. Taigi, neatmetama tikimybė dar vienam įgyvendinimo grafiko peržiūrėjimui.</w:t>
            </w:r>
          </w:p>
          <w:p w:rsidR="00D36F0A" w:rsidRPr="00D36F0A" w:rsidRDefault="00D36F0A" w:rsidP="00D36F0A">
            <w:pPr>
              <w:ind w:left="-222" w:right="284"/>
              <w:jc w:val="both"/>
              <w:rPr>
                <w:lang w:val="lt-LT"/>
              </w:rPr>
            </w:pPr>
          </w:p>
          <w:p w:rsidR="00D36F0A" w:rsidRPr="00D36F0A" w:rsidRDefault="00D36F0A" w:rsidP="00D36F0A">
            <w:pPr>
              <w:pStyle w:val="BodyA"/>
              <w:tabs>
                <w:tab w:val="left" w:pos="284"/>
              </w:tabs>
              <w:spacing w:after="120"/>
              <w:ind w:left="-222" w:right="284"/>
              <w:jc w:val="both"/>
              <w:rPr>
                <w:rFonts w:hAnsi="Times New Roman" w:cs="Times New Roman"/>
                <w:b/>
                <w:u w:val="single"/>
                <w:lang w:val="lt-LT"/>
              </w:rPr>
            </w:pPr>
            <w:r w:rsidRPr="00D36F0A">
              <w:rPr>
                <w:rFonts w:hAnsi="Times New Roman"/>
                <w:color w:val="auto"/>
                <w:lang w:val="lt-LT"/>
              </w:rPr>
              <w:t xml:space="preserve">Gruodžio 9-10 d. TVR Tarybos posėdyje Komisija ir </w:t>
            </w:r>
            <w:proofErr w:type="spellStart"/>
            <w:r w:rsidRPr="00D36F0A">
              <w:rPr>
                <w:rFonts w:hAnsi="Times New Roman"/>
                <w:color w:val="auto"/>
                <w:lang w:val="lt-LT"/>
              </w:rPr>
              <w:t>eu</w:t>
            </w:r>
            <w:proofErr w:type="spellEnd"/>
            <w:r w:rsidRPr="00D36F0A">
              <w:rPr>
                <w:rFonts w:hAnsi="Times New Roman"/>
                <w:color w:val="auto"/>
                <w:lang w:val="lt-LT"/>
              </w:rPr>
              <w:t>-LISA informuos vidaus reikalų ministrus apie dabartinę situaciją Sąveikumo įgyvendinimo procese ir pateiks siūlymus dėl EES ir ETIAS sistemų paleidimo datų, o ministrai bus pakviesti išsakyti savo nuomones bei priimti sprendimą.</w:t>
            </w:r>
          </w:p>
          <w:p w:rsidR="008951C2" w:rsidRDefault="00BF7037" w:rsidP="008951C2">
            <w:pPr>
              <w:pStyle w:val="BodyA"/>
              <w:tabs>
                <w:tab w:val="left" w:pos="-222"/>
                <w:tab w:val="left" w:pos="62"/>
              </w:tabs>
              <w:spacing w:after="120"/>
              <w:ind w:left="-221"/>
              <w:jc w:val="both"/>
              <w:rPr>
                <w:rFonts w:hAnsi="Times New Roman" w:cs="Times New Roman"/>
                <w:b/>
                <w:u w:val="single"/>
                <w:lang w:val="lt-LT"/>
              </w:rPr>
            </w:pPr>
            <w:r w:rsidRPr="00077641">
              <w:rPr>
                <w:rFonts w:hAnsi="Times New Roman" w:cs="Times New Roman"/>
                <w:b/>
                <w:u w:val="single"/>
                <w:lang w:val="lt-LT"/>
              </w:rPr>
              <w:t>Lietuvos pozicija:</w:t>
            </w:r>
          </w:p>
          <w:p w:rsidR="00D36F0A" w:rsidRPr="00D36F0A" w:rsidRDefault="00D36F0A" w:rsidP="00D36F0A">
            <w:pPr>
              <w:ind w:left="-222" w:right="204"/>
              <w:jc w:val="both"/>
              <w:rPr>
                <w:szCs w:val="20"/>
                <w:lang w:val="lt-LT"/>
              </w:rPr>
            </w:pPr>
            <w:r w:rsidRPr="00D36F0A">
              <w:rPr>
                <w:lang w:val="lt-LT"/>
              </w:rPr>
              <w:t>Savalaikis naujos IT architektūros ir sistemų sąveikumo įgyvendinimas yra svarbus artimiausios ateities tikslas ir politinis prioritetas. Todėl viso įgyvendinimo proceso priežiūrą užtikriname aukštu politiniu lygmeniu. </w:t>
            </w:r>
          </w:p>
          <w:p w:rsidR="00D36F0A" w:rsidRPr="00D36F0A" w:rsidRDefault="00D36F0A" w:rsidP="00D36F0A">
            <w:pPr>
              <w:ind w:left="-222" w:right="204"/>
              <w:jc w:val="both"/>
              <w:rPr>
                <w:lang w:val="lt-LT"/>
              </w:rPr>
            </w:pPr>
          </w:p>
          <w:p w:rsidR="00D36F0A" w:rsidRPr="00D36F0A" w:rsidRDefault="00D36F0A" w:rsidP="00D36F0A">
            <w:pPr>
              <w:ind w:left="-222" w:right="204"/>
              <w:jc w:val="both"/>
              <w:rPr>
                <w:lang w:val="lt-LT"/>
              </w:rPr>
            </w:pPr>
            <w:r w:rsidRPr="00D36F0A">
              <w:rPr>
                <w:lang w:val="lt-LT"/>
              </w:rPr>
              <w:t>Ypatingą dėmesį ir pastangas skiriame Atvykimo ir išvykimo sistemai, nes tai yra pirmoji veikti pradėsianti nauja IT sistema. Šiuo metu įgyvendinimas vykdomas pagal nacionalinį planą. Tačiau negalime atmesti rizikos, susijusios su viešųjų pirkimų procedūromis, poreikio pertvarkyti pasienio kontrolės punktus ir kitų veiksnių, galinčių turėti įtakos sklandžiam įgyvendinimui. Taip pat susirūpinimą kelia tai, kad AIS bandymų aplinka valstybėms narėms yra labai nepastovi. </w:t>
            </w:r>
          </w:p>
          <w:p w:rsidR="00D36F0A" w:rsidRPr="00D36F0A" w:rsidRDefault="00D36F0A" w:rsidP="00D36F0A">
            <w:pPr>
              <w:ind w:left="-222" w:right="204"/>
              <w:jc w:val="both"/>
              <w:rPr>
                <w:lang w:val="lt-LT"/>
              </w:rPr>
            </w:pPr>
          </w:p>
          <w:p w:rsidR="008E295E" w:rsidRPr="008951C2" w:rsidRDefault="00D36F0A" w:rsidP="00D36F0A">
            <w:pPr>
              <w:pStyle w:val="BodyA"/>
              <w:tabs>
                <w:tab w:val="left" w:pos="-222"/>
                <w:tab w:val="left" w:pos="62"/>
              </w:tabs>
              <w:spacing w:after="120"/>
              <w:ind w:left="-222" w:right="204"/>
              <w:jc w:val="both"/>
              <w:rPr>
                <w:rFonts w:hAnsi="Times New Roman" w:cs="Times New Roman"/>
                <w:b/>
                <w:u w:val="single"/>
                <w:lang w:val="lt-LT"/>
              </w:rPr>
            </w:pPr>
            <w:r w:rsidRPr="00D36F0A">
              <w:rPr>
                <w:rFonts w:hAnsi="Times New Roman"/>
                <w:color w:val="auto"/>
                <w:lang w:val="lt-LT"/>
              </w:rPr>
              <w:t>Atsižvelgiant į dabartines aplinkybes, Lietuva gali sutikti atidėti Atvykimo ir išvykimo sistemos (AIS) ir Europos kelionių informacijos ir leidimų sistemos (ETIAS) įgyvendinimo terminus.</w:t>
            </w:r>
          </w:p>
        </w:tc>
      </w:tr>
    </w:tbl>
    <w:p w:rsidR="004B217F" w:rsidRPr="00077641" w:rsidRDefault="004B217F" w:rsidP="00946AC6">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BF7037" w:rsidRPr="0065002E" w:rsidTr="00F53703">
        <w:trPr>
          <w:trHeight w:val="653"/>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9D494C" w:rsidRPr="009D494C" w:rsidRDefault="009D494C" w:rsidP="009D494C">
            <w:pPr>
              <w:rPr>
                <w:lang w:val="lt-LT"/>
              </w:rPr>
            </w:pPr>
            <w:r w:rsidRPr="009D494C">
              <w:rPr>
                <w:b/>
                <w:lang w:val="lt-LT"/>
              </w:rPr>
              <w:t>5</w:t>
            </w:r>
            <w:r w:rsidR="00BF7037" w:rsidRPr="009D494C">
              <w:rPr>
                <w:b/>
                <w:lang w:val="lt-LT"/>
              </w:rPr>
              <w:t xml:space="preserve">. </w:t>
            </w:r>
            <w:r w:rsidR="008951C2" w:rsidRPr="008951C2">
              <w:rPr>
                <w:b/>
                <w:lang w:val="lt-LT"/>
              </w:rPr>
              <w:t>Priemonė „</w:t>
            </w:r>
            <w:proofErr w:type="spellStart"/>
            <w:r w:rsidR="008951C2" w:rsidRPr="008951C2">
              <w:rPr>
                <w:b/>
                <w:lang w:val="lt-LT"/>
              </w:rPr>
              <w:t>NextGenerationEU</w:t>
            </w:r>
            <w:proofErr w:type="spellEnd"/>
            <w:r w:rsidR="008951C2" w:rsidRPr="008951C2">
              <w:rPr>
                <w:b/>
                <w:lang w:val="lt-LT"/>
              </w:rPr>
              <w:t>“. Organizuoto nusikal</w:t>
            </w:r>
            <w:r w:rsidR="008951C2">
              <w:rPr>
                <w:b/>
                <w:lang w:val="lt-LT"/>
              </w:rPr>
              <w:t>stamumo įsiskverbimo prevencija</w:t>
            </w:r>
          </w:p>
          <w:p w:rsidR="009D494C" w:rsidRPr="009D494C" w:rsidRDefault="009D494C" w:rsidP="00C308A0">
            <w:pPr>
              <w:pStyle w:val="Sraopastraipa"/>
              <w:numPr>
                <w:ilvl w:val="0"/>
                <w:numId w:val="13"/>
              </w:numPr>
              <w:ind w:hanging="375"/>
              <w:rPr>
                <w:rFonts w:hAnsi="Times New Roman" w:cs="Times New Roman"/>
                <w:lang w:val="lt-LT"/>
              </w:rPr>
            </w:pPr>
            <w:r w:rsidRPr="009D494C">
              <w:rPr>
                <w:i/>
                <w:iCs/>
                <w:lang w:val="lt-LT"/>
              </w:rPr>
              <w:t>Politiniai debatai</w:t>
            </w:r>
          </w:p>
          <w:p w:rsidR="00BF7037" w:rsidRDefault="00BF7037" w:rsidP="00F53703">
            <w:pPr>
              <w:pStyle w:val="BodyA"/>
              <w:tabs>
                <w:tab w:val="left" w:pos="284"/>
              </w:tabs>
              <w:spacing w:after="120"/>
              <w:ind w:left="-222"/>
              <w:rPr>
                <w:rFonts w:hAnsi="Times New Roman" w:cs="Times New Roman"/>
                <w:b/>
                <w:u w:val="single"/>
                <w:lang w:val="lt-LT"/>
              </w:rPr>
            </w:pPr>
            <w:r w:rsidRPr="00077641">
              <w:rPr>
                <w:rFonts w:hAnsi="Times New Roman" w:cs="Times New Roman"/>
                <w:b/>
                <w:u w:val="single"/>
                <w:lang w:val="lt-LT"/>
              </w:rPr>
              <w:t>Klausimo esmė:</w:t>
            </w:r>
          </w:p>
          <w:p w:rsidR="00E2012B" w:rsidRPr="00E2012B" w:rsidRDefault="00E2012B" w:rsidP="00E2012B">
            <w:pPr>
              <w:ind w:left="-222"/>
              <w:jc w:val="both"/>
              <w:rPr>
                <w:lang w:val="lt-LT"/>
              </w:rPr>
            </w:pPr>
            <w:r>
              <w:rPr>
                <w:color w:val="000000"/>
                <w:lang w:val="lt-LT"/>
              </w:rPr>
              <w:t>N</w:t>
            </w:r>
            <w:r w:rsidRPr="00E2012B">
              <w:rPr>
                <w:color w:val="000000"/>
                <w:lang w:val="lt-LT"/>
              </w:rPr>
              <w:t xml:space="preserve">audodama </w:t>
            </w:r>
            <w:r>
              <w:rPr>
                <w:color w:val="000000"/>
                <w:lang w:val="lt-LT"/>
              </w:rPr>
              <w:t>laikiną atkūrimo priemonę „</w:t>
            </w:r>
            <w:proofErr w:type="spellStart"/>
            <w:r>
              <w:rPr>
                <w:color w:val="000000"/>
                <w:lang w:val="lt-LT"/>
              </w:rPr>
              <w:t>NextGeneration</w:t>
            </w:r>
            <w:r w:rsidRPr="00E2012B">
              <w:rPr>
                <w:color w:val="000000"/>
                <w:lang w:val="lt-LT"/>
              </w:rPr>
              <w:t>EU</w:t>
            </w:r>
            <w:proofErr w:type="spellEnd"/>
            <w:r w:rsidRPr="00E2012B">
              <w:rPr>
                <w:color w:val="000000"/>
                <w:lang w:val="lt-LT"/>
              </w:rPr>
              <w:t>“</w:t>
            </w:r>
            <w:r>
              <w:rPr>
                <w:color w:val="000000"/>
                <w:lang w:val="lt-LT"/>
              </w:rPr>
              <w:t xml:space="preserve"> </w:t>
            </w:r>
            <w:r w:rsidRPr="00E2012B">
              <w:rPr>
                <w:color w:val="000000"/>
                <w:lang w:val="lt-LT"/>
              </w:rPr>
              <w:t xml:space="preserve">Europos Sąjunga </w:t>
            </w:r>
            <w:r>
              <w:rPr>
                <w:color w:val="000000"/>
                <w:lang w:val="lt-LT"/>
              </w:rPr>
              <w:t>iš viso skirs 806,91 mlrd. eurų</w:t>
            </w:r>
            <w:r w:rsidRPr="00E2012B">
              <w:rPr>
                <w:color w:val="000000"/>
                <w:lang w:val="lt-LT"/>
              </w:rPr>
              <w:t>, kad padėtų ES valstybėms narėms sprendžiant neigiamus ekonominius ir socialinius COVID-19 pandemijos padarinius.  Labai tikėtina, kad ši atkūrimo priemonė  taip pat sulauks nemažo organizuoto nusikalstamo dėmesio, baiminamasi jų įsiskverbimo į teisines struktūras, kuriomis nusikaltėliai gali panaudoti pinigų plovimui, sukčiavimui, korupcijai, grobstymui ar kitiems tiesioginiams ar netiesioginiams nusikalstamiems tikslams. Todėl teisėsauga bando ieškoti bendrų ES mastu veiksmingų priemonių, stiprinti kovą ir prevenciją,  susitarti dėl ES integruoto koordinuoto požiūrio, VN įsitraukimo į  Europolo ir OLAF specialiąją operaciją padedanti užkirsti  fondų lėšų grobstymui.</w:t>
            </w:r>
          </w:p>
          <w:p w:rsidR="00E2012B" w:rsidRPr="00E2012B" w:rsidRDefault="00E2012B" w:rsidP="00E2012B">
            <w:pPr>
              <w:ind w:left="-222"/>
              <w:jc w:val="both"/>
              <w:rPr>
                <w:lang w:val="lt-LT"/>
              </w:rPr>
            </w:pPr>
          </w:p>
          <w:p w:rsidR="00E2012B" w:rsidRPr="00E2012B" w:rsidRDefault="00E2012B" w:rsidP="00E2012B">
            <w:pPr>
              <w:ind w:left="-222"/>
              <w:jc w:val="both"/>
              <w:rPr>
                <w:lang w:val="lt-LT"/>
              </w:rPr>
            </w:pPr>
            <w:r w:rsidRPr="00E2012B">
              <w:rPr>
                <w:b/>
                <w:color w:val="000000"/>
                <w:u w:val="single"/>
                <w:lang w:val="lt-LT"/>
              </w:rPr>
              <w:t>Ministrų diskusijai keliami tokie klausimai:</w:t>
            </w:r>
          </w:p>
          <w:p w:rsidR="00E2012B" w:rsidRPr="00E2012B" w:rsidRDefault="00E2012B" w:rsidP="00E2012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345"/>
              <w:jc w:val="both"/>
              <w:rPr>
                <w:lang w:val="lt-LT"/>
              </w:rPr>
            </w:pPr>
            <w:r w:rsidRPr="00E2012B">
              <w:rPr>
                <w:i/>
                <w:color w:val="000000"/>
                <w:lang w:val="lt-LT"/>
              </w:rPr>
              <w:lastRenderedPageBreak/>
              <w:t>Ar manote, kad reikia labiau koordinuoto ES lygmens požiūrio kovojant su organizuoto nusikalstamumo vykdomu įsiskverbimu į teisines struktūras ir ypač užkertant jam kelią?  </w:t>
            </w:r>
          </w:p>
          <w:p w:rsidR="00E2012B" w:rsidRPr="009E6585" w:rsidRDefault="00E2012B" w:rsidP="009E6585">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20"/>
              <w:ind w:left="340" w:hanging="357"/>
              <w:jc w:val="both"/>
              <w:rPr>
                <w:lang w:val="lt-LT"/>
              </w:rPr>
            </w:pPr>
            <w:r w:rsidRPr="00E2012B">
              <w:rPr>
                <w:i/>
                <w:color w:val="000000"/>
                <w:lang w:val="lt-LT"/>
              </w:rPr>
              <w:t>Ar manote, kad reikia išsamiau įvertinti teisinių struktūrų pažeidžiamumą, kad prevencija būtų veiksmingesnė ir pasirinktos priemonės labiau atitiktų keliamus tikslus?</w:t>
            </w:r>
          </w:p>
          <w:p w:rsidR="00BF7037" w:rsidRPr="00077641" w:rsidRDefault="00BF7037" w:rsidP="00F53703">
            <w:pPr>
              <w:pStyle w:val="BodyA"/>
              <w:tabs>
                <w:tab w:val="left" w:pos="203"/>
              </w:tabs>
              <w:spacing w:after="120"/>
              <w:ind w:left="-222"/>
              <w:jc w:val="both"/>
              <w:rPr>
                <w:rFonts w:hAnsi="Times New Roman" w:cs="Times New Roman"/>
                <w:b/>
                <w:u w:val="single"/>
                <w:lang w:val="lt-LT"/>
              </w:rPr>
            </w:pPr>
            <w:r w:rsidRPr="00077641">
              <w:rPr>
                <w:rFonts w:hAnsi="Times New Roman" w:cs="Times New Roman"/>
                <w:b/>
                <w:u w:val="single"/>
                <w:lang w:val="lt-LT"/>
              </w:rPr>
              <w:t>Lietuvos pozicija:</w:t>
            </w:r>
          </w:p>
          <w:p w:rsidR="00E2012B" w:rsidRPr="00E2012B" w:rsidRDefault="00E2012B" w:rsidP="00F53703">
            <w:pPr>
              <w:tabs>
                <w:tab w:val="left" w:pos="203"/>
              </w:tabs>
              <w:spacing w:after="120"/>
              <w:ind w:left="-222"/>
              <w:jc w:val="both"/>
              <w:rPr>
                <w:lang w:val="lt-LT"/>
              </w:rPr>
            </w:pPr>
            <w:r w:rsidRPr="00E2012B">
              <w:rPr>
                <w:color w:val="000000"/>
                <w:lang w:val="lt-LT"/>
              </w:rPr>
              <w:t xml:space="preserve">Sutinkame, jog reikia siekti labiau koordinuoto ES lygmens požiūrio kovojant ir užkertant kelią organizuoto nusikalstamumo vykdomam įsiskverbimui į teisines struktūras. </w:t>
            </w:r>
          </w:p>
          <w:p w:rsidR="00E2012B" w:rsidRPr="00E2012B" w:rsidRDefault="00E2012B" w:rsidP="00F53703">
            <w:pPr>
              <w:tabs>
                <w:tab w:val="left" w:pos="203"/>
              </w:tabs>
              <w:spacing w:after="120"/>
              <w:ind w:left="-222"/>
              <w:jc w:val="both"/>
              <w:rPr>
                <w:lang w:val="lt-LT"/>
              </w:rPr>
            </w:pPr>
            <w:r w:rsidRPr="00E2012B">
              <w:rPr>
                <w:color w:val="000000"/>
                <w:lang w:val="lt-LT"/>
              </w:rPr>
              <w:t>Manome, kad reikėtų bendrų gairių ir procedūrų, nes nacionalinis reglamentavimas kiekvienoje šalyje skiriasi, kuo ir naudojasi nusikaltėliai. Žinoma, pačios VN turi daug ką nuveikti ir nacionaliniu lygiu, pvz. įtraukti visas kompetentingas institucijas į kovą su ES paramos lėšų fondų grobstymu, pasirengti atitinkamus rizikos veiksnių algoritmus, užtikrinti sklandų keitimąsi informacija ir tarpusavio koordinaciją.</w:t>
            </w:r>
          </w:p>
          <w:p w:rsidR="00E2012B" w:rsidRPr="00E2012B" w:rsidRDefault="00E2012B" w:rsidP="00F53703">
            <w:pPr>
              <w:tabs>
                <w:tab w:val="left" w:pos="203"/>
              </w:tabs>
              <w:spacing w:after="120"/>
              <w:ind w:left="-222"/>
              <w:jc w:val="both"/>
              <w:rPr>
                <w:lang w:val="lt-LT"/>
              </w:rPr>
            </w:pPr>
            <w:r w:rsidRPr="00E2012B">
              <w:rPr>
                <w:color w:val="000000"/>
                <w:lang w:val="lt-LT"/>
              </w:rPr>
              <w:t>Pritariame ir tam, jog siekiant veiksmingesnės prevencijos reikėtų išsamiau įvertinti teisinių struktūrų pažeidžiamumą.</w:t>
            </w:r>
          </w:p>
          <w:p w:rsidR="00E2012B" w:rsidRPr="00E2012B" w:rsidRDefault="00E2012B" w:rsidP="00F53703">
            <w:pPr>
              <w:tabs>
                <w:tab w:val="left" w:pos="203"/>
              </w:tabs>
              <w:spacing w:after="120"/>
              <w:ind w:left="-222"/>
              <w:jc w:val="both"/>
              <w:rPr>
                <w:lang w:val="lt-LT"/>
              </w:rPr>
            </w:pPr>
            <w:r w:rsidRPr="00E2012B">
              <w:rPr>
                <w:color w:val="000000"/>
                <w:lang w:val="lt-LT"/>
              </w:rPr>
              <w:t>Įgyvendinant ES paramos lėšomis finansuojamus projektus būtų galima naudoti tokias jau esamas prevencines priemones:</w:t>
            </w:r>
          </w:p>
          <w:p w:rsidR="00E2012B" w:rsidRPr="00E2012B" w:rsidRDefault="00E2012B" w:rsidP="00F5370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5"/>
              <w:jc w:val="both"/>
              <w:rPr>
                <w:lang w:val="lt-LT"/>
              </w:rPr>
            </w:pPr>
            <w:r w:rsidRPr="00C94D12">
              <w:rPr>
                <w:b/>
                <w:lang w:val="lt-LT"/>
              </w:rPr>
              <w:t xml:space="preserve">ES paramą administruojančių institucijų darbuotojų konsultavimas ir </w:t>
            </w:r>
            <w:r w:rsidR="009E6585">
              <w:rPr>
                <w:b/>
                <w:lang w:val="lt-LT"/>
              </w:rPr>
              <w:t xml:space="preserve">apmokymas </w:t>
            </w:r>
            <w:r>
              <w:rPr>
                <w:color w:val="000000"/>
                <w:lang w:val="lt-LT"/>
              </w:rPr>
              <w:t>t</w:t>
            </w:r>
            <w:r w:rsidRPr="00E2012B">
              <w:rPr>
                <w:color w:val="000000"/>
                <w:lang w:val="lt-LT"/>
              </w:rPr>
              <w:t>iek pagal nacionalinį teisinį reglamentavimą, tiek ir pagal geriausius Europinius pavyzdžius ir gerąją praktiką.</w:t>
            </w:r>
          </w:p>
          <w:p w:rsidR="00E2012B" w:rsidRPr="00E2012B" w:rsidRDefault="00E2012B" w:rsidP="00F5370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5"/>
              <w:jc w:val="both"/>
              <w:rPr>
                <w:lang w:val="lt-LT"/>
              </w:rPr>
            </w:pPr>
            <w:r w:rsidRPr="00E2012B">
              <w:rPr>
                <w:color w:val="000000"/>
                <w:lang w:val="lt-LT"/>
              </w:rPr>
              <w:t xml:space="preserve">ES paramos lėšomis finansuojamų projektų įgyvendinimą reglamentuojančių </w:t>
            </w:r>
            <w:r w:rsidRPr="00E2012B">
              <w:rPr>
                <w:b/>
                <w:color w:val="000000"/>
                <w:lang w:val="lt-LT"/>
              </w:rPr>
              <w:t>teisės aktų tobulinimas</w:t>
            </w:r>
            <w:r w:rsidR="009E6585">
              <w:rPr>
                <w:color w:val="000000"/>
                <w:lang w:val="lt-LT"/>
              </w:rPr>
              <w:t xml:space="preserve"> atsižvelgiant į dažniausiai nustatomus</w:t>
            </w:r>
            <w:r w:rsidRPr="00E2012B">
              <w:rPr>
                <w:color w:val="000000"/>
                <w:lang w:val="lt-LT"/>
              </w:rPr>
              <w:t xml:space="preserve"> pažeidimus;</w:t>
            </w:r>
          </w:p>
          <w:p w:rsidR="00E2012B" w:rsidRPr="00E2012B" w:rsidRDefault="00E2012B" w:rsidP="00F5370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5"/>
              <w:jc w:val="both"/>
              <w:rPr>
                <w:lang w:val="lt-LT"/>
              </w:rPr>
            </w:pPr>
            <w:r w:rsidRPr="00E2012B">
              <w:rPr>
                <w:color w:val="000000"/>
                <w:lang w:val="lt-LT"/>
              </w:rPr>
              <w:t xml:space="preserve">Kompetentingų nacionalinių institucijų </w:t>
            </w:r>
            <w:r w:rsidRPr="00E2012B">
              <w:rPr>
                <w:b/>
                <w:color w:val="000000"/>
                <w:lang w:val="lt-LT"/>
              </w:rPr>
              <w:t>įtraukimas į paraiškų ES paramos lėšoms gauti tikrinimą pirminėje stadijoje</w:t>
            </w:r>
            <w:r w:rsidRPr="00E2012B">
              <w:rPr>
                <w:color w:val="000000"/>
                <w:lang w:val="lt-LT"/>
              </w:rPr>
              <w:t xml:space="preserve"> (jos padėtų įvertinti rizikos veiksnius ir teiktų  reikšmingą informaciją ES paramą administruojančioms institucijoms);</w:t>
            </w:r>
          </w:p>
          <w:p w:rsidR="00E2012B" w:rsidRPr="00E2012B" w:rsidRDefault="00E2012B" w:rsidP="00F5370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5"/>
              <w:jc w:val="both"/>
              <w:rPr>
                <w:lang w:val="lt-LT"/>
              </w:rPr>
            </w:pPr>
            <w:r w:rsidRPr="00E2012B">
              <w:rPr>
                <w:color w:val="000000"/>
                <w:lang w:val="lt-LT"/>
              </w:rPr>
              <w:t xml:space="preserve">Rizikingiausių ES paramos skyrimo </w:t>
            </w:r>
            <w:r w:rsidRPr="00E2012B">
              <w:rPr>
                <w:b/>
                <w:color w:val="000000"/>
                <w:lang w:val="lt-LT"/>
              </w:rPr>
              <w:t>programų identifikavimas ir papildomos analizės atlikimas</w:t>
            </w:r>
            <w:r w:rsidRPr="00E2012B">
              <w:rPr>
                <w:color w:val="000000"/>
                <w:lang w:val="lt-LT"/>
              </w:rPr>
              <w:t>;</w:t>
            </w:r>
          </w:p>
          <w:p w:rsidR="00E2012B" w:rsidRPr="00E2012B" w:rsidRDefault="00E2012B" w:rsidP="00F5370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5"/>
              <w:jc w:val="both"/>
              <w:rPr>
                <w:lang w:val="lt-LT"/>
              </w:rPr>
            </w:pPr>
            <w:r w:rsidRPr="00E2012B">
              <w:rPr>
                <w:color w:val="000000"/>
                <w:lang w:val="lt-LT"/>
              </w:rPr>
              <w:t xml:space="preserve">ES paramos lėšomis projektus įgyvendinančių </w:t>
            </w:r>
            <w:r w:rsidRPr="00E2012B">
              <w:rPr>
                <w:b/>
                <w:color w:val="000000"/>
                <w:lang w:val="lt-LT"/>
              </w:rPr>
              <w:t>subjektų ūkinės-finansinės veiklos netikėtų patikrinimų atlikimas vietoje;</w:t>
            </w:r>
          </w:p>
          <w:p w:rsidR="00E2012B" w:rsidRPr="009E6585" w:rsidRDefault="00E2012B" w:rsidP="00F5370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ind w:left="345" w:hanging="357"/>
              <w:jc w:val="both"/>
              <w:rPr>
                <w:lang w:val="lt-LT"/>
              </w:rPr>
            </w:pPr>
            <w:r w:rsidRPr="00E2012B">
              <w:rPr>
                <w:b/>
                <w:color w:val="000000"/>
                <w:lang w:val="lt-LT"/>
              </w:rPr>
              <w:t>Kriminalinės žvalgybos vykdymas</w:t>
            </w:r>
            <w:r w:rsidRPr="00E2012B">
              <w:rPr>
                <w:color w:val="000000"/>
                <w:lang w:val="lt-LT"/>
              </w:rPr>
              <w:t xml:space="preserve"> atliekant ikiteisminius ar kriminalinės žvalgybos tyrimus. </w:t>
            </w:r>
          </w:p>
          <w:p w:rsidR="00E2012B" w:rsidRPr="00E2012B" w:rsidRDefault="00E2012B" w:rsidP="00F53703">
            <w:pPr>
              <w:tabs>
                <w:tab w:val="left" w:pos="203"/>
              </w:tabs>
              <w:spacing w:after="120"/>
              <w:ind w:left="-222"/>
              <w:jc w:val="both"/>
              <w:rPr>
                <w:lang w:val="lt-LT"/>
              </w:rPr>
            </w:pPr>
            <w:r w:rsidRPr="00E2012B">
              <w:rPr>
                <w:color w:val="000000"/>
                <w:lang w:val="lt-LT"/>
              </w:rPr>
              <w:t>Papildomai būtų galima svarstyti tokias iniciatyvas:</w:t>
            </w:r>
          </w:p>
          <w:p w:rsidR="00E2012B" w:rsidRPr="00E2012B" w:rsidRDefault="00E2012B" w:rsidP="00F5370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5"/>
              <w:jc w:val="both"/>
              <w:rPr>
                <w:lang w:val="lt-LT"/>
              </w:rPr>
            </w:pPr>
            <w:r w:rsidRPr="00E2012B">
              <w:rPr>
                <w:color w:val="000000"/>
                <w:lang w:val="lt-LT"/>
              </w:rPr>
              <w:t xml:space="preserve">Siūlyti EPPO, Europolo, Eurojusto, OLAF ir CEPOL ekspertams </w:t>
            </w:r>
            <w:r w:rsidRPr="00E2012B">
              <w:rPr>
                <w:b/>
                <w:color w:val="000000"/>
                <w:lang w:val="lt-LT"/>
              </w:rPr>
              <w:t xml:space="preserve">parengti </w:t>
            </w:r>
            <w:r w:rsidRPr="00E2012B">
              <w:rPr>
                <w:color w:val="000000"/>
                <w:lang w:val="lt-LT"/>
              </w:rPr>
              <w:t xml:space="preserve">pagrindines kovos su ES lėšų grobstymo </w:t>
            </w:r>
            <w:r w:rsidRPr="00E2012B">
              <w:rPr>
                <w:b/>
                <w:color w:val="000000"/>
                <w:lang w:val="lt-LT"/>
              </w:rPr>
              <w:t>gaires/rekomendacijas/procedūras, mokymų programas</w:t>
            </w:r>
            <w:r w:rsidRPr="00E2012B">
              <w:rPr>
                <w:color w:val="000000"/>
                <w:lang w:val="lt-LT"/>
              </w:rPr>
              <w:t xml:space="preserve"> </w:t>
            </w:r>
            <w:r w:rsidRPr="00E2012B">
              <w:rPr>
                <w:b/>
                <w:color w:val="000000"/>
                <w:lang w:val="lt-LT"/>
              </w:rPr>
              <w:t>ES paramą administruojančių institucijų darbuotojams;</w:t>
            </w:r>
          </w:p>
          <w:p w:rsidR="00E2012B" w:rsidRPr="00E2012B" w:rsidRDefault="009E6585" w:rsidP="00F5370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5"/>
              <w:jc w:val="both"/>
              <w:rPr>
                <w:lang w:val="lt-LT"/>
              </w:rPr>
            </w:pPr>
            <w:r>
              <w:rPr>
                <w:color w:val="000000"/>
                <w:lang w:val="lt-LT"/>
              </w:rPr>
              <w:t xml:space="preserve">Įsteigti atskirą tinklą </w:t>
            </w:r>
            <w:r w:rsidR="00E2012B" w:rsidRPr="00E2012B">
              <w:rPr>
                <w:color w:val="000000"/>
                <w:lang w:val="lt-LT"/>
              </w:rPr>
              <w:t xml:space="preserve">ar ekspertų grupę prie ES Tarybos teisėsaugos darbo grupės arba </w:t>
            </w:r>
            <w:r w:rsidR="00E2012B" w:rsidRPr="00E2012B">
              <w:rPr>
                <w:b/>
                <w:color w:val="000000"/>
                <w:lang w:val="lt-LT"/>
              </w:rPr>
              <w:t>svarstyti galimybę Europolo ekspertų platformoje</w:t>
            </w:r>
            <w:r w:rsidR="00E2012B" w:rsidRPr="00E2012B">
              <w:rPr>
                <w:color w:val="000000"/>
                <w:lang w:val="lt-LT"/>
              </w:rPr>
              <w:t xml:space="preserve"> sukurti papildomą formatą kompetentingoms teisėsaugos institucijoms, kovojančiomis su ES paramos lėšų grobstymu;</w:t>
            </w:r>
          </w:p>
          <w:p w:rsidR="00E2012B" w:rsidRPr="00E2012B" w:rsidRDefault="00E2012B" w:rsidP="00F5370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5"/>
              <w:jc w:val="both"/>
              <w:rPr>
                <w:lang w:val="lt-LT"/>
              </w:rPr>
            </w:pPr>
            <w:r w:rsidRPr="00E2012B">
              <w:rPr>
                <w:color w:val="000000"/>
                <w:lang w:val="lt-LT"/>
              </w:rPr>
              <w:t xml:space="preserve">Kadangi  prie bendros operacijos „SENTINEL“ yra prisijungusios tik 19 VN, OLAF, EPPO ir </w:t>
            </w:r>
            <w:proofErr w:type="spellStart"/>
            <w:r w:rsidRPr="00E2012B">
              <w:rPr>
                <w:color w:val="000000"/>
                <w:lang w:val="lt-LT"/>
              </w:rPr>
              <w:t>Eurojust</w:t>
            </w:r>
            <w:proofErr w:type="spellEnd"/>
            <w:r w:rsidRPr="00E2012B">
              <w:rPr>
                <w:color w:val="000000"/>
                <w:lang w:val="lt-LT"/>
              </w:rPr>
              <w:t xml:space="preserve"> atstovai, o reikalingas bendras ES atsakas kovoje su grobstymu, </w:t>
            </w:r>
            <w:r w:rsidRPr="00E2012B">
              <w:rPr>
                <w:b/>
                <w:color w:val="000000"/>
                <w:lang w:val="lt-LT"/>
              </w:rPr>
              <w:t>raginti prisijungti ir  likusias VN.</w:t>
            </w:r>
          </w:p>
          <w:p w:rsidR="00E2012B" w:rsidRPr="00E2012B" w:rsidRDefault="009E6585" w:rsidP="00F5370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5"/>
              <w:jc w:val="both"/>
              <w:rPr>
                <w:lang w:val="lt-LT"/>
              </w:rPr>
            </w:pPr>
            <w:r w:rsidRPr="00AD0370">
              <w:rPr>
                <w:b/>
                <w:lang w:val="lt-LT"/>
              </w:rPr>
              <w:t>Organizuoti informacijos kampanijas</w:t>
            </w:r>
            <w:r>
              <w:rPr>
                <w:b/>
                <w:lang w:val="lt-LT"/>
              </w:rPr>
              <w:t xml:space="preserve"> </w:t>
            </w:r>
            <w:r w:rsidRPr="009E6585">
              <w:rPr>
                <w:lang w:val="lt-LT"/>
              </w:rPr>
              <w:t>įtraukiant visuomenę, žiniasklaidą</w:t>
            </w:r>
            <w:r>
              <w:rPr>
                <w:lang w:val="lt-LT"/>
              </w:rPr>
              <w:t xml:space="preserve"> </w:t>
            </w:r>
            <w:r w:rsidR="00E2012B" w:rsidRPr="00E2012B">
              <w:rPr>
                <w:color w:val="000000"/>
                <w:lang w:val="lt-LT"/>
              </w:rPr>
              <w:t xml:space="preserve">dėl  ypatingo teisėsaugos dėmesio kovai su ES paramos fondų lėšų grobstymu ir jo prevencijai, didinti </w:t>
            </w:r>
            <w:r w:rsidR="00E2012B" w:rsidRPr="00E2012B">
              <w:rPr>
                <w:b/>
                <w:color w:val="000000"/>
                <w:lang w:val="lt-LT"/>
              </w:rPr>
              <w:t>ES paramą administruojančių institucijų darbuotojų atsparumą</w:t>
            </w:r>
            <w:bookmarkStart w:id="0" w:name="_GoBack"/>
            <w:bookmarkEnd w:id="0"/>
            <w:r w:rsidR="00E2012B" w:rsidRPr="00E2012B">
              <w:rPr>
                <w:b/>
                <w:color w:val="000000"/>
                <w:lang w:val="lt-LT"/>
              </w:rPr>
              <w:t>, mažinti korupcijos lygį.</w:t>
            </w:r>
          </w:p>
          <w:p w:rsidR="00CA640F" w:rsidRPr="00E2012B" w:rsidRDefault="009E6585" w:rsidP="00F5370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345"/>
              <w:jc w:val="both"/>
              <w:rPr>
                <w:lang w:val="lt-LT"/>
              </w:rPr>
            </w:pPr>
            <w:r>
              <w:rPr>
                <w:color w:val="000000"/>
                <w:lang w:val="lt-LT"/>
              </w:rPr>
              <w:lastRenderedPageBreak/>
              <w:t xml:space="preserve">Svarstyti galimybę sukurti bendrą saugyklą informacijai </w:t>
            </w:r>
            <w:r w:rsidR="00E2012B" w:rsidRPr="00E2012B">
              <w:rPr>
                <w:color w:val="000000"/>
                <w:lang w:val="lt-LT"/>
              </w:rPr>
              <w:t xml:space="preserve">apie ES paramos lėšomis finansuojamus projektus įgyvendinančių </w:t>
            </w:r>
            <w:r w:rsidR="00E2012B" w:rsidRPr="00E2012B">
              <w:rPr>
                <w:b/>
                <w:color w:val="000000"/>
                <w:lang w:val="lt-LT"/>
              </w:rPr>
              <w:t>subjektų atžvilgiu</w:t>
            </w:r>
            <w:r w:rsidR="00E2012B" w:rsidRPr="00E2012B">
              <w:rPr>
                <w:color w:val="000000"/>
                <w:lang w:val="lt-LT"/>
              </w:rPr>
              <w:t xml:space="preserve"> iškeltas baudžiamąsias bylas už sukčiavimą, korupciją, lėšų grobstymą, jų pasisavinimą ir pinigų plovimą. Tai galėtų padėti išvengti tokią nusikalstamą veiklą vienoje VN įvykdžiusių subjektų</w:t>
            </w:r>
            <w:r w:rsidR="00E2012B" w:rsidRPr="00E2012B">
              <w:rPr>
                <w:b/>
                <w:color w:val="000000"/>
                <w:lang w:val="lt-LT"/>
              </w:rPr>
              <w:t xml:space="preserve"> dalyvavimo kitų VN paskelbtuose konkursuose.</w:t>
            </w:r>
          </w:p>
        </w:tc>
      </w:tr>
    </w:tbl>
    <w:p w:rsidR="00BF7037" w:rsidRDefault="00BF7037" w:rsidP="00616977">
      <w:pPr>
        <w:pStyle w:val="BodyA"/>
        <w:rPr>
          <w:rFonts w:hAnsi="Times New Roman" w:cs="Times New Roman"/>
          <w:lang w:val="lt-LT"/>
        </w:rPr>
      </w:pPr>
    </w:p>
    <w:p w:rsidR="008951C2" w:rsidRPr="00077641" w:rsidRDefault="008951C2" w:rsidP="008951C2">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8951C2" w:rsidRPr="0065002E" w:rsidTr="007E645A">
        <w:trPr>
          <w:trHeight w:val="937"/>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8951C2" w:rsidRPr="009D494C" w:rsidRDefault="008951C2" w:rsidP="007E645A">
            <w:pPr>
              <w:rPr>
                <w:lang w:val="lt-LT"/>
              </w:rPr>
            </w:pPr>
            <w:r w:rsidRPr="009D494C">
              <w:rPr>
                <w:b/>
                <w:lang w:val="lt-LT"/>
              </w:rPr>
              <w:t xml:space="preserve">5. </w:t>
            </w:r>
            <w:r w:rsidRPr="008951C2">
              <w:rPr>
                <w:b/>
                <w:lang w:val="lt-LT"/>
              </w:rPr>
              <w:t xml:space="preserve">Kompetentingų institucijų, atsakingų už kovą su terorizmu, bendradarbiavimas </w:t>
            </w:r>
          </w:p>
          <w:p w:rsidR="008951C2" w:rsidRDefault="008951C2" w:rsidP="008951C2">
            <w:pPr>
              <w:pStyle w:val="Sraopastraipa"/>
              <w:numPr>
                <w:ilvl w:val="0"/>
                <w:numId w:val="13"/>
              </w:numPr>
              <w:spacing w:after="0"/>
              <w:ind w:hanging="374"/>
              <w:rPr>
                <w:rFonts w:hAnsi="Times New Roman" w:cs="Times New Roman"/>
                <w:i/>
                <w:lang w:val="lt-LT"/>
              </w:rPr>
            </w:pPr>
            <w:r w:rsidRPr="008951C2">
              <w:rPr>
                <w:rFonts w:hAnsi="Times New Roman" w:cs="Times New Roman"/>
                <w:i/>
                <w:lang w:val="lt-LT"/>
              </w:rPr>
              <w:t>ES kovos su terorizmu koordinatoriaus dabartinės padėties pristatymas</w:t>
            </w:r>
          </w:p>
          <w:p w:rsidR="008951C2" w:rsidRPr="008951C2" w:rsidRDefault="008951C2" w:rsidP="008951C2">
            <w:pPr>
              <w:pStyle w:val="Sraopastraipa"/>
              <w:numPr>
                <w:ilvl w:val="0"/>
                <w:numId w:val="13"/>
              </w:numPr>
              <w:ind w:hanging="375"/>
              <w:rPr>
                <w:rFonts w:hAnsi="Times New Roman" w:cs="Times New Roman"/>
                <w:i/>
                <w:lang w:val="lt-LT"/>
              </w:rPr>
            </w:pPr>
            <w:r w:rsidRPr="008951C2">
              <w:rPr>
                <w:rFonts w:hAnsi="Times New Roman" w:cs="Times New Roman"/>
                <w:i/>
                <w:lang w:val="lt-LT"/>
              </w:rPr>
              <w:t>Kovos su terorizmu grupės dabartinės padėties pristatymas</w:t>
            </w:r>
          </w:p>
          <w:p w:rsidR="008951C2" w:rsidRPr="0044087D" w:rsidRDefault="008951C2" w:rsidP="0044087D">
            <w:pPr>
              <w:pStyle w:val="BodyA"/>
              <w:tabs>
                <w:tab w:val="left" w:pos="284"/>
              </w:tabs>
              <w:spacing w:after="120"/>
              <w:ind w:left="-221"/>
              <w:jc w:val="both"/>
              <w:rPr>
                <w:rFonts w:hAnsi="Times New Roman" w:cs="Times New Roman"/>
                <w:b/>
                <w:u w:val="single"/>
                <w:lang w:val="lt-LT"/>
              </w:rPr>
            </w:pPr>
            <w:r w:rsidRPr="0044087D">
              <w:rPr>
                <w:rFonts w:hAnsi="Times New Roman" w:cs="Times New Roman"/>
                <w:b/>
                <w:u w:val="single"/>
                <w:lang w:val="lt-LT"/>
              </w:rPr>
              <w:t>Klausimo esmė:</w:t>
            </w:r>
          </w:p>
          <w:p w:rsidR="0044087D" w:rsidRPr="0044087D" w:rsidRDefault="0044087D" w:rsidP="0044087D">
            <w:pPr>
              <w:spacing w:after="120"/>
              <w:ind w:left="-221"/>
              <w:jc w:val="both"/>
              <w:rPr>
                <w:lang w:val="lt-LT"/>
              </w:rPr>
            </w:pPr>
            <w:r w:rsidRPr="0044087D">
              <w:rPr>
                <w:color w:val="000000"/>
                <w:lang w:val="lt-LT"/>
              </w:rPr>
              <w:t>ES kovos su terorizmu koordinatorius (EU CTC) kartu su Kovos su terorizmo grupės (CTG) vadovu TVR taryboje vidaus reikalų ministrams pateiks atnaujintą informaciją apie esamą padėtį. </w:t>
            </w:r>
          </w:p>
          <w:p w:rsidR="0044087D" w:rsidRPr="0044087D" w:rsidRDefault="0044087D" w:rsidP="0044087D">
            <w:pPr>
              <w:spacing w:after="120"/>
              <w:ind w:left="-221"/>
              <w:jc w:val="both"/>
              <w:rPr>
                <w:lang w:val="lt-LT"/>
              </w:rPr>
            </w:pPr>
            <w:r w:rsidRPr="0044087D">
              <w:rPr>
                <w:color w:val="000000"/>
                <w:lang w:val="lt-LT"/>
              </w:rPr>
              <w:t xml:space="preserve">2021 m. spalio 1 d. darbą pradėjo naujai paskirtas ES Kovos su terorizmu koordinatorius (EU CTC) </w:t>
            </w:r>
            <w:proofErr w:type="spellStart"/>
            <w:r w:rsidRPr="0044087D">
              <w:rPr>
                <w:color w:val="000000"/>
                <w:lang w:val="lt-LT"/>
              </w:rPr>
              <w:t>Ilka</w:t>
            </w:r>
            <w:proofErr w:type="spellEnd"/>
            <w:r w:rsidRPr="0044087D">
              <w:rPr>
                <w:color w:val="000000"/>
                <w:lang w:val="lt-LT"/>
              </w:rPr>
              <w:t xml:space="preserve"> </w:t>
            </w:r>
            <w:proofErr w:type="spellStart"/>
            <w:r w:rsidRPr="0044087D">
              <w:rPr>
                <w:color w:val="000000"/>
                <w:lang w:val="lt-LT"/>
              </w:rPr>
              <w:t>Salmi</w:t>
            </w:r>
            <w:proofErr w:type="spellEnd"/>
            <w:r w:rsidRPr="0044087D">
              <w:rPr>
                <w:color w:val="000000"/>
                <w:lang w:val="lt-LT"/>
              </w:rPr>
              <w:t xml:space="preserve">. Pasisakymo metu, tikėtina, EU CTC pasakos apie tęstinus ankstesniojo EU CTC darbus bei savo kadencijos prioritetus. Pagal turimą informaciją, EU CTC prioritetai: situacija Afganistane (taip pat ir kovos su terorizmu Afganistane veiksmų plano ir padidintų patikrų procedūros (angl. </w:t>
            </w:r>
            <w:proofErr w:type="spellStart"/>
            <w:r w:rsidRPr="0044087D">
              <w:rPr>
                <w:i/>
                <w:color w:val="000000"/>
                <w:lang w:val="lt-LT"/>
              </w:rPr>
              <w:t>Procedure</w:t>
            </w:r>
            <w:proofErr w:type="spellEnd"/>
            <w:r w:rsidRPr="0044087D">
              <w:rPr>
                <w:i/>
                <w:color w:val="000000"/>
                <w:lang w:val="lt-LT"/>
              </w:rPr>
              <w:t xml:space="preserve"> </w:t>
            </w:r>
            <w:proofErr w:type="spellStart"/>
            <w:r w:rsidRPr="0044087D">
              <w:rPr>
                <w:i/>
                <w:color w:val="000000"/>
                <w:lang w:val="lt-LT"/>
              </w:rPr>
              <w:t>for</w:t>
            </w:r>
            <w:proofErr w:type="spellEnd"/>
            <w:r w:rsidRPr="0044087D">
              <w:rPr>
                <w:i/>
                <w:color w:val="000000"/>
                <w:lang w:val="lt-LT"/>
              </w:rPr>
              <w:t xml:space="preserve"> </w:t>
            </w:r>
            <w:proofErr w:type="spellStart"/>
            <w:r w:rsidRPr="0044087D">
              <w:rPr>
                <w:i/>
                <w:color w:val="000000"/>
                <w:lang w:val="lt-LT"/>
              </w:rPr>
              <w:t>enhanced</w:t>
            </w:r>
            <w:proofErr w:type="spellEnd"/>
            <w:r w:rsidRPr="0044087D">
              <w:rPr>
                <w:i/>
                <w:color w:val="000000"/>
                <w:lang w:val="lt-LT"/>
              </w:rPr>
              <w:t xml:space="preserve"> </w:t>
            </w:r>
            <w:proofErr w:type="spellStart"/>
            <w:r w:rsidRPr="0044087D">
              <w:rPr>
                <w:i/>
                <w:color w:val="000000"/>
                <w:lang w:val="lt-LT"/>
              </w:rPr>
              <w:t>security</w:t>
            </w:r>
            <w:proofErr w:type="spellEnd"/>
            <w:r w:rsidRPr="0044087D">
              <w:rPr>
                <w:i/>
                <w:color w:val="000000"/>
                <w:lang w:val="lt-LT"/>
              </w:rPr>
              <w:t xml:space="preserve"> </w:t>
            </w:r>
            <w:proofErr w:type="spellStart"/>
            <w:r w:rsidRPr="0044087D">
              <w:rPr>
                <w:i/>
                <w:color w:val="000000"/>
                <w:lang w:val="lt-LT"/>
              </w:rPr>
              <w:t>checks</w:t>
            </w:r>
            <w:proofErr w:type="spellEnd"/>
            <w:r w:rsidRPr="0044087D">
              <w:rPr>
                <w:color w:val="000000"/>
                <w:lang w:val="lt-LT"/>
              </w:rPr>
              <w:t>) įgyvendinimas);  dėmesys ekstremistinėms ideologijoms (</w:t>
            </w:r>
            <w:proofErr w:type="spellStart"/>
            <w:r w:rsidRPr="0044087D">
              <w:rPr>
                <w:color w:val="000000"/>
                <w:lang w:val="lt-LT"/>
              </w:rPr>
              <w:t>islamizmui</w:t>
            </w:r>
            <w:proofErr w:type="spellEnd"/>
            <w:r w:rsidRPr="0044087D">
              <w:rPr>
                <w:color w:val="000000"/>
                <w:lang w:val="lt-LT"/>
              </w:rPr>
              <w:t>, kairiajam ir dešiniajam ekstremizmui), užsienio teroristų kovotojų problemai, pabėgėlių stovyklose esantiems asmenims (</w:t>
            </w:r>
            <w:proofErr w:type="spellStart"/>
            <w:r w:rsidRPr="0044087D">
              <w:rPr>
                <w:color w:val="000000"/>
                <w:lang w:val="lt-LT"/>
              </w:rPr>
              <w:t>radikalizacijos</w:t>
            </w:r>
            <w:proofErr w:type="spellEnd"/>
            <w:r w:rsidRPr="0044087D">
              <w:rPr>
                <w:color w:val="000000"/>
                <w:lang w:val="lt-LT"/>
              </w:rPr>
              <w:t xml:space="preserve"> prevencija stovyklose, humanitarinės situacijos gerinimas); dėmesys naujosioms technologijoms, tiek ieškant būdų jas pritaikyti kovos su terorizmu srityje, tiek ir užkirsti kelią jų panaudojimui </w:t>
            </w:r>
            <w:proofErr w:type="spellStart"/>
            <w:r w:rsidRPr="0044087D">
              <w:rPr>
                <w:color w:val="000000"/>
                <w:lang w:val="lt-LT"/>
              </w:rPr>
              <w:t>radikalizacijai</w:t>
            </w:r>
            <w:proofErr w:type="spellEnd"/>
            <w:r w:rsidRPr="0044087D">
              <w:rPr>
                <w:color w:val="000000"/>
                <w:lang w:val="lt-LT"/>
              </w:rPr>
              <w:t>, teroristiniams išpuoliams. EU CTC taip pat sieks gilinti bendradarbiavimą kovos su terorizmu srityje su ne-ES šalimis - Norvegija, Šveicarija, JK ir JAV.</w:t>
            </w:r>
          </w:p>
          <w:p w:rsidR="0044087D" w:rsidRPr="0044087D" w:rsidRDefault="0044087D" w:rsidP="0044087D">
            <w:pPr>
              <w:spacing w:after="120"/>
              <w:ind w:left="-221"/>
              <w:jc w:val="both"/>
              <w:rPr>
                <w:lang w:val="lt-LT"/>
              </w:rPr>
            </w:pPr>
            <w:r w:rsidRPr="0044087D">
              <w:rPr>
                <w:color w:val="000000"/>
                <w:lang w:val="lt-LT"/>
              </w:rPr>
              <w:t>Kovos su terorizmu grupė (CTG) pasisakymo metu pristatys terorizmo grėsmės Europos Sąjungoje vertinimą, apžvelgs šiandienines tendencijas, taip pat ir pandemijos įtaką, papildomas dėmesys bus skiriamas situacijai Afganistane ir galimas jos pasekmes Europos saugumui. Taip pat bus pristatoma CTG veikla vykdant prevenciją ir kovą su terorizmu, bendradarbiavimas su ES institucijomis ir agentūromis, išorės partneriais šiose srityse, apžvelgiamos svarbiausios šių metų iniciatyvos kovos su terorizmu srityje - kovos su terorizmu Afganistane veiksmų planas ir padidintų patikrų procedūra, iš trečiųjų šalių gautų užsienio teroristų kovotojų sąrašų suvedimas į Šengeno informacinę sistemą.</w:t>
            </w:r>
          </w:p>
          <w:p w:rsidR="0044087D" w:rsidRPr="0044087D" w:rsidRDefault="0044087D" w:rsidP="0044087D">
            <w:pPr>
              <w:pStyle w:val="BodyA"/>
              <w:tabs>
                <w:tab w:val="left" w:pos="284"/>
              </w:tabs>
              <w:spacing w:after="120"/>
              <w:ind w:left="-221"/>
              <w:jc w:val="both"/>
              <w:rPr>
                <w:rFonts w:hAnsi="Times New Roman" w:cs="Times New Roman"/>
                <w:b/>
                <w:u w:val="single"/>
                <w:lang w:val="lt-LT"/>
              </w:rPr>
            </w:pPr>
            <w:r w:rsidRPr="0044087D">
              <w:rPr>
                <w:rFonts w:hAnsi="Times New Roman"/>
                <w:lang w:val="lt-LT"/>
              </w:rPr>
              <w:t>Dokumentai šiuo darbotvarkės klausimu kol kas nėra išplatinti. Tai turėtų būti labiau informacinio pobūdžio punktas.</w:t>
            </w:r>
          </w:p>
          <w:p w:rsidR="008951C2" w:rsidRPr="00077641" w:rsidRDefault="008951C2" w:rsidP="0044087D">
            <w:pPr>
              <w:pStyle w:val="BodyA"/>
              <w:tabs>
                <w:tab w:val="left" w:pos="203"/>
              </w:tabs>
              <w:spacing w:after="120"/>
              <w:ind w:left="-222"/>
              <w:jc w:val="both"/>
              <w:rPr>
                <w:rFonts w:hAnsi="Times New Roman" w:cs="Times New Roman"/>
                <w:b/>
                <w:u w:val="single"/>
                <w:lang w:val="lt-LT"/>
              </w:rPr>
            </w:pPr>
            <w:r w:rsidRPr="00077641">
              <w:rPr>
                <w:rFonts w:hAnsi="Times New Roman" w:cs="Times New Roman"/>
                <w:b/>
                <w:u w:val="single"/>
                <w:lang w:val="lt-LT"/>
              </w:rPr>
              <w:t>Lietuvos pozicija:</w:t>
            </w:r>
          </w:p>
          <w:p w:rsidR="008951C2" w:rsidRPr="00D11EAE" w:rsidRDefault="0044087D" w:rsidP="0044087D">
            <w:pPr>
              <w:pStyle w:val="prastasiniatinklio"/>
              <w:spacing w:before="0" w:beforeAutospacing="0" w:after="120" w:afterAutospacing="0"/>
              <w:ind w:left="-222"/>
              <w:jc w:val="both"/>
              <w:rPr>
                <w:rFonts w:ascii="Arial" w:hAnsi="Arial" w:cs="Arial"/>
                <w:color w:val="000000"/>
                <w:sz w:val="18"/>
                <w:szCs w:val="18"/>
              </w:rPr>
            </w:pPr>
            <w:r>
              <w:rPr>
                <w:color w:val="000000"/>
              </w:rPr>
              <w:t xml:space="preserve">Tarp kovos su terorizmu prioritetų šiuo metu vienas iš svarbiausių ir aktualiausių yra Veiksmų plano prieš terorizmą Afganistane ir su juo susijusių rekomendacijų įgyvendinimas. Čia norėtume atkreipti dėmesį ir į galimas sąsajas tarp situacijų Afganistane ir Baltarusijoje, akcentuoti aiškių rizikų egzistavimą šiuo aspektu. Baltarusijos režimas gali bandyti šią situaciją </w:t>
            </w:r>
            <w:proofErr w:type="spellStart"/>
            <w:r>
              <w:rPr>
                <w:color w:val="000000"/>
              </w:rPr>
              <w:t>instrumentalizuoti</w:t>
            </w:r>
            <w:proofErr w:type="spellEnd"/>
            <w:r>
              <w:rPr>
                <w:color w:val="000000"/>
              </w:rPr>
              <w:t xml:space="preserve"> ir nukreipti migracijos iš Afganistano srautą per Baltarusiją į ES, todėl įgyvendinant minėtą veiksmų planą, būtina turėti tai omenyje ir atsižvelgti į galimas grėsmes, kadangi tarp tokiu būdu į ES bandančių patekti asmenų gali būti ir keliančių terorizmo grėsmę. </w:t>
            </w:r>
          </w:p>
        </w:tc>
      </w:tr>
    </w:tbl>
    <w:p w:rsidR="008951C2" w:rsidRDefault="008951C2" w:rsidP="008951C2">
      <w:pPr>
        <w:pStyle w:val="BodyA"/>
        <w:rPr>
          <w:rFonts w:hAnsi="Times New Roman" w:cs="Times New Roman"/>
          <w:lang w:val="lt-LT"/>
        </w:rPr>
      </w:pPr>
    </w:p>
    <w:p w:rsidR="008951C2" w:rsidRPr="00077641" w:rsidRDefault="008951C2" w:rsidP="008951C2">
      <w:pPr>
        <w:pStyle w:val="BodyA"/>
        <w:rPr>
          <w:rFonts w:hAnsi="Times New Roman" w:cs="Times New Roman"/>
          <w:lang w:val="lt-LT"/>
        </w:rPr>
      </w:pPr>
    </w:p>
    <w:p w:rsidR="008951C2" w:rsidRPr="00077641" w:rsidRDefault="008951C2" w:rsidP="008951C2">
      <w:pPr>
        <w:pStyle w:val="BodyA"/>
        <w:rPr>
          <w:rFonts w:hAnsi="Times New Roman" w:cs="Times New Roman"/>
          <w:lang w:val="lt-LT"/>
        </w:rPr>
      </w:pPr>
    </w:p>
    <w:tbl>
      <w:tblPr>
        <w:tblW w:w="9072" w:type="dxa"/>
        <w:tblInd w:w="2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8951C2" w:rsidRPr="0065002E" w:rsidTr="007E645A">
        <w:trPr>
          <w:trHeight w:val="937"/>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rsidR="008951C2" w:rsidRPr="009D494C" w:rsidRDefault="008951C2" w:rsidP="007E645A">
            <w:pPr>
              <w:rPr>
                <w:lang w:val="lt-LT"/>
              </w:rPr>
            </w:pPr>
            <w:r w:rsidRPr="009D494C">
              <w:rPr>
                <w:b/>
                <w:lang w:val="lt-LT"/>
              </w:rPr>
              <w:t xml:space="preserve">5. </w:t>
            </w:r>
            <w:r w:rsidRPr="008951C2">
              <w:rPr>
                <w:b/>
                <w:lang w:val="lt-LT"/>
              </w:rPr>
              <w:t>Migracija ka</w:t>
            </w:r>
            <w:r>
              <w:rPr>
                <w:b/>
                <w:lang w:val="lt-LT"/>
              </w:rPr>
              <w:t>ip hibridinio išpuolio priemonė</w:t>
            </w:r>
          </w:p>
          <w:p w:rsidR="008951C2" w:rsidRPr="009D494C" w:rsidRDefault="008951C2" w:rsidP="007E645A">
            <w:pPr>
              <w:pStyle w:val="Sraopastraipa"/>
              <w:numPr>
                <w:ilvl w:val="0"/>
                <w:numId w:val="13"/>
              </w:numPr>
              <w:ind w:hanging="375"/>
              <w:rPr>
                <w:rFonts w:hAnsi="Times New Roman" w:cs="Times New Roman"/>
                <w:lang w:val="lt-LT"/>
              </w:rPr>
            </w:pPr>
            <w:r w:rsidRPr="009D494C">
              <w:rPr>
                <w:i/>
                <w:iCs/>
                <w:lang w:val="lt-LT"/>
              </w:rPr>
              <w:t>Politiniai debatai</w:t>
            </w:r>
          </w:p>
          <w:p w:rsidR="008951C2" w:rsidRDefault="008951C2" w:rsidP="0034597F">
            <w:pPr>
              <w:pStyle w:val="BodyA"/>
              <w:tabs>
                <w:tab w:val="left" w:pos="284"/>
              </w:tabs>
              <w:spacing w:after="120"/>
              <w:ind w:left="-222"/>
              <w:rPr>
                <w:rFonts w:hAnsi="Times New Roman" w:cs="Times New Roman"/>
                <w:b/>
                <w:u w:val="single"/>
                <w:lang w:val="lt-LT"/>
              </w:rPr>
            </w:pPr>
            <w:r w:rsidRPr="00077641">
              <w:rPr>
                <w:rFonts w:hAnsi="Times New Roman" w:cs="Times New Roman"/>
                <w:b/>
                <w:u w:val="single"/>
                <w:lang w:val="lt-LT"/>
              </w:rPr>
              <w:t>Klausimo esmė:</w:t>
            </w:r>
          </w:p>
          <w:p w:rsidR="0034597F" w:rsidRPr="0034597F" w:rsidRDefault="0034597F" w:rsidP="0034597F">
            <w:pPr>
              <w:spacing w:after="120"/>
              <w:ind w:left="-221"/>
              <w:jc w:val="both"/>
              <w:rPr>
                <w:lang w:val="lt-LT"/>
              </w:rPr>
            </w:pPr>
            <w:r w:rsidRPr="0034597F">
              <w:rPr>
                <w:color w:val="000000"/>
                <w:lang w:val="lt-LT"/>
              </w:rPr>
              <w:t>Diskusinis dokumentas šiuo TVR Tarybos darbotvarkės klausimu dar nėra išplatintas. Todėl, kokie tiksliai klausimai bus keliami ministrų diskusijai, nėra žinoma.</w:t>
            </w:r>
          </w:p>
          <w:p w:rsidR="0034597F" w:rsidRPr="0034597F" w:rsidRDefault="0034597F" w:rsidP="0034597F">
            <w:pPr>
              <w:spacing w:after="120"/>
              <w:ind w:left="-221"/>
              <w:jc w:val="both"/>
              <w:rPr>
                <w:lang w:val="lt-LT"/>
              </w:rPr>
            </w:pPr>
            <w:r w:rsidRPr="0034597F">
              <w:rPr>
                <w:color w:val="000000"/>
                <w:lang w:val="lt-LT"/>
              </w:rPr>
              <w:t xml:space="preserve">2021 m. lapkričio 23 d. Europos Komisija pateikė </w:t>
            </w:r>
            <w:hyperlink r:id="rId8" w:history="1">
              <w:r w:rsidRPr="0034597F">
                <w:rPr>
                  <w:rStyle w:val="Hipersaitas"/>
                  <w:color w:val="000000"/>
                  <w:lang w:val="lt-LT"/>
                </w:rPr>
                <w:t>Komunikatą</w:t>
              </w:r>
            </w:hyperlink>
            <w:r w:rsidRPr="0034597F">
              <w:rPr>
                <w:color w:val="000000"/>
                <w:lang w:val="lt-LT"/>
              </w:rPr>
              <w:t xml:space="preserve"> dėl kovos su migracijos </w:t>
            </w:r>
            <w:proofErr w:type="spellStart"/>
            <w:r w:rsidRPr="0034597F">
              <w:rPr>
                <w:color w:val="000000"/>
                <w:lang w:val="lt-LT"/>
              </w:rPr>
              <w:t>instrumentalizavimu</w:t>
            </w:r>
            <w:proofErr w:type="spellEnd"/>
            <w:r w:rsidRPr="0034597F">
              <w:rPr>
                <w:color w:val="000000"/>
                <w:lang w:val="lt-LT"/>
              </w:rPr>
              <w:t xml:space="preserve"> priemonių ir </w:t>
            </w:r>
            <w:hyperlink r:id="rId9" w:history="1">
              <w:r w:rsidRPr="0034597F">
                <w:rPr>
                  <w:rStyle w:val="Hipersaitas"/>
                  <w:color w:val="000000"/>
                  <w:lang w:val="lt-LT"/>
                </w:rPr>
                <w:t>teisėkūros pasiūlymą</w:t>
              </w:r>
            </w:hyperlink>
            <w:r w:rsidRPr="0034597F">
              <w:rPr>
                <w:color w:val="000000"/>
                <w:lang w:val="lt-LT"/>
              </w:rPr>
              <w:t> dėl vežėjų, dalyvaujančių vykdant neteisėtą žmonių gabenimą, įtraukimo į juodąjį sąrašą. Šiuo pasiūlymu Europos Komisija siūlo naują teisinę sistemą, leidžiančią ES imtis tikslinių priemonių prieš bet kokios rūšies (sausumos, oro, vidaus vandenų ir jūrų) transporto operatorius, kurie užsiima nelegaliu žmonių gabenimu ar prekyba žmonėmis į EU arba vienaip ar kitaip dalyvauja šiuose procesuose.</w:t>
            </w:r>
          </w:p>
          <w:p w:rsidR="0034597F" w:rsidRPr="0034597F" w:rsidRDefault="0034597F" w:rsidP="0034597F">
            <w:pPr>
              <w:spacing w:after="120"/>
              <w:ind w:left="-221"/>
              <w:jc w:val="both"/>
              <w:rPr>
                <w:lang w:val="lt-LT"/>
              </w:rPr>
            </w:pPr>
            <w:r>
              <w:rPr>
                <w:color w:val="000000"/>
                <w:lang w:val="lt-LT"/>
              </w:rPr>
              <w:t>Praėjusią</w:t>
            </w:r>
            <w:r w:rsidRPr="0034597F">
              <w:rPr>
                <w:color w:val="000000"/>
                <w:lang w:val="lt-LT"/>
              </w:rPr>
              <w:t xml:space="preserve"> savaitę Europos Komisija </w:t>
            </w:r>
            <w:r>
              <w:rPr>
                <w:color w:val="000000"/>
                <w:lang w:val="lt-LT"/>
              </w:rPr>
              <w:t>taip pat pateikė</w:t>
            </w:r>
            <w:r w:rsidRPr="0034597F">
              <w:rPr>
                <w:color w:val="000000"/>
                <w:lang w:val="lt-LT"/>
              </w:rPr>
              <w:t xml:space="preserve"> ir teisėkūros pasiūlymą dėl Tarybos sprendimo dėl </w:t>
            </w:r>
            <w:r>
              <w:rPr>
                <w:color w:val="000000"/>
                <w:lang w:val="lt-LT"/>
              </w:rPr>
              <w:t xml:space="preserve">leidžiančių nukrypti </w:t>
            </w:r>
            <w:r w:rsidRPr="0034597F">
              <w:rPr>
                <w:color w:val="000000"/>
                <w:lang w:val="lt-LT"/>
              </w:rPr>
              <w:t>nuo ES prieglobsčio teisės</w:t>
            </w:r>
            <w:r w:rsidR="00742D29">
              <w:rPr>
                <w:color w:val="000000"/>
                <w:lang w:val="lt-LT"/>
              </w:rPr>
              <w:t xml:space="preserve"> nuostatų</w:t>
            </w:r>
            <w:r w:rsidRPr="0034597F">
              <w:rPr>
                <w:color w:val="000000"/>
                <w:lang w:val="lt-LT"/>
              </w:rPr>
              <w:t>. Nustatytoms V</w:t>
            </w:r>
            <w:r>
              <w:rPr>
                <w:color w:val="000000"/>
                <w:lang w:val="lt-LT"/>
              </w:rPr>
              <w:t xml:space="preserve">alstybėms </w:t>
            </w:r>
            <w:r w:rsidRPr="0034597F">
              <w:rPr>
                <w:color w:val="000000"/>
                <w:lang w:val="lt-LT"/>
              </w:rPr>
              <w:t>N</w:t>
            </w:r>
            <w:r>
              <w:rPr>
                <w:color w:val="000000"/>
                <w:lang w:val="lt-LT"/>
              </w:rPr>
              <w:t>arėms</w:t>
            </w:r>
            <w:r w:rsidRPr="0034597F">
              <w:rPr>
                <w:color w:val="000000"/>
                <w:lang w:val="lt-LT"/>
              </w:rPr>
              <w:t xml:space="preserve"> (</w:t>
            </w:r>
            <w:r>
              <w:rPr>
                <w:color w:val="000000"/>
                <w:lang w:val="lt-LT"/>
              </w:rPr>
              <w:t>Lenkijai</w:t>
            </w:r>
            <w:r w:rsidRPr="0034597F">
              <w:rPr>
                <w:color w:val="000000"/>
                <w:lang w:val="lt-LT"/>
              </w:rPr>
              <w:t xml:space="preserve">, </w:t>
            </w:r>
            <w:r>
              <w:rPr>
                <w:color w:val="000000"/>
                <w:lang w:val="lt-LT"/>
              </w:rPr>
              <w:t>Lietuvai ir</w:t>
            </w:r>
            <w:r w:rsidRPr="0034597F">
              <w:rPr>
                <w:color w:val="000000"/>
                <w:lang w:val="lt-LT"/>
              </w:rPr>
              <w:t xml:space="preserve"> L</w:t>
            </w:r>
            <w:r>
              <w:rPr>
                <w:color w:val="000000"/>
                <w:lang w:val="lt-LT"/>
              </w:rPr>
              <w:t>atvijai</w:t>
            </w:r>
            <w:r w:rsidRPr="0034597F">
              <w:rPr>
                <w:color w:val="000000"/>
                <w:lang w:val="lt-LT"/>
              </w:rPr>
              <w:t xml:space="preserve">) nustatytam laikui (6 mėn.) bus siūlomos išimtys iš nustatytų ES prieglobsčio </w:t>
            </w:r>
            <w:proofErr w:type="spellStart"/>
            <w:r w:rsidRPr="0034597F">
              <w:rPr>
                <w:color w:val="000000"/>
                <w:lang w:val="lt-LT"/>
              </w:rPr>
              <w:t>acquis</w:t>
            </w:r>
            <w:proofErr w:type="spellEnd"/>
            <w:r w:rsidRPr="0034597F">
              <w:rPr>
                <w:color w:val="000000"/>
                <w:lang w:val="lt-LT"/>
              </w:rPr>
              <w:t xml:space="preserve"> teisinių elementų (konkrečių teisės aktų konkrečių straipsnių). </w:t>
            </w:r>
          </w:p>
          <w:p w:rsidR="0034597F" w:rsidRPr="0034597F" w:rsidRDefault="0034597F" w:rsidP="0034597F">
            <w:pPr>
              <w:spacing w:after="120"/>
              <w:ind w:left="-221"/>
              <w:jc w:val="both"/>
            </w:pPr>
            <w:r w:rsidRPr="0034597F">
              <w:rPr>
                <w:color w:val="000000"/>
                <w:lang w:val="lt-LT"/>
              </w:rPr>
              <w:t>Tikėtina, kad gruodžio 9 d. TVR Taryboje  ministrų  diskusijos tema dėl migracijos kaip hibridinio išpuolio priemonės suksis apie aukščiau paminėtus dokumentus</w:t>
            </w:r>
            <w:r>
              <w:rPr>
                <w:color w:val="000000"/>
              </w:rPr>
              <w:t>.</w:t>
            </w:r>
          </w:p>
          <w:p w:rsidR="008951C2" w:rsidRDefault="008951C2" w:rsidP="0034597F">
            <w:pPr>
              <w:pStyle w:val="BodyA"/>
              <w:tabs>
                <w:tab w:val="left" w:pos="203"/>
              </w:tabs>
              <w:spacing w:after="120"/>
              <w:ind w:left="-222"/>
              <w:jc w:val="both"/>
              <w:rPr>
                <w:rFonts w:hAnsi="Times New Roman" w:cs="Times New Roman"/>
                <w:b/>
                <w:u w:val="single"/>
                <w:lang w:val="lt-LT"/>
              </w:rPr>
            </w:pPr>
            <w:r w:rsidRPr="00077641">
              <w:rPr>
                <w:rFonts w:hAnsi="Times New Roman" w:cs="Times New Roman"/>
                <w:b/>
                <w:u w:val="single"/>
                <w:lang w:val="lt-LT"/>
              </w:rPr>
              <w:t>Lietuvos pozicija:</w:t>
            </w:r>
          </w:p>
          <w:p w:rsidR="00742D29" w:rsidRPr="00742D29" w:rsidRDefault="00742D29" w:rsidP="00742D29">
            <w:pPr>
              <w:spacing w:after="120"/>
              <w:ind w:left="-221"/>
              <w:jc w:val="both"/>
              <w:rPr>
                <w:lang w:val="lt-LT"/>
              </w:rPr>
            </w:pPr>
            <w:r w:rsidRPr="00742D29">
              <w:rPr>
                <w:color w:val="000000"/>
                <w:lang w:val="lt-LT"/>
              </w:rPr>
              <w:t xml:space="preserve">Esame dėkingi Europos Komisijos pirmininkei už vizitą į Lietuvą – tai svarbus solidarumo gestas ir žinutė. </w:t>
            </w:r>
          </w:p>
          <w:p w:rsidR="00742D29" w:rsidRPr="00742D29" w:rsidRDefault="00742D29" w:rsidP="00742D29">
            <w:pPr>
              <w:spacing w:after="120"/>
              <w:ind w:left="-221"/>
              <w:jc w:val="both"/>
              <w:rPr>
                <w:lang w:val="lt-LT"/>
              </w:rPr>
            </w:pPr>
            <w:r w:rsidRPr="00742D29">
              <w:rPr>
                <w:color w:val="000000"/>
                <w:lang w:val="lt-LT"/>
              </w:rPr>
              <w:t xml:space="preserve">Palankiai vertiname visas pastangas dedamas kovojant su Baltarusijos režimo vykdoma hibridine ataka ir migracijos </w:t>
            </w:r>
            <w:proofErr w:type="spellStart"/>
            <w:r w:rsidRPr="00742D29">
              <w:rPr>
                <w:color w:val="000000"/>
                <w:lang w:val="lt-LT"/>
              </w:rPr>
              <w:t>instrumentalizavimu</w:t>
            </w:r>
            <w:proofErr w:type="spellEnd"/>
            <w:r w:rsidRPr="00742D29">
              <w:rPr>
                <w:color w:val="000000"/>
                <w:lang w:val="lt-LT"/>
              </w:rPr>
              <w:t>.</w:t>
            </w:r>
          </w:p>
          <w:p w:rsidR="00742D29" w:rsidRPr="00742D29" w:rsidRDefault="00742D29" w:rsidP="00742D29">
            <w:pPr>
              <w:spacing w:after="120"/>
              <w:ind w:left="-221"/>
              <w:jc w:val="both"/>
              <w:rPr>
                <w:lang w:val="lt-LT"/>
              </w:rPr>
            </w:pPr>
            <w:r w:rsidRPr="00742D29">
              <w:rPr>
                <w:color w:val="000000"/>
                <w:lang w:val="lt-LT"/>
              </w:rPr>
              <w:t xml:space="preserve">Būtina dirbti lygiagrečiai įgyvendinant keleto svarbių veiksmų ir priemonių rinkinį (sankcijos BY ir prekiautojams žmonėmis, bendradarbiavimas su trečiosiomis šalimis, darbas su tarptautinėmis organizacijomis BY, išorės sienų apsaugos priemonės (įskaitant Šengeno Sienų Kodekso adaptavimą), ES prieglobsčio </w:t>
            </w:r>
            <w:proofErr w:type="spellStart"/>
            <w:r w:rsidRPr="00742D29">
              <w:rPr>
                <w:i/>
                <w:color w:val="000000"/>
                <w:lang w:val="lt-LT"/>
              </w:rPr>
              <w:t>acquis</w:t>
            </w:r>
            <w:proofErr w:type="spellEnd"/>
            <w:r w:rsidRPr="00742D29">
              <w:rPr>
                <w:color w:val="000000"/>
                <w:lang w:val="lt-LT"/>
              </w:rPr>
              <w:t xml:space="preserve"> pritaikymas (nukrypti leidžiančios nuostatos)). </w:t>
            </w:r>
          </w:p>
          <w:p w:rsidR="00742D29" w:rsidRPr="00742D29" w:rsidRDefault="00742D29" w:rsidP="00742D29">
            <w:pPr>
              <w:spacing w:after="120"/>
              <w:ind w:left="-221"/>
              <w:jc w:val="both"/>
              <w:rPr>
                <w:lang w:val="lt-LT"/>
              </w:rPr>
            </w:pPr>
            <w:r w:rsidRPr="00742D29">
              <w:rPr>
                <w:color w:val="000000"/>
                <w:lang w:val="lt-LT"/>
              </w:rPr>
              <w:t>Remiame Komisijos pasiūlytas priemones, nukreiptas prieš transporto operatorius, kurie palengvina arba dalyvauja veiksmuose, susijusiuose su prekyba žmonėmis ar neteisėtu migrantų gabenimu, siekiant neteisėto jų patekimo į Europos Sąjungos teritoriją. </w:t>
            </w:r>
          </w:p>
          <w:p w:rsidR="00742D29" w:rsidRPr="00742D29" w:rsidRDefault="00742D29" w:rsidP="00742D29">
            <w:pPr>
              <w:spacing w:after="120"/>
              <w:ind w:left="-221"/>
              <w:jc w:val="both"/>
              <w:rPr>
                <w:lang w:val="lt-LT"/>
              </w:rPr>
            </w:pPr>
            <w:r w:rsidRPr="00742D29">
              <w:rPr>
                <w:color w:val="000000"/>
                <w:lang w:val="lt-LT"/>
              </w:rPr>
              <w:t xml:space="preserve">Taip pat palaikome Komisijos pasiūlymą dėl Tarybos sprendimo dėl leidžiančių nukrypti nuo ES prieglobsčio </w:t>
            </w:r>
            <w:proofErr w:type="spellStart"/>
            <w:r w:rsidRPr="00742D29">
              <w:rPr>
                <w:color w:val="000000"/>
                <w:lang w:val="lt-LT"/>
              </w:rPr>
              <w:t>acquis</w:t>
            </w:r>
            <w:proofErr w:type="spellEnd"/>
            <w:r w:rsidRPr="00742D29">
              <w:rPr>
                <w:color w:val="000000"/>
                <w:lang w:val="lt-LT"/>
              </w:rPr>
              <w:t xml:space="preserve"> nuostatų. Tai gera idėja, tik ji dar turi būti derinama ir tobulinama glaudžiai bendradarbiaujant su paveiktomis valstybėmis narėmis.</w:t>
            </w:r>
          </w:p>
          <w:p w:rsidR="0034597F" w:rsidRPr="0034597F" w:rsidRDefault="00742D29" w:rsidP="00742D29">
            <w:pPr>
              <w:pStyle w:val="BodyA"/>
              <w:tabs>
                <w:tab w:val="left" w:pos="203"/>
              </w:tabs>
              <w:spacing w:after="120"/>
              <w:ind w:left="-221"/>
              <w:jc w:val="both"/>
              <w:rPr>
                <w:rFonts w:hAnsi="Times New Roman" w:cs="Times New Roman"/>
                <w:b/>
                <w:u w:val="single"/>
                <w:lang w:val="lt-LT"/>
              </w:rPr>
            </w:pPr>
            <w:r w:rsidRPr="00742D29">
              <w:rPr>
                <w:rFonts w:hAnsi="Times New Roman"/>
                <w:lang w:val="lt-LT"/>
              </w:rPr>
              <w:t>Taip pat svarbu užtikrinti tinkamą pasirengimą prieš ES ir jos VN nukreiptoms dezinformacijos kampanijoms, kuriomis siekiama diskredituoti ES. Atsižvelgiant į tai, turime stiprinti ir strateginės komunikacijos pajėgumus, tiek nacionaliniuose, tiek ES lygmenyje.</w:t>
            </w:r>
          </w:p>
        </w:tc>
      </w:tr>
    </w:tbl>
    <w:p w:rsidR="008951C2" w:rsidRDefault="008951C2" w:rsidP="008951C2">
      <w:pPr>
        <w:pStyle w:val="BodyA"/>
        <w:rPr>
          <w:rFonts w:hAnsi="Times New Roman" w:cs="Times New Roman"/>
          <w:lang w:val="lt-LT"/>
        </w:rPr>
      </w:pPr>
    </w:p>
    <w:p w:rsidR="008951C2" w:rsidRPr="00077641" w:rsidRDefault="008951C2" w:rsidP="008951C2">
      <w:pPr>
        <w:pStyle w:val="BodyA"/>
        <w:rPr>
          <w:rFonts w:hAnsi="Times New Roman" w:cs="Times New Roman"/>
          <w:lang w:val="lt-LT"/>
        </w:rPr>
      </w:pPr>
    </w:p>
    <w:p w:rsidR="009237CB" w:rsidRPr="00077641" w:rsidRDefault="009237CB" w:rsidP="00E510A7">
      <w:pPr>
        <w:pStyle w:val="BodyA"/>
        <w:rPr>
          <w:rFonts w:hAnsi="Times New Roman" w:cs="Times New Roman"/>
          <w:lang w:val="lt-LT"/>
        </w:rPr>
      </w:pPr>
    </w:p>
    <w:sectPr w:rsidR="009237CB" w:rsidRPr="00077641">
      <w:headerReference w:type="default" r:id="rId10"/>
      <w:footerReference w:type="default" r:id="rId11"/>
      <w:headerReference w:type="first" r:id="rId12"/>
      <w:footerReference w:type="first" r:id="rId13"/>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334" w:rsidRDefault="00EC7334">
      <w:r>
        <w:separator/>
      </w:r>
    </w:p>
  </w:endnote>
  <w:endnote w:type="continuationSeparator" w:id="0">
    <w:p w:rsidR="00EC7334" w:rsidRDefault="00EC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17F" w:rsidRPr="00F526F9" w:rsidRDefault="004B217F">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4" w:rsidRDefault="00B70894" w:rsidP="00B70894">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p w:rsidR="00B70894" w:rsidRDefault="00B708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334" w:rsidRDefault="00EC7334">
      <w:r>
        <w:separator/>
      </w:r>
    </w:p>
  </w:footnote>
  <w:footnote w:type="continuationSeparator" w:id="0">
    <w:p w:rsidR="00EC7334" w:rsidRDefault="00EC7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6F9" w:rsidRPr="00D920D6" w:rsidRDefault="00EE1216" w:rsidP="00F526F9">
    <w:pPr>
      <w:pStyle w:val="BodyA"/>
      <w:tabs>
        <w:tab w:val="center" w:pos="4153"/>
        <w:tab w:val="right" w:pos="8306"/>
      </w:tabs>
      <w:jc w:val="right"/>
      <w:rPr>
        <w:rFonts w:hAnsi="Times New Roman" w:cs="Times New Roman"/>
        <w:i/>
        <w:iCs/>
        <w:lang w:val="lt-LT"/>
      </w:rPr>
    </w:pPr>
    <w:r w:rsidRPr="00D920D6">
      <w:rPr>
        <w:lang w:val="lt-LT"/>
      </w:rPr>
      <w:t xml:space="preserve">                                         </w:t>
    </w:r>
    <w:r w:rsidR="00F526F9" w:rsidRPr="00D920D6">
      <w:rPr>
        <w:rFonts w:hAnsi="Times New Roman" w:cs="Times New Roman"/>
        <w:i/>
        <w:iCs/>
        <w:lang w:val="lt-LT"/>
      </w:rPr>
      <w:t>Parengė: Lietuvos Respublikos vidaus reikalų ministerija</w:t>
    </w:r>
  </w:p>
  <w:p w:rsidR="00F526F9" w:rsidRPr="00D920D6" w:rsidRDefault="00F526F9" w:rsidP="00F526F9">
    <w:pPr>
      <w:pStyle w:val="BodyA"/>
      <w:tabs>
        <w:tab w:val="center" w:pos="4153"/>
        <w:tab w:val="right" w:pos="8306"/>
      </w:tabs>
      <w:jc w:val="right"/>
      <w:rPr>
        <w:rFonts w:hAnsi="Times New Roman" w:cs="Times New Roman"/>
        <w:i/>
        <w:iCs/>
        <w:lang w:val="lt-LT"/>
      </w:rPr>
    </w:pPr>
    <w:r w:rsidRPr="00D920D6">
      <w:rPr>
        <w:rFonts w:hAnsi="Times New Roman" w:cs="Times New Roman"/>
        <w:i/>
        <w:iCs/>
        <w:lang w:val="lt-LT"/>
      </w:rPr>
      <w:t>(Tarptautinio bendradarbiavimo grupė)</w:t>
    </w:r>
  </w:p>
  <w:p w:rsidR="00F526F9" w:rsidRPr="00D920D6" w:rsidRDefault="00F526F9" w:rsidP="00F526F9">
    <w:pPr>
      <w:pStyle w:val="BodyA"/>
      <w:tabs>
        <w:tab w:val="center" w:pos="4153"/>
        <w:tab w:val="right" w:pos="8306"/>
      </w:tabs>
      <w:jc w:val="right"/>
      <w:rPr>
        <w:rFonts w:hAnsi="Times New Roman" w:cs="Times New Roman"/>
        <w:lang w:val="lt-LT"/>
      </w:rPr>
    </w:pPr>
    <w:r w:rsidRPr="00D920D6">
      <w:rPr>
        <w:rFonts w:hAnsi="Times New Roman" w:cs="Times New Roman"/>
        <w:i/>
        <w:iCs/>
        <w:lang w:val="lt-LT"/>
      </w:rPr>
      <w:t>202</w:t>
    </w:r>
    <w:r w:rsidR="00D920D6" w:rsidRPr="00D920D6">
      <w:rPr>
        <w:rFonts w:hAnsi="Times New Roman" w:cs="Times New Roman"/>
        <w:i/>
        <w:iCs/>
        <w:lang w:val="lt-LT"/>
      </w:rPr>
      <w:t>1</w:t>
    </w:r>
    <w:r w:rsidRPr="00D920D6">
      <w:rPr>
        <w:rFonts w:hAnsi="Times New Roman" w:cs="Times New Roman"/>
        <w:i/>
        <w:iCs/>
        <w:lang w:val="lt-LT"/>
      </w:rPr>
      <w:t xml:space="preserve"> m. </w:t>
    </w:r>
    <w:r w:rsidR="00B40C75">
      <w:rPr>
        <w:rFonts w:hAnsi="Times New Roman" w:cs="Times New Roman"/>
        <w:i/>
        <w:iCs/>
        <w:lang w:val="lt-LT"/>
      </w:rPr>
      <w:t>gruodžio</w:t>
    </w:r>
    <w:r w:rsidR="005C468E">
      <w:rPr>
        <w:rFonts w:hAnsi="Times New Roman" w:cs="Times New Roman"/>
        <w:i/>
        <w:iCs/>
        <w:lang w:val="lt-LT"/>
      </w:rPr>
      <w:t xml:space="preserve"> </w:t>
    </w:r>
    <w:r w:rsidR="00B40C75">
      <w:rPr>
        <w:rFonts w:hAnsi="Times New Roman" w:cs="Times New Roman"/>
        <w:i/>
        <w:iCs/>
        <w:lang w:val="lt-LT"/>
      </w:rPr>
      <w:t>6</w:t>
    </w:r>
    <w:r w:rsidRPr="00D920D6">
      <w:rPr>
        <w:rFonts w:hAnsi="Times New Roman" w:cs="Times New Roman"/>
        <w:i/>
        <w:iCs/>
        <w:lang w:val="lt-LT"/>
      </w:rPr>
      <w:t xml:space="preserve"> d.</w:t>
    </w:r>
  </w:p>
  <w:p w:rsidR="004B217F" w:rsidRPr="00742CF5" w:rsidRDefault="004B217F" w:rsidP="00F526F9">
    <w:pPr>
      <w:pStyle w:val="BodyA"/>
      <w:tabs>
        <w:tab w:val="center" w:pos="4153"/>
        <w:tab w:val="right" w:pos="8306"/>
      </w:tabs>
      <w:jc w:val="right"/>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E0C" w:rsidRPr="008C30EF" w:rsidRDefault="00EF0DF3" w:rsidP="00B03FB8">
    <w:pPr>
      <w:pStyle w:val="BodyA"/>
      <w:tabs>
        <w:tab w:val="center" w:pos="4153"/>
        <w:tab w:val="right" w:pos="8306"/>
      </w:tabs>
      <w:jc w:val="right"/>
      <w:rPr>
        <w:rFonts w:hAnsi="Times New Roman" w:cs="Times New Roman"/>
        <w:i/>
        <w:iCs/>
        <w:lang w:val="lt-LT"/>
      </w:rPr>
    </w:pPr>
    <w:r w:rsidRPr="008C30EF">
      <w:rPr>
        <w:rFonts w:hAnsi="Times New Roman" w:cs="Times New Roman"/>
        <w:i/>
        <w:iCs/>
        <w:lang w:val="lt-LT"/>
      </w:rPr>
      <w:t>Parengė:</w:t>
    </w:r>
    <w:r w:rsidR="002C7E0C" w:rsidRPr="008C30EF">
      <w:rPr>
        <w:rFonts w:hAnsi="Times New Roman" w:cs="Times New Roman"/>
        <w:i/>
        <w:iCs/>
        <w:lang w:val="lt-LT"/>
      </w:rPr>
      <w:t xml:space="preserve"> Lietuvos Respublikos vidaus reikalų ministerija</w:t>
    </w:r>
  </w:p>
  <w:p w:rsidR="00EF0DF3" w:rsidRPr="008C30EF" w:rsidRDefault="002C7E0C" w:rsidP="00B03FB8">
    <w:pPr>
      <w:pStyle w:val="BodyA"/>
      <w:tabs>
        <w:tab w:val="center" w:pos="4153"/>
        <w:tab w:val="right" w:pos="8306"/>
      </w:tabs>
      <w:jc w:val="right"/>
      <w:rPr>
        <w:rFonts w:hAnsi="Times New Roman" w:cs="Times New Roman"/>
        <w:i/>
        <w:iCs/>
        <w:lang w:val="lt-LT"/>
      </w:rPr>
    </w:pPr>
    <w:r w:rsidRPr="008C30EF">
      <w:rPr>
        <w:rFonts w:hAnsi="Times New Roman" w:cs="Times New Roman"/>
        <w:i/>
        <w:iCs/>
        <w:lang w:val="lt-LT"/>
      </w:rPr>
      <w:t>(Tarptautinio bendradarbiavimo grupė)</w:t>
    </w:r>
  </w:p>
  <w:p w:rsidR="00EF0DF3" w:rsidRPr="008C30EF" w:rsidRDefault="00416028" w:rsidP="00B03FB8">
    <w:pPr>
      <w:pStyle w:val="BodyA"/>
      <w:tabs>
        <w:tab w:val="center" w:pos="4153"/>
        <w:tab w:val="right" w:pos="8306"/>
      </w:tabs>
      <w:jc w:val="right"/>
      <w:rPr>
        <w:rFonts w:hAnsi="Times New Roman" w:cs="Times New Roman"/>
        <w:lang w:val="lt-LT"/>
      </w:rPr>
    </w:pPr>
    <w:r w:rsidRPr="008C30EF">
      <w:rPr>
        <w:rFonts w:hAnsi="Times New Roman" w:cs="Times New Roman"/>
        <w:i/>
        <w:iCs/>
        <w:lang w:val="lt-LT"/>
      </w:rPr>
      <w:t>202</w:t>
    </w:r>
    <w:r w:rsidR="008C30EF" w:rsidRPr="008C30EF">
      <w:rPr>
        <w:rFonts w:hAnsi="Times New Roman" w:cs="Times New Roman"/>
        <w:i/>
        <w:iCs/>
        <w:lang w:val="lt-LT"/>
      </w:rPr>
      <w:t>1</w:t>
    </w:r>
    <w:r w:rsidRPr="008C30EF">
      <w:rPr>
        <w:rFonts w:hAnsi="Times New Roman" w:cs="Times New Roman"/>
        <w:i/>
        <w:iCs/>
        <w:lang w:val="lt-LT"/>
      </w:rPr>
      <w:t xml:space="preserve"> m. </w:t>
    </w:r>
    <w:r w:rsidR="00B40C75">
      <w:rPr>
        <w:rFonts w:hAnsi="Times New Roman" w:cs="Times New Roman"/>
        <w:i/>
        <w:iCs/>
        <w:lang w:val="lt-LT"/>
      </w:rPr>
      <w:t>gruodžio</w:t>
    </w:r>
    <w:r w:rsidR="00672EE0" w:rsidRPr="008C30EF">
      <w:rPr>
        <w:rFonts w:hAnsi="Times New Roman" w:cs="Times New Roman"/>
        <w:i/>
        <w:iCs/>
        <w:lang w:val="lt-LT"/>
      </w:rPr>
      <w:t xml:space="preserve"> </w:t>
    </w:r>
    <w:r w:rsidR="00B40C75">
      <w:rPr>
        <w:rFonts w:hAnsi="Times New Roman" w:cs="Times New Roman"/>
        <w:i/>
        <w:iCs/>
        <w:lang w:val="lt-LT"/>
      </w:rPr>
      <w:t>6</w:t>
    </w:r>
    <w:r w:rsidR="00672EE0" w:rsidRPr="008C30EF">
      <w:rPr>
        <w:rFonts w:hAnsi="Times New Roman" w:cs="Times New Roman"/>
        <w:i/>
        <w:iCs/>
        <w:lang w:val="lt-LT"/>
      </w:rPr>
      <w:t xml:space="preserve"> </w:t>
    </w:r>
    <w:r w:rsidR="002C7E0C" w:rsidRPr="008C30EF">
      <w:rPr>
        <w:rFonts w:hAnsi="Times New Roman" w:cs="Times New Roman"/>
        <w:i/>
        <w:iCs/>
        <w:lang w:val="lt-LT"/>
      </w:rPr>
      <w:t>d.</w:t>
    </w:r>
  </w:p>
  <w:p w:rsidR="00EF0DF3" w:rsidRPr="00A60FAF" w:rsidRDefault="00EF0DF3" w:rsidP="00EF0DF3">
    <w:pPr>
      <w:pStyle w:val="Antrats"/>
      <w:jc w:val="right"/>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6B54"/>
    <w:multiLevelType w:val="hybridMultilevel"/>
    <w:tmpl w:val="038C877A"/>
    <w:lvl w:ilvl="0" w:tplc="AA0C0110">
      <w:start w:val="1"/>
      <w:numFmt w:val="lowerLetter"/>
      <w:lvlText w:val="%1)"/>
      <w:lvlJc w:val="left"/>
      <w:pPr>
        <w:ind w:left="139" w:hanging="360"/>
      </w:pPr>
      <w:rPr>
        <w:rFonts w:hint="default"/>
      </w:rPr>
    </w:lvl>
    <w:lvl w:ilvl="1" w:tplc="04270019" w:tentative="1">
      <w:start w:val="1"/>
      <w:numFmt w:val="lowerLetter"/>
      <w:lvlText w:val="%2."/>
      <w:lvlJc w:val="left"/>
      <w:pPr>
        <w:ind w:left="859" w:hanging="360"/>
      </w:pPr>
    </w:lvl>
    <w:lvl w:ilvl="2" w:tplc="0427001B" w:tentative="1">
      <w:start w:val="1"/>
      <w:numFmt w:val="lowerRoman"/>
      <w:lvlText w:val="%3."/>
      <w:lvlJc w:val="right"/>
      <w:pPr>
        <w:ind w:left="1579" w:hanging="180"/>
      </w:pPr>
    </w:lvl>
    <w:lvl w:ilvl="3" w:tplc="0427000F" w:tentative="1">
      <w:start w:val="1"/>
      <w:numFmt w:val="decimal"/>
      <w:lvlText w:val="%4."/>
      <w:lvlJc w:val="left"/>
      <w:pPr>
        <w:ind w:left="2299" w:hanging="360"/>
      </w:pPr>
    </w:lvl>
    <w:lvl w:ilvl="4" w:tplc="04270019" w:tentative="1">
      <w:start w:val="1"/>
      <w:numFmt w:val="lowerLetter"/>
      <w:lvlText w:val="%5."/>
      <w:lvlJc w:val="left"/>
      <w:pPr>
        <w:ind w:left="3019" w:hanging="360"/>
      </w:pPr>
    </w:lvl>
    <w:lvl w:ilvl="5" w:tplc="0427001B" w:tentative="1">
      <w:start w:val="1"/>
      <w:numFmt w:val="lowerRoman"/>
      <w:lvlText w:val="%6."/>
      <w:lvlJc w:val="right"/>
      <w:pPr>
        <w:ind w:left="3739" w:hanging="180"/>
      </w:pPr>
    </w:lvl>
    <w:lvl w:ilvl="6" w:tplc="0427000F" w:tentative="1">
      <w:start w:val="1"/>
      <w:numFmt w:val="decimal"/>
      <w:lvlText w:val="%7."/>
      <w:lvlJc w:val="left"/>
      <w:pPr>
        <w:ind w:left="4459" w:hanging="360"/>
      </w:pPr>
    </w:lvl>
    <w:lvl w:ilvl="7" w:tplc="04270019" w:tentative="1">
      <w:start w:val="1"/>
      <w:numFmt w:val="lowerLetter"/>
      <w:lvlText w:val="%8."/>
      <w:lvlJc w:val="left"/>
      <w:pPr>
        <w:ind w:left="5179" w:hanging="360"/>
      </w:pPr>
    </w:lvl>
    <w:lvl w:ilvl="8" w:tplc="0427001B" w:tentative="1">
      <w:start w:val="1"/>
      <w:numFmt w:val="lowerRoman"/>
      <w:lvlText w:val="%9."/>
      <w:lvlJc w:val="right"/>
      <w:pPr>
        <w:ind w:left="5899" w:hanging="180"/>
      </w:pPr>
    </w:lvl>
  </w:abstractNum>
  <w:abstractNum w:abstractNumId="1"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59CB0B9"/>
    <w:multiLevelType w:val="hybridMultilevel"/>
    <w:tmpl w:val="4B5A44CA"/>
    <w:lvl w:ilvl="0" w:tplc="3E20B9A1">
      <w:start w:val="1"/>
      <w:numFmt w:val="decimal"/>
      <w:lvlText w:val="%1."/>
      <w:lvlJc w:val="left"/>
      <w:pPr>
        <w:ind w:left="720" w:hanging="360"/>
      </w:pPr>
    </w:lvl>
    <w:lvl w:ilvl="1" w:tplc="6EBA5CC0">
      <w:start w:val="1"/>
      <w:numFmt w:val="decimal"/>
      <w:lvlText w:val="%2."/>
      <w:lvlJc w:val="left"/>
      <w:pPr>
        <w:ind w:left="1440" w:hanging="360"/>
      </w:pPr>
    </w:lvl>
    <w:lvl w:ilvl="2" w:tplc="76C3ACF8">
      <w:start w:val="1"/>
      <w:numFmt w:val="decimal"/>
      <w:lvlText w:val="%3."/>
      <w:lvlJc w:val="left"/>
      <w:pPr>
        <w:ind w:left="2160" w:hanging="360"/>
      </w:pPr>
    </w:lvl>
    <w:lvl w:ilvl="3" w:tplc="4B334640">
      <w:start w:val="1"/>
      <w:numFmt w:val="decimal"/>
      <w:lvlText w:val="%4."/>
      <w:lvlJc w:val="left"/>
      <w:pPr>
        <w:ind w:left="2880" w:hanging="360"/>
      </w:pPr>
    </w:lvl>
    <w:lvl w:ilvl="4" w:tplc="3686A1F0">
      <w:start w:val="1"/>
      <w:numFmt w:val="decimal"/>
      <w:lvlText w:val="%5."/>
      <w:lvlJc w:val="left"/>
      <w:pPr>
        <w:ind w:left="3600" w:hanging="360"/>
      </w:pPr>
    </w:lvl>
    <w:lvl w:ilvl="5" w:tplc="11C76007">
      <w:start w:val="1"/>
      <w:numFmt w:val="decimal"/>
      <w:lvlText w:val="%6."/>
      <w:lvlJc w:val="left"/>
      <w:pPr>
        <w:ind w:left="4320" w:hanging="360"/>
      </w:pPr>
    </w:lvl>
    <w:lvl w:ilvl="6" w:tplc="6BEB6FEA">
      <w:start w:val="1"/>
      <w:numFmt w:val="decimal"/>
      <w:lvlText w:val="%7."/>
      <w:lvlJc w:val="left"/>
      <w:pPr>
        <w:ind w:left="5040" w:hanging="360"/>
      </w:pPr>
    </w:lvl>
    <w:lvl w:ilvl="7" w:tplc="3E22F8CB">
      <w:start w:val="1"/>
      <w:numFmt w:val="decimal"/>
      <w:lvlText w:val="%8."/>
      <w:lvlJc w:val="left"/>
      <w:pPr>
        <w:ind w:left="5760" w:hanging="360"/>
      </w:pPr>
    </w:lvl>
    <w:lvl w:ilvl="8" w:tplc="6A8ABE1A">
      <w:start w:val="1"/>
      <w:numFmt w:val="decimal"/>
      <w:lvlText w:val="%9."/>
      <w:lvlJc w:val="left"/>
      <w:pPr>
        <w:ind w:left="6480" w:hanging="360"/>
      </w:pPr>
    </w:lvl>
  </w:abstractNum>
  <w:abstractNum w:abstractNumId="3"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15:restartNumberingAfterBreak="0">
    <w:nsid w:val="0985529F"/>
    <w:multiLevelType w:val="multilevel"/>
    <w:tmpl w:val="DD46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76DD7"/>
    <w:multiLevelType w:val="hybridMultilevel"/>
    <w:tmpl w:val="10501090"/>
    <w:lvl w:ilvl="0" w:tplc="CBB0B36E">
      <w:start w:val="1"/>
      <w:numFmt w:val="lowerLetter"/>
      <w:lvlText w:val="%1)"/>
      <w:lvlJc w:val="left"/>
      <w:pPr>
        <w:ind w:left="139" w:hanging="360"/>
      </w:pPr>
      <w:rPr>
        <w:rFonts w:hint="default"/>
      </w:rPr>
    </w:lvl>
    <w:lvl w:ilvl="1" w:tplc="04270019" w:tentative="1">
      <w:start w:val="1"/>
      <w:numFmt w:val="lowerLetter"/>
      <w:lvlText w:val="%2."/>
      <w:lvlJc w:val="left"/>
      <w:pPr>
        <w:ind w:left="859" w:hanging="360"/>
      </w:pPr>
    </w:lvl>
    <w:lvl w:ilvl="2" w:tplc="0427001B" w:tentative="1">
      <w:start w:val="1"/>
      <w:numFmt w:val="lowerRoman"/>
      <w:lvlText w:val="%3."/>
      <w:lvlJc w:val="right"/>
      <w:pPr>
        <w:ind w:left="1579" w:hanging="180"/>
      </w:pPr>
    </w:lvl>
    <w:lvl w:ilvl="3" w:tplc="0427000F" w:tentative="1">
      <w:start w:val="1"/>
      <w:numFmt w:val="decimal"/>
      <w:lvlText w:val="%4."/>
      <w:lvlJc w:val="left"/>
      <w:pPr>
        <w:ind w:left="2299" w:hanging="360"/>
      </w:pPr>
    </w:lvl>
    <w:lvl w:ilvl="4" w:tplc="04270019" w:tentative="1">
      <w:start w:val="1"/>
      <w:numFmt w:val="lowerLetter"/>
      <w:lvlText w:val="%5."/>
      <w:lvlJc w:val="left"/>
      <w:pPr>
        <w:ind w:left="3019" w:hanging="360"/>
      </w:pPr>
    </w:lvl>
    <w:lvl w:ilvl="5" w:tplc="0427001B" w:tentative="1">
      <w:start w:val="1"/>
      <w:numFmt w:val="lowerRoman"/>
      <w:lvlText w:val="%6."/>
      <w:lvlJc w:val="right"/>
      <w:pPr>
        <w:ind w:left="3739" w:hanging="180"/>
      </w:pPr>
    </w:lvl>
    <w:lvl w:ilvl="6" w:tplc="0427000F" w:tentative="1">
      <w:start w:val="1"/>
      <w:numFmt w:val="decimal"/>
      <w:lvlText w:val="%7."/>
      <w:lvlJc w:val="left"/>
      <w:pPr>
        <w:ind w:left="4459" w:hanging="360"/>
      </w:pPr>
    </w:lvl>
    <w:lvl w:ilvl="7" w:tplc="04270019" w:tentative="1">
      <w:start w:val="1"/>
      <w:numFmt w:val="lowerLetter"/>
      <w:lvlText w:val="%8."/>
      <w:lvlJc w:val="left"/>
      <w:pPr>
        <w:ind w:left="5179" w:hanging="360"/>
      </w:pPr>
    </w:lvl>
    <w:lvl w:ilvl="8" w:tplc="0427001B" w:tentative="1">
      <w:start w:val="1"/>
      <w:numFmt w:val="lowerRoman"/>
      <w:lvlText w:val="%9."/>
      <w:lvlJc w:val="right"/>
      <w:pPr>
        <w:ind w:left="5899" w:hanging="180"/>
      </w:pPr>
    </w:lvl>
  </w:abstractNum>
  <w:abstractNum w:abstractNumId="6" w15:restartNumberingAfterBreak="0">
    <w:nsid w:val="0F4155F4"/>
    <w:multiLevelType w:val="hybridMultilevel"/>
    <w:tmpl w:val="4F0E4F92"/>
    <w:lvl w:ilvl="0" w:tplc="051EA7DC">
      <w:start w:val="1"/>
      <w:numFmt w:val="bullet"/>
      <w:lvlText w:val=""/>
      <w:lvlJc w:val="left"/>
      <w:pPr>
        <w:ind w:left="720" w:hanging="360"/>
      </w:pPr>
      <w:rPr>
        <w:rFonts w:ascii="Symbol" w:hAnsi="Symbol"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751E69"/>
    <w:multiLevelType w:val="hybridMultilevel"/>
    <w:tmpl w:val="DE2E4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9" w15:restartNumberingAfterBreak="0">
    <w:nsid w:val="1BDD3672"/>
    <w:multiLevelType w:val="hybridMultilevel"/>
    <w:tmpl w:val="946EEF06"/>
    <w:lvl w:ilvl="0" w:tplc="61A4341C">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1" w15:restartNumberingAfterBreak="0">
    <w:nsid w:val="1DBA3CAC"/>
    <w:multiLevelType w:val="hybridMultilevel"/>
    <w:tmpl w:val="86FCEC26"/>
    <w:lvl w:ilvl="0" w:tplc="131DD2B9">
      <w:start w:val="1"/>
      <w:numFmt w:val="decimal"/>
      <w:lvlText w:val="%1."/>
      <w:lvlJc w:val="left"/>
      <w:pPr>
        <w:ind w:left="720" w:hanging="360"/>
      </w:pPr>
    </w:lvl>
    <w:lvl w:ilvl="1" w:tplc="3EFB4CA7">
      <w:start w:val="1"/>
      <w:numFmt w:val="decimal"/>
      <w:lvlText w:val="%2."/>
      <w:lvlJc w:val="left"/>
      <w:pPr>
        <w:ind w:left="1440" w:hanging="360"/>
      </w:pPr>
    </w:lvl>
    <w:lvl w:ilvl="2" w:tplc="2417D735">
      <w:start w:val="1"/>
      <w:numFmt w:val="decimal"/>
      <w:lvlText w:val="%3."/>
      <w:lvlJc w:val="left"/>
      <w:pPr>
        <w:ind w:left="2160" w:hanging="360"/>
      </w:pPr>
    </w:lvl>
    <w:lvl w:ilvl="3" w:tplc="5D115D87">
      <w:start w:val="1"/>
      <w:numFmt w:val="decimal"/>
      <w:lvlText w:val="%4."/>
      <w:lvlJc w:val="left"/>
      <w:pPr>
        <w:ind w:left="2880" w:hanging="360"/>
      </w:pPr>
    </w:lvl>
    <w:lvl w:ilvl="4" w:tplc="5066557E">
      <w:start w:val="1"/>
      <w:numFmt w:val="decimal"/>
      <w:lvlText w:val="%5."/>
      <w:lvlJc w:val="left"/>
      <w:pPr>
        <w:ind w:left="3600" w:hanging="360"/>
      </w:pPr>
    </w:lvl>
    <w:lvl w:ilvl="5" w:tplc="482512DD">
      <w:start w:val="1"/>
      <w:numFmt w:val="decimal"/>
      <w:lvlText w:val="%6."/>
      <w:lvlJc w:val="left"/>
      <w:pPr>
        <w:ind w:left="4320" w:hanging="360"/>
      </w:pPr>
    </w:lvl>
    <w:lvl w:ilvl="6" w:tplc="5BD5E908">
      <w:start w:val="1"/>
      <w:numFmt w:val="decimal"/>
      <w:lvlText w:val="%7."/>
      <w:lvlJc w:val="left"/>
      <w:pPr>
        <w:ind w:left="5040" w:hanging="360"/>
      </w:pPr>
    </w:lvl>
    <w:lvl w:ilvl="7" w:tplc="5741BE17">
      <w:start w:val="1"/>
      <w:numFmt w:val="decimal"/>
      <w:lvlText w:val="%8."/>
      <w:lvlJc w:val="left"/>
      <w:pPr>
        <w:ind w:left="5760" w:hanging="360"/>
      </w:pPr>
    </w:lvl>
    <w:lvl w:ilvl="8" w:tplc="04254BFB">
      <w:start w:val="1"/>
      <w:numFmt w:val="decimal"/>
      <w:lvlText w:val="%9."/>
      <w:lvlJc w:val="left"/>
      <w:pPr>
        <w:ind w:left="6480" w:hanging="360"/>
      </w:pPr>
    </w:lvl>
  </w:abstractNum>
  <w:abstractNum w:abstractNumId="12" w15:restartNumberingAfterBreak="0">
    <w:nsid w:val="251963E0"/>
    <w:multiLevelType w:val="hybridMultilevel"/>
    <w:tmpl w:val="33CA2FE8"/>
    <w:lvl w:ilvl="0" w:tplc="6F2A20F8">
      <w:start w:val="1"/>
      <w:numFmt w:val="lowerLetter"/>
      <w:lvlText w:val="%1)"/>
      <w:lvlJc w:val="left"/>
      <w:pPr>
        <w:ind w:left="139" w:hanging="360"/>
      </w:pPr>
      <w:rPr>
        <w:rFonts w:hint="default"/>
      </w:rPr>
    </w:lvl>
    <w:lvl w:ilvl="1" w:tplc="04270019" w:tentative="1">
      <w:start w:val="1"/>
      <w:numFmt w:val="lowerLetter"/>
      <w:lvlText w:val="%2."/>
      <w:lvlJc w:val="left"/>
      <w:pPr>
        <w:ind w:left="859" w:hanging="360"/>
      </w:pPr>
    </w:lvl>
    <w:lvl w:ilvl="2" w:tplc="0427001B" w:tentative="1">
      <w:start w:val="1"/>
      <w:numFmt w:val="lowerRoman"/>
      <w:lvlText w:val="%3."/>
      <w:lvlJc w:val="right"/>
      <w:pPr>
        <w:ind w:left="1579" w:hanging="180"/>
      </w:pPr>
    </w:lvl>
    <w:lvl w:ilvl="3" w:tplc="0427000F" w:tentative="1">
      <w:start w:val="1"/>
      <w:numFmt w:val="decimal"/>
      <w:lvlText w:val="%4."/>
      <w:lvlJc w:val="left"/>
      <w:pPr>
        <w:ind w:left="2299" w:hanging="360"/>
      </w:pPr>
    </w:lvl>
    <w:lvl w:ilvl="4" w:tplc="04270019" w:tentative="1">
      <w:start w:val="1"/>
      <w:numFmt w:val="lowerLetter"/>
      <w:lvlText w:val="%5."/>
      <w:lvlJc w:val="left"/>
      <w:pPr>
        <w:ind w:left="3019" w:hanging="360"/>
      </w:pPr>
    </w:lvl>
    <w:lvl w:ilvl="5" w:tplc="0427001B" w:tentative="1">
      <w:start w:val="1"/>
      <w:numFmt w:val="lowerRoman"/>
      <w:lvlText w:val="%6."/>
      <w:lvlJc w:val="right"/>
      <w:pPr>
        <w:ind w:left="3739" w:hanging="180"/>
      </w:pPr>
    </w:lvl>
    <w:lvl w:ilvl="6" w:tplc="0427000F" w:tentative="1">
      <w:start w:val="1"/>
      <w:numFmt w:val="decimal"/>
      <w:lvlText w:val="%7."/>
      <w:lvlJc w:val="left"/>
      <w:pPr>
        <w:ind w:left="4459" w:hanging="360"/>
      </w:pPr>
    </w:lvl>
    <w:lvl w:ilvl="7" w:tplc="04270019" w:tentative="1">
      <w:start w:val="1"/>
      <w:numFmt w:val="lowerLetter"/>
      <w:lvlText w:val="%8."/>
      <w:lvlJc w:val="left"/>
      <w:pPr>
        <w:ind w:left="5179" w:hanging="360"/>
      </w:pPr>
    </w:lvl>
    <w:lvl w:ilvl="8" w:tplc="0427001B" w:tentative="1">
      <w:start w:val="1"/>
      <w:numFmt w:val="lowerRoman"/>
      <w:lvlText w:val="%9."/>
      <w:lvlJc w:val="right"/>
      <w:pPr>
        <w:ind w:left="5899" w:hanging="180"/>
      </w:pPr>
    </w:lvl>
  </w:abstractNum>
  <w:abstractNum w:abstractNumId="13" w15:restartNumberingAfterBreak="0">
    <w:nsid w:val="257E7FA7"/>
    <w:multiLevelType w:val="hybridMultilevel"/>
    <w:tmpl w:val="06F2AE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5" w15:restartNumberingAfterBreak="0">
    <w:nsid w:val="2A357EFE"/>
    <w:multiLevelType w:val="multilevel"/>
    <w:tmpl w:val="6D3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4A04FD"/>
    <w:multiLevelType w:val="multilevel"/>
    <w:tmpl w:val="36E0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9" w15:restartNumberingAfterBreak="0">
    <w:nsid w:val="39693D41"/>
    <w:multiLevelType w:val="hybridMultilevel"/>
    <w:tmpl w:val="4422292E"/>
    <w:lvl w:ilvl="0" w:tplc="051EA7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1"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2"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3" w15:restartNumberingAfterBreak="0">
    <w:nsid w:val="43AF8B31"/>
    <w:multiLevelType w:val="hybridMultilevel"/>
    <w:tmpl w:val="49442F42"/>
    <w:lvl w:ilvl="0" w:tplc="4ED915DD">
      <w:start w:val="1"/>
      <w:numFmt w:val="bullet"/>
      <w:lvlText w:val="·"/>
      <w:lvlJc w:val="left"/>
      <w:pPr>
        <w:ind w:left="720" w:hanging="360"/>
      </w:pPr>
      <w:rPr>
        <w:rFonts w:ascii="Symbol" w:hAnsi="Symbol"/>
      </w:rPr>
    </w:lvl>
    <w:lvl w:ilvl="1" w:tplc="5F9989DC">
      <w:start w:val="1"/>
      <w:numFmt w:val="bullet"/>
      <w:lvlText w:val="o"/>
      <w:lvlJc w:val="left"/>
      <w:pPr>
        <w:ind w:left="1440" w:hanging="360"/>
      </w:pPr>
      <w:rPr>
        <w:rFonts w:ascii="Symbol" w:hAnsi="Symbol"/>
      </w:rPr>
    </w:lvl>
    <w:lvl w:ilvl="2" w:tplc="00F91204">
      <w:start w:val="1"/>
      <w:numFmt w:val="bullet"/>
      <w:lvlText w:val="·"/>
      <w:lvlJc w:val="left"/>
      <w:pPr>
        <w:ind w:left="2160" w:hanging="360"/>
      </w:pPr>
      <w:rPr>
        <w:rFonts w:ascii="Symbol" w:hAnsi="Symbol"/>
      </w:rPr>
    </w:lvl>
    <w:lvl w:ilvl="3" w:tplc="7612E25E">
      <w:start w:val="1"/>
      <w:numFmt w:val="bullet"/>
      <w:lvlText w:val="o"/>
      <w:lvlJc w:val="left"/>
      <w:pPr>
        <w:ind w:left="2880" w:hanging="360"/>
      </w:pPr>
      <w:rPr>
        <w:rFonts w:ascii="Symbol" w:hAnsi="Symbol"/>
      </w:rPr>
    </w:lvl>
    <w:lvl w:ilvl="4" w:tplc="5838BDEE">
      <w:start w:val="1"/>
      <w:numFmt w:val="bullet"/>
      <w:lvlText w:val="·"/>
      <w:lvlJc w:val="left"/>
      <w:pPr>
        <w:ind w:left="3600" w:hanging="360"/>
      </w:pPr>
      <w:rPr>
        <w:rFonts w:ascii="Symbol" w:hAnsi="Symbol"/>
      </w:rPr>
    </w:lvl>
    <w:lvl w:ilvl="5" w:tplc="7F530E90">
      <w:start w:val="1"/>
      <w:numFmt w:val="bullet"/>
      <w:lvlText w:val="o"/>
      <w:lvlJc w:val="left"/>
      <w:pPr>
        <w:ind w:left="4320" w:hanging="360"/>
      </w:pPr>
      <w:rPr>
        <w:rFonts w:ascii="Symbol" w:hAnsi="Symbol"/>
      </w:rPr>
    </w:lvl>
    <w:lvl w:ilvl="6" w:tplc="5D590EF1">
      <w:start w:val="1"/>
      <w:numFmt w:val="bullet"/>
      <w:lvlText w:val="·"/>
      <w:lvlJc w:val="left"/>
      <w:pPr>
        <w:ind w:left="5040" w:hanging="360"/>
      </w:pPr>
      <w:rPr>
        <w:rFonts w:ascii="Symbol" w:hAnsi="Symbol"/>
      </w:rPr>
    </w:lvl>
    <w:lvl w:ilvl="7" w:tplc="59F71FFF">
      <w:start w:val="1"/>
      <w:numFmt w:val="bullet"/>
      <w:lvlText w:val="o"/>
      <w:lvlJc w:val="left"/>
      <w:pPr>
        <w:ind w:left="5760" w:hanging="360"/>
      </w:pPr>
      <w:rPr>
        <w:rFonts w:ascii="Symbol" w:hAnsi="Symbol"/>
      </w:rPr>
    </w:lvl>
    <w:lvl w:ilvl="8" w:tplc="2870E1BD">
      <w:start w:val="1"/>
      <w:numFmt w:val="bullet"/>
      <w:lvlText w:val="·"/>
      <w:lvlJc w:val="left"/>
      <w:pPr>
        <w:ind w:left="6480" w:hanging="360"/>
      </w:pPr>
      <w:rPr>
        <w:rFonts w:ascii="Symbol" w:hAnsi="Symbol"/>
      </w:rPr>
    </w:lvl>
  </w:abstractNum>
  <w:abstractNum w:abstractNumId="24"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5" w15:restartNumberingAfterBreak="0">
    <w:nsid w:val="557E7CB2"/>
    <w:multiLevelType w:val="hybridMultilevel"/>
    <w:tmpl w:val="2F622018"/>
    <w:lvl w:ilvl="0" w:tplc="0427000F">
      <w:start w:val="1"/>
      <w:numFmt w:val="decimal"/>
      <w:lvlText w:val="%1."/>
      <w:lvlJc w:val="left"/>
      <w:pPr>
        <w:ind w:left="923" w:hanging="360"/>
      </w:pPr>
    </w:lvl>
    <w:lvl w:ilvl="1" w:tplc="04270019" w:tentative="1">
      <w:start w:val="1"/>
      <w:numFmt w:val="lowerLetter"/>
      <w:lvlText w:val="%2."/>
      <w:lvlJc w:val="left"/>
      <w:pPr>
        <w:ind w:left="1643" w:hanging="360"/>
      </w:pPr>
    </w:lvl>
    <w:lvl w:ilvl="2" w:tplc="0427001B" w:tentative="1">
      <w:start w:val="1"/>
      <w:numFmt w:val="lowerRoman"/>
      <w:lvlText w:val="%3."/>
      <w:lvlJc w:val="right"/>
      <w:pPr>
        <w:ind w:left="2363" w:hanging="180"/>
      </w:pPr>
    </w:lvl>
    <w:lvl w:ilvl="3" w:tplc="0427000F" w:tentative="1">
      <w:start w:val="1"/>
      <w:numFmt w:val="decimal"/>
      <w:lvlText w:val="%4."/>
      <w:lvlJc w:val="left"/>
      <w:pPr>
        <w:ind w:left="3083" w:hanging="360"/>
      </w:pPr>
    </w:lvl>
    <w:lvl w:ilvl="4" w:tplc="04270019" w:tentative="1">
      <w:start w:val="1"/>
      <w:numFmt w:val="lowerLetter"/>
      <w:lvlText w:val="%5."/>
      <w:lvlJc w:val="left"/>
      <w:pPr>
        <w:ind w:left="3803" w:hanging="360"/>
      </w:pPr>
    </w:lvl>
    <w:lvl w:ilvl="5" w:tplc="0427001B" w:tentative="1">
      <w:start w:val="1"/>
      <w:numFmt w:val="lowerRoman"/>
      <w:lvlText w:val="%6."/>
      <w:lvlJc w:val="right"/>
      <w:pPr>
        <w:ind w:left="4523" w:hanging="180"/>
      </w:pPr>
    </w:lvl>
    <w:lvl w:ilvl="6" w:tplc="0427000F" w:tentative="1">
      <w:start w:val="1"/>
      <w:numFmt w:val="decimal"/>
      <w:lvlText w:val="%7."/>
      <w:lvlJc w:val="left"/>
      <w:pPr>
        <w:ind w:left="5243" w:hanging="360"/>
      </w:pPr>
    </w:lvl>
    <w:lvl w:ilvl="7" w:tplc="04270019" w:tentative="1">
      <w:start w:val="1"/>
      <w:numFmt w:val="lowerLetter"/>
      <w:lvlText w:val="%8."/>
      <w:lvlJc w:val="left"/>
      <w:pPr>
        <w:ind w:left="5963" w:hanging="360"/>
      </w:pPr>
    </w:lvl>
    <w:lvl w:ilvl="8" w:tplc="0427001B" w:tentative="1">
      <w:start w:val="1"/>
      <w:numFmt w:val="lowerRoman"/>
      <w:lvlText w:val="%9."/>
      <w:lvlJc w:val="right"/>
      <w:pPr>
        <w:ind w:left="6683" w:hanging="180"/>
      </w:pPr>
    </w:lvl>
  </w:abstractNum>
  <w:abstractNum w:abstractNumId="26" w15:restartNumberingAfterBreak="0">
    <w:nsid w:val="56095CD5"/>
    <w:multiLevelType w:val="multilevel"/>
    <w:tmpl w:val="344A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36311A"/>
    <w:multiLevelType w:val="multilevel"/>
    <w:tmpl w:val="D77A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2D0DC0"/>
    <w:multiLevelType w:val="multilevel"/>
    <w:tmpl w:val="44F6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A50B2"/>
    <w:multiLevelType w:val="multilevel"/>
    <w:tmpl w:val="F0B2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1F0C43"/>
    <w:multiLevelType w:val="multilevel"/>
    <w:tmpl w:val="3BB4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B5EF6"/>
    <w:multiLevelType w:val="multilevel"/>
    <w:tmpl w:val="75F8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0E266B"/>
    <w:multiLevelType w:val="multilevel"/>
    <w:tmpl w:val="22E4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4" w15:restartNumberingAfterBreak="0">
    <w:nsid w:val="6B590844"/>
    <w:multiLevelType w:val="multilevel"/>
    <w:tmpl w:val="A400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72349"/>
    <w:multiLevelType w:val="multilevel"/>
    <w:tmpl w:val="D8FA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8"/>
  </w:num>
  <w:num w:numId="4">
    <w:abstractNumId w:val="21"/>
  </w:num>
  <w:num w:numId="5">
    <w:abstractNumId w:val="22"/>
  </w:num>
  <w:num w:numId="6">
    <w:abstractNumId w:val="24"/>
  </w:num>
  <w:num w:numId="7">
    <w:abstractNumId w:val="8"/>
  </w:num>
  <w:num w:numId="8">
    <w:abstractNumId w:val="1"/>
  </w:num>
  <w:num w:numId="9">
    <w:abstractNumId w:val="3"/>
  </w:num>
  <w:num w:numId="10">
    <w:abstractNumId w:val="20"/>
  </w:num>
  <w:num w:numId="11">
    <w:abstractNumId w:val="14"/>
  </w:num>
  <w:num w:numId="12">
    <w:abstractNumId w:val="33"/>
  </w:num>
  <w:num w:numId="13">
    <w:abstractNumId w:val="9"/>
  </w:num>
  <w:num w:numId="14">
    <w:abstractNumId w:val="19"/>
  </w:num>
  <w:num w:numId="15">
    <w:abstractNumId w:val="25"/>
  </w:num>
  <w:num w:numId="16">
    <w:abstractNumId w:val="6"/>
  </w:num>
  <w:num w:numId="17">
    <w:abstractNumId w:val="7"/>
  </w:num>
  <w:num w:numId="18">
    <w:abstractNumId w:val="13"/>
  </w:num>
  <w:num w:numId="19">
    <w:abstractNumId w:val="32"/>
  </w:num>
  <w:num w:numId="20">
    <w:abstractNumId w:val="26"/>
  </w:num>
  <w:num w:numId="21">
    <w:abstractNumId w:val="30"/>
  </w:num>
  <w:num w:numId="22">
    <w:abstractNumId w:val="31"/>
  </w:num>
  <w:num w:numId="23">
    <w:abstractNumId w:val="35"/>
  </w:num>
  <w:num w:numId="24">
    <w:abstractNumId w:val="27"/>
  </w:num>
  <w:num w:numId="25">
    <w:abstractNumId w:val="34"/>
  </w:num>
  <w:num w:numId="26">
    <w:abstractNumId w:val="16"/>
  </w:num>
  <w:num w:numId="27">
    <w:abstractNumId w:val="4"/>
  </w:num>
  <w:num w:numId="28">
    <w:abstractNumId w:val="29"/>
  </w:num>
  <w:num w:numId="29">
    <w:abstractNumId w:val="28"/>
  </w:num>
  <w:num w:numId="30">
    <w:abstractNumId w:val="15"/>
  </w:num>
  <w:num w:numId="31">
    <w:abstractNumId w:val="5"/>
  </w:num>
  <w:num w:numId="32">
    <w:abstractNumId w:val="0"/>
  </w:num>
  <w:num w:numId="33">
    <w:abstractNumId w:val="12"/>
  </w:num>
  <w:num w:numId="34">
    <w:abstractNumId w:val="23"/>
  </w:num>
  <w:num w:numId="35">
    <w:abstractNumId w:val="11"/>
  </w:num>
  <w:num w:numId="3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F"/>
    <w:rsid w:val="000412D9"/>
    <w:rsid w:val="0004381B"/>
    <w:rsid w:val="00056429"/>
    <w:rsid w:val="00073929"/>
    <w:rsid w:val="00077641"/>
    <w:rsid w:val="00080285"/>
    <w:rsid w:val="00085C84"/>
    <w:rsid w:val="00087B37"/>
    <w:rsid w:val="00087C16"/>
    <w:rsid w:val="0009739F"/>
    <w:rsid w:val="000A1B5E"/>
    <w:rsid w:val="000B1E25"/>
    <w:rsid w:val="000B58F3"/>
    <w:rsid w:val="000E1695"/>
    <w:rsid w:val="000F2A9D"/>
    <w:rsid w:val="000F2BCF"/>
    <w:rsid w:val="000F4BDE"/>
    <w:rsid w:val="000F7016"/>
    <w:rsid w:val="00115659"/>
    <w:rsid w:val="0011594A"/>
    <w:rsid w:val="001231BB"/>
    <w:rsid w:val="001363EE"/>
    <w:rsid w:val="00167710"/>
    <w:rsid w:val="0019164D"/>
    <w:rsid w:val="00192A67"/>
    <w:rsid w:val="001C0AB5"/>
    <w:rsid w:val="00236549"/>
    <w:rsid w:val="00245FA7"/>
    <w:rsid w:val="002C2E28"/>
    <w:rsid w:val="002C67CC"/>
    <w:rsid w:val="002C7E0C"/>
    <w:rsid w:val="00302D04"/>
    <w:rsid w:val="0032098C"/>
    <w:rsid w:val="003264C9"/>
    <w:rsid w:val="00327EB3"/>
    <w:rsid w:val="00342C7D"/>
    <w:rsid w:val="0034597F"/>
    <w:rsid w:val="0037691B"/>
    <w:rsid w:val="00392B97"/>
    <w:rsid w:val="00396DE4"/>
    <w:rsid w:val="003B0824"/>
    <w:rsid w:val="003C4B90"/>
    <w:rsid w:val="003C65B4"/>
    <w:rsid w:val="003C6810"/>
    <w:rsid w:val="003E0211"/>
    <w:rsid w:val="003E2F37"/>
    <w:rsid w:val="003F58E0"/>
    <w:rsid w:val="00402A5E"/>
    <w:rsid w:val="00412526"/>
    <w:rsid w:val="00416028"/>
    <w:rsid w:val="004206F7"/>
    <w:rsid w:val="004222B3"/>
    <w:rsid w:val="004360A1"/>
    <w:rsid w:val="0044087D"/>
    <w:rsid w:val="00442FF4"/>
    <w:rsid w:val="00444377"/>
    <w:rsid w:val="00452360"/>
    <w:rsid w:val="00455593"/>
    <w:rsid w:val="004720F6"/>
    <w:rsid w:val="00477C2F"/>
    <w:rsid w:val="004916B9"/>
    <w:rsid w:val="0049434A"/>
    <w:rsid w:val="004B217F"/>
    <w:rsid w:val="004D770F"/>
    <w:rsid w:val="004E273E"/>
    <w:rsid w:val="004E38B4"/>
    <w:rsid w:val="004E3E97"/>
    <w:rsid w:val="004F7893"/>
    <w:rsid w:val="00554DC5"/>
    <w:rsid w:val="00557D5B"/>
    <w:rsid w:val="00573FCF"/>
    <w:rsid w:val="00575E5E"/>
    <w:rsid w:val="0058250F"/>
    <w:rsid w:val="005B7EF8"/>
    <w:rsid w:val="005C468E"/>
    <w:rsid w:val="005C75EB"/>
    <w:rsid w:val="005E6A9E"/>
    <w:rsid w:val="005E6B6D"/>
    <w:rsid w:val="005E763B"/>
    <w:rsid w:val="00600385"/>
    <w:rsid w:val="00600973"/>
    <w:rsid w:val="00616977"/>
    <w:rsid w:val="00634349"/>
    <w:rsid w:val="0065002E"/>
    <w:rsid w:val="00661546"/>
    <w:rsid w:val="00672EE0"/>
    <w:rsid w:val="00680105"/>
    <w:rsid w:val="006B1A71"/>
    <w:rsid w:val="006B7AC7"/>
    <w:rsid w:val="006C1908"/>
    <w:rsid w:val="006D6C5E"/>
    <w:rsid w:val="006E7533"/>
    <w:rsid w:val="0071096D"/>
    <w:rsid w:val="00731F0F"/>
    <w:rsid w:val="00742CF5"/>
    <w:rsid w:val="00742D29"/>
    <w:rsid w:val="007430FE"/>
    <w:rsid w:val="0074700F"/>
    <w:rsid w:val="00751173"/>
    <w:rsid w:val="007547A4"/>
    <w:rsid w:val="00773710"/>
    <w:rsid w:val="00777E25"/>
    <w:rsid w:val="007824A0"/>
    <w:rsid w:val="00797067"/>
    <w:rsid w:val="007A212E"/>
    <w:rsid w:val="007A2CF9"/>
    <w:rsid w:val="007B63FB"/>
    <w:rsid w:val="007C158D"/>
    <w:rsid w:val="007C3085"/>
    <w:rsid w:val="007D0025"/>
    <w:rsid w:val="007E1F14"/>
    <w:rsid w:val="007F70F1"/>
    <w:rsid w:val="008466F9"/>
    <w:rsid w:val="008921A6"/>
    <w:rsid w:val="008951C2"/>
    <w:rsid w:val="008B2A52"/>
    <w:rsid w:val="008B5863"/>
    <w:rsid w:val="008C30EF"/>
    <w:rsid w:val="008D1D2A"/>
    <w:rsid w:val="008E295E"/>
    <w:rsid w:val="008E4444"/>
    <w:rsid w:val="008E5707"/>
    <w:rsid w:val="009237CB"/>
    <w:rsid w:val="009469ED"/>
    <w:rsid w:val="00946AC6"/>
    <w:rsid w:val="00963406"/>
    <w:rsid w:val="009852CE"/>
    <w:rsid w:val="00994BE2"/>
    <w:rsid w:val="009B1F29"/>
    <w:rsid w:val="009B6FB3"/>
    <w:rsid w:val="009C0967"/>
    <w:rsid w:val="009D0CCE"/>
    <w:rsid w:val="009D494C"/>
    <w:rsid w:val="009D5D6F"/>
    <w:rsid w:val="009E6585"/>
    <w:rsid w:val="009F42B8"/>
    <w:rsid w:val="00A101C3"/>
    <w:rsid w:val="00A26397"/>
    <w:rsid w:val="00A31080"/>
    <w:rsid w:val="00A33567"/>
    <w:rsid w:val="00A46916"/>
    <w:rsid w:val="00A55362"/>
    <w:rsid w:val="00A60FAF"/>
    <w:rsid w:val="00A629DD"/>
    <w:rsid w:val="00A62AB3"/>
    <w:rsid w:val="00A77F7D"/>
    <w:rsid w:val="00A82DF1"/>
    <w:rsid w:val="00A94EB0"/>
    <w:rsid w:val="00AD3F97"/>
    <w:rsid w:val="00AD7E3A"/>
    <w:rsid w:val="00B02F33"/>
    <w:rsid w:val="00B03FB8"/>
    <w:rsid w:val="00B166E2"/>
    <w:rsid w:val="00B227C5"/>
    <w:rsid w:val="00B27B7E"/>
    <w:rsid w:val="00B40C75"/>
    <w:rsid w:val="00B41E9B"/>
    <w:rsid w:val="00B67F14"/>
    <w:rsid w:val="00B70894"/>
    <w:rsid w:val="00B97906"/>
    <w:rsid w:val="00BA186A"/>
    <w:rsid w:val="00BB54D1"/>
    <w:rsid w:val="00BC6261"/>
    <w:rsid w:val="00BC62D4"/>
    <w:rsid w:val="00BD2D91"/>
    <w:rsid w:val="00BD43DF"/>
    <w:rsid w:val="00BF234E"/>
    <w:rsid w:val="00BF2B1A"/>
    <w:rsid w:val="00BF7037"/>
    <w:rsid w:val="00C02130"/>
    <w:rsid w:val="00C26227"/>
    <w:rsid w:val="00C308A0"/>
    <w:rsid w:val="00C42C92"/>
    <w:rsid w:val="00C45393"/>
    <w:rsid w:val="00C657C6"/>
    <w:rsid w:val="00C67932"/>
    <w:rsid w:val="00C71C4E"/>
    <w:rsid w:val="00C763BD"/>
    <w:rsid w:val="00C8004F"/>
    <w:rsid w:val="00C842BA"/>
    <w:rsid w:val="00C85E93"/>
    <w:rsid w:val="00C916D4"/>
    <w:rsid w:val="00C92748"/>
    <w:rsid w:val="00CA640F"/>
    <w:rsid w:val="00CC7552"/>
    <w:rsid w:val="00CD18D7"/>
    <w:rsid w:val="00CF029D"/>
    <w:rsid w:val="00D11EAE"/>
    <w:rsid w:val="00D31597"/>
    <w:rsid w:val="00D34348"/>
    <w:rsid w:val="00D36F0A"/>
    <w:rsid w:val="00D5387B"/>
    <w:rsid w:val="00D76041"/>
    <w:rsid w:val="00D90E71"/>
    <w:rsid w:val="00D920D6"/>
    <w:rsid w:val="00DB2EDC"/>
    <w:rsid w:val="00DC7618"/>
    <w:rsid w:val="00DE2D88"/>
    <w:rsid w:val="00E01BFC"/>
    <w:rsid w:val="00E2012B"/>
    <w:rsid w:val="00E4299A"/>
    <w:rsid w:val="00E45090"/>
    <w:rsid w:val="00E510A7"/>
    <w:rsid w:val="00E90989"/>
    <w:rsid w:val="00EA3E49"/>
    <w:rsid w:val="00EA6718"/>
    <w:rsid w:val="00EC1661"/>
    <w:rsid w:val="00EC384A"/>
    <w:rsid w:val="00EC7334"/>
    <w:rsid w:val="00EE1216"/>
    <w:rsid w:val="00EE76DE"/>
    <w:rsid w:val="00EF0DF3"/>
    <w:rsid w:val="00EF67DB"/>
    <w:rsid w:val="00F02662"/>
    <w:rsid w:val="00F27FFB"/>
    <w:rsid w:val="00F466F5"/>
    <w:rsid w:val="00F526F9"/>
    <w:rsid w:val="00F53703"/>
    <w:rsid w:val="00F926FB"/>
    <w:rsid w:val="00FA2DA2"/>
    <w:rsid w:val="00FA625F"/>
    <w:rsid w:val="00FC30AD"/>
    <w:rsid w:val="00FE6E9B"/>
    <w:rsid w:val="00FF1C4F"/>
    <w:rsid w:val="00FF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CFE5A3A-14A1-4298-A162-6BA3DF27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character" w:customStyle="1" w:styleId="tlid-translation">
    <w:name w:val="tlid-translation"/>
    <w:basedOn w:val="Numatytasispastraiposriftas"/>
    <w:rsid w:val="002C7E0C"/>
  </w:style>
  <w:style w:type="character" w:styleId="Emfaz">
    <w:name w:val="Emphasis"/>
    <w:uiPriority w:val="20"/>
    <w:qFormat/>
    <w:rsid w:val="000E1695"/>
    <w:rPr>
      <w:i/>
      <w:iCs/>
    </w:rPr>
  </w:style>
  <w:style w:type="paragraph" w:customStyle="1" w:styleId="xmsonormal">
    <w:name w:val="xmsonormal"/>
    <w:basedOn w:val="prastasis"/>
    <w:rsid w:val="00BF70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rastasiniatinklio">
    <w:name w:val="Normal (Web)"/>
    <w:basedOn w:val="prastasis"/>
    <w:uiPriority w:val="99"/>
    <w:unhideWhenUsed/>
    <w:rsid w:val="008B2A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0">
    <w:name w:val="x_msonormal"/>
    <w:basedOn w:val="prastasis"/>
    <w:rsid w:val="008B2A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listparagraph">
    <w:name w:val="x_msolistparagraph"/>
    <w:basedOn w:val="prastasis"/>
    <w:rsid w:val="00A82D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a">
    <w:name w:val="x_bodya"/>
    <w:basedOn w:val="prastasis"/>
    <w:rsid w:val="000B1E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default">
    <w:name w:val="x_default"/>
    <w:basedOn w:val="prastasis"/>
    <w:rsid w:val="000B1E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Grietas">
    <w:name w:val="Strong"/>
    <w:basedOn w:val="Numatytasispastraiposriftas"/>
    <w:uiPriority w:val="22"/>
    <w:qFormat/>
    <w:rsid w:val="00A31080"/>
    <w:rPr>
      <w:b/>
      <w:bCs/>
    </w:rPr>
  </w:style>
  <w:style w:type="paragraph" w:styleId="Debesliotekstas">
    <w:name w:val="Balloon Text"/>
    <w:basedOn w:val="prastasis"/>
    <w:link w:val="DebesliotekstasDiagrama"/>
    <w:uiPriority w:val="99"/>
    <w:semiHidden/>
    <w:unhideWhenUsed/>
    <w:rsid w:val="00731F0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F0F"/>
    <w:rPr>
      <w:rFonts w:ascii="Segoe UI" w:hAnsi="Segoe UI" w:cs="Segoe UI"/>
      <w:sz w:val="18"/>
      <w:szCs w:val="18"/>
    </w:rPr>
  </w:style>
  <w:style w:type="character" w:styleId="Komentaronuoroda">
    <w:name w:val="annotation reference"/>
    <w:basedOn w:val="Numatytasispastraiposriftas"/>
    <w:uiPriority w:val="99"/>
    <w:semiHidden/>
    <w:unhideWhenUsed/>
    <w:rsid w:val="00077641"/>
    <w:rPr>
      <w:sz w:val="16"/>
      <w:szCs w:val="16"/>
    </w:rPr>
  </w:style>
  <w:style w:type="paragraph" w:styleId="Komentarotekstas">
    <w:name w:val="annotation text"/>
    <w:basedOn w:val="prastasis"/>
    <w:link w:val="KomentarotekstasDiagrama"/>
    <w:uiPriority w:val="99"/>
    <w:semiHidden/>
    <w:unhideWhenUsed/>
    <w:rsid w:val="00077641"/>
    <w:rPr>
      <w:sz w:val="20"/>
      <w:szCs w:val="20"/>
    </w:rPr>
  </w:style>
  <w:style w:type="character" w:customStyle="1" w:styleId="KomentarotekstasDiagrama">
    <w:name w:val="Komentaro tekstas Diagrama"/>
    <w:basedOn w:val="Numatytasispastraiposriftas"/>
    <w:link w:val="Komentarotekstas"/>
    <w:uiPriority w:val="99"/>
    <w:semiHidden/>
    <w:rsid w:val="00077641"/>
  </w:style>
  <w:style w:type="paragraph" w:styleId="Komentarotema">
    <w:name w:val="annotation subject"/>
    <w:basedOn w:val="Komentarotekstas"/>
    <w:next w:val="Komentarotekstas"/>
    <w:link w:val="KomentarotemaDiagrama"/>
    <w:uiPriority w:val="99"/>
    <w:semiHidden/>
    <w:unhideWhenUsed/>
    <w:rsid w:val="00077641"/>
    <w:rPr>
      <w:b/>
      <w:bCs/>
    </w:rPr>
  </w:style>
  <w:style w:type="character" w:customStyle="1" w:styleId="KomentarotemaDiagrama">
    <w:name w:val="Komentaro tema Diagrama"/>
    <w:basedOn w:val="KomentarotekstasDiagrama"/>
    <w:link w:val="Komentarotema"/>
    <w:uiPriority w:val="99"/>
    <w:semiHidden/>
    <w:rsid w:val="00077641"/>
    <w:rPr>
      <w:b/>
      <w:bCs/>
    </w:rPr>
  </w:style>
  <w:style w:type="table" w:styleId="Lentelstinklelis">
    <w:name w:val="Table Grid"/>
    <w:basedOn w:val="prastojilentel"/>
    <w:uiPriority w:val="39"/>
    <w:rsid w:val="00073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9D494C"/>
    <w:pPr>
      <w:pBdr>
        <w:top w:val="none" w:sz="0" w:space="0" w:color="auto"/>
        <w:left w:val="none" w:sz="0" w:space="0" w:color="auto"/>
        <w:bottom w:val="none" w:sz="0" w:space="0" w:color="auto"/>
        <w:right w:val="none" w:sz="0" w:space="0" w:color="auto"/>
        <w:between w:val="none" w:sz="0" w:space="0" w:color="auto"/>
        <w:bar w:val="none" w:sz="0" w:color="auto"/>
      </w:pBdr>
      <w:ind w:left="720" w:hanging="720"/>
    </w:pPr>
    <w:rPr>
      <w:rFonts w:eastAsiaTheme="minorHAnsi"/>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9D494C"/>
    <w:rPr>
      <w:rFonts w:eastAsiaTheme="minorHAnsi"/>
      <w:sz w:val="24"/>
      <w:bdr w:val="none" w:sz="0" w:space="0" w:color="auto"/>
      <w:lang w:val="lt-LT"/>
    </w:rPr>
  </w:style>
  <w:style w:type="paragraph" w:styleId="Betarp">
    <w:name w:val="No Spacing"/>
    <w:basedOn w:val="prastasis"/>
    <w:uiPriority w:val="1"/>
    <w:qFormat/>
    <w:rsid w:val="00477C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68b1db1-prastasis1">
    <w:name w:val="p68b1db1-prastasis1"/>
    <w:basedOn w:val="prastasis"/>
    <w:rsid w:val="00402A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oint123">
    <w:name w:val="point123"/>
    <w:basedOn w:val="prastasis"/>
    <w:rsid w:val="00402A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prastasistekstas">
    <w:name w:val="Plain Text"/>
    <w:basedOn w:val="prastasis"/>
    <w:link w:val="PaprastasistekstasDiagrama"/>
    <w:uiPriority w:val="99"/>
    <w:semiHidden/>
    <w:unhideWhenUsed/>
    <w:rsid w:val="008E29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PaprastasistekstasDiagrama">
    <w:name w:val="Paprastasis tekstas Diagrama"/>
    <w:basedOn w:val="Numatytasispastraiposriftas"/>
    <w:link w:val="Paprastasistekstas"/>
    <w:uiPriority w:val="99"/>
    <w:semiHidden/>
    <w:rsid w:val="008E295E"/>
    <w:rPr>
      <w:rFonts w:eastAsia="Times New Roman"/>
      <w:sz w:val="24"/>
      <w:szCs w:val="24"/>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3312">
      <w:bodyDiv w:val="1"/>
      <w:marLeft w:val="0"/>
      <w:marRight w:val="0"/>
      <w:marTop w:val="0"/>
      <w:marBottom w:val="0"/>
      <w:divBdr>
        <w:top w:val="none" w:sz="0" w:space="0" w:color="auto"/>
        <w:left w:val="none" w:sz="0" w:space="0" w:color="auto"/>
        <w:bottom w:val="none" w:sz="0" w:space="0" w:color="auto"/>
        <w:right w:val="none" w:sz="0" w:space="0" w:color="auto"/>
      </w:divBdr>
    </w:div>
    <w:div w:id="58790864">
      <w:bodyDiv w:val="1"/>
      <w:marLeft w:val="0"/>
      <w:marRight w:val="0"/>
      <w:marTop w:val="0"/>
      <w:marBottom w:val="0"/>
      <w:divBdr>
        <w:top w:val="none" w:sz="0" w:space="0" w:color="auto"/>
        <w:left w:val="none" w:sz="0" w:space="0" w:color="auto"/>
        <w:bottom w:val="none" w:sz="0" w:space="0" w:color="auto"/>
        <w:right w:val="none" w:sz="0" w:space="0" w:color="auto"/>
      </w:divBdr>
    </w:div>
    <w:div w:id="63644438">
      <w:bodyDiv w:val="1"/>
      <w:marLeft w:val="0"/>
      <w:marRight w:val="0"/>
      <w:marTop w:val="0"/>
      <w:marBottom w:val="0"/>
      <w:divBdr>
        <w:top w:val="none" w:sz="0" w:space="0" w:color="auto"/>
        <w:left w:val="none" w:sz="0" w:space="0" w:color="auto"/>
        <w:bottom w:val="none" w:sz="0" w:space="0" w:color="auto"/>
        <w:right w:val="none" w:sz="0" w:space="0" w:color="auto"/>
      </w:divBdr>
    </w:div>
    <w:div w:id="118038099">
      <w:bodyDiv w:val="1"/>
      <w:marLeft w:val="0"/>
      <w:marRight w:val="0"/>
      <w:marTop w:val="0"/>
      <w:marBottom w:val="0"/>
      <w:divBdr>
        <w:top w:val="none" w:sz="0" w:space="0" w:color="auto"/>
        <w:left w:val="none" w:sz="0" w:space="0" w:color="auto"/>
        <w:bottom w:val="none" w:sz="0" w:space="0" w:color="auto"/>
        <w:right w:val="none" w:sz="0" w:space="0" w:color="auto"/>
      </w:divBdr>
    </w:div>
    <w:div w:id="126510678">
      <w:bodyDiv w:val="1"/>
      <w:marLeft w:val="0"/>
      <w:marRight w:val="0"/>
      <w:marTop w:val="0"/>
      <w:marBottom w:val="0"/>
      <w:divBdr>
        <w:top w:val="none" w:sz="0" w:space="0" w:color="auto"/>
        <w:left w:val="none" w:sz="0" w:space="0" w:color="auto"/>
        <w:bottom w:val="none" w:sz="0" w:space="0" w:color="auto"/>
        <w:right w:val="none" w:sz="0" w:space="0" w:color="auto"/>
      </w:divBdr>
    </w:div>
    <w:div w:id="190462173">
      <w:bodyDiv w:val="1"/>
      <w:marLeft w:val="0"/>
      <w:marRight w:val="0"/>
      <w:marTop w:val="0"/>
      <w:marBottom w:val="0"/>
      <w:divBdr>
        <w:top w:val="none" w:sz="0" w:space="0" w:color="auto"/>
        <w:left w:val="none" w:sz="0" w:space="0" w:color="auto"/>
        <w:bottom w:val="none" w:sz="0" w:space="0" w:color="auto"/>
        <w:right w:val="none" w:sz="0" w:space="0" w:color="auto"/>
      </w:divBdr>
    </w:div>
    <w:div w:id="226259875">
      <w:bodyDiv w:val="1"/>
      <w:marLeft w:val="0"/>
      <w:marRight w:val="0"/>
      <w:marTop w:val="0"/>
      <w:marBottom w:val="0"/>
      <w:divBdr>
        <w:top w:val="none" w:sz="0" w:space="0" w:color="auto"/>
        <w:left w:val="none" w:sz="0" w:space="0" w:color="auto"/>
        <w:bottom w:val="none" w:sz="0" w:space="0" w:color="auto"/>
        <w:right w:val="none" w:sz="0" w:space="0" w:color="auto"/>
      </w:divBdr>
    </w:div>
    <w:div w:id="248080118">
      <w:bodyDiv w:val="1"/>
      <w:marLeft w:val="0"/>
      <w:marRight w:val="0"/>
      <w:marTop w:val="0"/>
      <w:marBottom w:val="0"/>
      <w:divBdr>
        <w:top w:val="none" w:sz="0" w:space="0" w:color="auto"/>
        <w:left w:val="none" w:sz="0" w:space="0" w:color="auto"/>
        <w:bottom w:val="none" w:sz="0" w:space="0" w:color="auto"/>
        <w:right w:val="none" w:sz="0" w:space="0" w:color="auto"/>
      </w:divBdr>
    </w:div>
    <w:div w:id="276260901">
      <w:bodyDiv w:val="1"/>
      <w:marLeft w:val="0"/>
      <w:marRight w:val="0"/>
      <w:marTop w:val="0"/>
      <w:marBottom w:val="0"/>
      <w:divBdr>
        <w:top w:val="none" w:sz="0" w:space="0" w:color="auto"/>
        <w:left w:val="none" w:sz="0" w:space="0" w:color="auto"/>
        <w:bottom w:val="none" w:sz="0" w:space="0" w:color="auto"/>
        <w:right w:val="none" w:sz="0" w:space="0" w:color="auto"/>
      </w:divBdr>
    </w:div>
    <w:div w:id="293147351">
      <w:bodyDiv w:val="1"/>
      <w:marLeft w:val="0"/>
      <w:marRight w:val="0"/>
      <w:marTop w:val="0"/>
      <w:marBottom w:val="0"/>
      <w:divBdr>
        <w:top w:val="none" w:sz="0" w:space="0" w:color="auto"/>
        <w:left w:val="none" w:sz="0" w:space="0" w:color="auto"/>
        <w:bottom w:val="none" w:sz="0" w:space="0" w:color="auto"/>
        <w:right w:val="none" w:sz="0" w:space="0" w:color="auto"/>
      </w:divBdr>
    </w:div>
    <w:div w:id="295530071">
      <w:bodyDiv w:val="1"/>
      <w:marLeft w:val="0"/>
      <w:marRight w:val="0"/>
      <w:marTop w:val="0"/>
      <w:marBottom w:val="0"/>
      <w:divBdr>
        <w:top w:val="none" w:sz="0" w:space="0" w:color="auto"/>
        <w:left w:val="none" w:sz="0" w:space="0" w:color="auto"/>
        <w:bottom w:val="none" w:sz="0" w:space="0" w:color="auto"/>
        <w:right w:val="none" w:sz="0" w:space="0" w:color="auto"/>
      </w:divBdr>
    </w:div>
    <w:div w:id="312954522">
      <w:bodyDiv w:val="1"/>
      <w:marLeft w:val="0"/>
      <w:marRight w:val="0"/>
      <w:marTop w:val="0"/>
      <w:marBottom w:val="0"/>
      <w:divBdr>
        <w:top w:val="none" w:sz="0" w:space="0" w:color="auto"/>
        <w:left w:val="none" w:sz="0" w:space="0" w:color="auto"/>
        <w:bottom w:val="none" w:sz="0" w:space="0" w:color="auto"/>
        <w:right w:val="none" w:sz="0" w:space="0" w:color="auto"/>
      </w:divBdr>
    </w:div>
    <w:div w:id="330720847">
      <w:bodyDiv w:val="1"/>
      <w:marLeft w:val="0"/>
      <w:marRight w:val="0"/>
      <w:marTop w:val="0"/>
      <w:marBottom w:val="0"/>
      <w:divBdr>
        <w:top w:val="none" w:sz="0" w:space="0" w:color="auto"/>
        <w:left w:val="none" w:sz="0" w:space="0" w:color="auto"/>
        <w:bottom w:val="none" w:sz="0" w:space="0" w:color="auto"/>
        <w:right w:val="none" w:sz="0" w:space="0" w:color="auto"/>
      </w:divBdr>
    </w:div>
    <w:div w:id="433134765">
      <w:bodyDiv w:val="1"/>
      <w:marLeft w:val="0"/>
      <w:marRight w:val="0"/>
      <w:marTop w:val="0"/>
      <w:marBottom w:val="0"/>
      <w:divBdr>
        <w:top w:val="none" w:sz="0" w:space="0" w:color="auto"/>
        <w:left w:val="none" w:sz="0" w:space="0" w:color="auto"/>
        <w:bottom w:val="none" w:sz="0" w:space="0" w:color="auto"/>
        <w:right w:val="none" w:sz="0" w:space="0" w:color="auto"/>
      </w:divBdr>
    </w:div>
    <w:div w:id="448088630">
      <w:bodyDiv w:val="1"/>
      <w:marLeft w:val="0"/>
      <w:marRight w:val="0"/>
      <w:marTop w:val="0"/>
      <w:marBottom w:val="0"/>
      <w:divBdr>
        <w:top w:val="none" w:sz="0" w:space="0" w:color="auto"/>
        <w:left w:val="none" w:sz="0" w:space="0" w:color="auto"/>
        <w:bottom w:val="none" w:sz="0" w:space="0" w:color="auto"/>
        <w:right w:val="none" w:sz="0" w:space="0" w:color="auto"/>
      </w:divBdr>
    </w:div>
    <w:div w:id="468598140">
      <w:bodyDiv w:val="1"/>
      <w:marLeft w:val="0"/>
      <w:marRight w:val="0"/>
      <w:marTop w:val="0"/>
      <w:marBottom w:val="0"/>
      <w:divBdr>
        <w:top w:val="none" w:sz="0" w:space="0" w:color="auto"/>
        <w:left w:val="none" w:sz="0" w:space="0" w:color="auto"/>
        <w:bottom w:val="none" w:sz="0" w:space="0" w:color="auto"/>
        <w:right w:val="none" w:sz="0" w:space="0" w:color="auto"/>
      </w:divBdr>
    </w:div>
    <w:div w:id="558856812">
      <w:bodyDiv w:val="1"/>
      <w:marLeft w:val="0"/>
      <w:marRight w:val="0"/>
      <w:marTop w:val="0"/>
      <w:marBottom w:val="0"/>
      <w:divBdr>
        <w:top w:val="none" w:sz="0" w:space="0" w:color="auto"/>
        <w:left w:val="none" w:sz="0" w:space="0" w:color="auto"/>
        <w:bottom w:val="none" w:sz="0" w:space="0" w:color="auto"/>
        <w:right w:val="none" w:sz="0" w:space="0" w:color="auto"/>
      </w:divBdr>
    </w:div>
    <w:div w:id="691764388">
      <w:bodyDiv w:val="1"/>
      <w:marLeft w:val="0"/>
      <w:marRight w:val="0"/>
      <w:marTop w:val="0"/>
      <w:marBottom w:val="0"/>
      <w:divBdr>
        <w:top w:val="none" w:sz="0" w:space="0" w:color="auto"/>
        <w:left w:val="none" w:sz="0" w:space="0" w:color="auto"/>
        <w:bottom w:val="none" w:sz="0" w:space="0" w:color="auto"/>
        <w:right w:val="none" w:sz="0" w:space="0" w:color="auto"/>
      </w:divBdr>
    </w:div>
    <w:div w:id="698243657">
      <w:bodyDiv w:val="1"/>
      <w:marLeft w:val="0"/>
      <w:marRight w:val="0"/>
      <w:marTop w:val="0"/>
      <w:marBottom w:val="0"/>
      <w:divBdr>
        <w:top w:val="none" w:sz="0" w:space="0" w:color="auto"/>
        <w:left w:val="none" w:sz="0" w:space="0" w:color="auto"/>
        <w:bottom w:val="none" w:sz="0" w:space="0" w:color="auto"/>
        <w:right w:val="none" w:sz="0" w:space="0" w:color="auto"/>
      </w:divBdr>
    </w:div>
    <w:div w:id="759302200">
      <w:bodyDiv w:val="1"/>
      <w:marLeft w:val="0"/>
      <w:marRight w:val="0"/>
      <w:marTop w:val="0"/>
      <w:marBottom w:val="0"/>
      <w:divBdr>
        <w:top w:val="none" w:sz="0" w:space="0" w:color="auto"/>
        <w:left w:val="none" w:sz="0" w:space="0" w:color="auto"/>
        <w:bottom w:val="none" w:sz="0" w:space="0" w:color="auto"/>
        <w:right w:val="none" w:sz="0" w:space="0" w:color="auto"/>
      </w:divBdr>
    </w:div>
    <w:div w:id="776487427">
      <w:bodyDiv w:val="1"/>
      <w:marLeft w:val="0"/>
      <w:marRight w:val="0"/>
      <w:marTop w:val="0"/>
      <w:marBottom w:val="0"/>
      <w:divBdr>
        <w:top w:val="none" w:sz="0" w:space="0" w:color="auto"/>
        <w:left w:val="none" w:sz="0" w:space="0" w:color="auto"/>
        <w:bottom w:val="none" w:sz="0" w:space="0" w:color="auto"/>
        <w:right w:val="none" w:sz="0" w:space="0" w:color="auto"/>
      </w:divBdr>
    </w:div>
    <w:div w:id="871504132">
      <w:bodyDiv w:val="1"/>
      <w:marLeft w:val="0"/>
      <w:marRight w:val="0"/>
      <w:marTop w:val="0"/>
      <w:marBottom w:val="0"/>
      <w:divBdr>
        <w:top w:val="none" w:sz="0" w:space="0" w:color="auto"/>
        <w:left w:val="none" w:sz="0" w:space="0" w:color="auto"/>
        <w:bottom w:val="none" w:sz="0" w:space="0" w:color="auto"/>
        <w:right w:val="none" w:sz="0" w:space="0" w:color="auto"/>
      </w:divBdr>
    </w:div>
    <w:div w:id="884298214">
      <w:bodyDiv w:val="1"/>
      <w:marLeft w:val="0"/>
      <w:marRight w:val="0"/>
      <w:marTop w:val="0"/>
      <w:marBottom w:val="0"/>
      <w:divBdr>
        <w:top w:val="none" w:sz="0" w:space="0" w:color="auto"/>
        <w:left w:val="none" w:sz="0" w:space="0" w:color="auto"/>
        <w:bottom w:val="none" w:sz="0" w:space="0" w:color="auto"/>
        <w:right w:val="none" w:sz="0" w:space="0" w:color="auto"/>
      </w:divBdr>
    </w:div>
    <w:div w:id="946885603">
      <w:bodyDiv w:val="1"/>
      <w:marLeft w:val="0"/>
      <w:marRight w:val="0"/>
      <w:marTop w:val="0"/>
      <w:marBottom w:val="0"/>
      <w:divBdr>
        <w:top w:val="none" w:sz="0" w:space="0" w:color="auto"/>
        <w:left w:val="none" w:sz="0" w:space="0" w:color="auto"/>
        <w:bottom w:val="none" w:sz="0" w:space="0" w:color="auto"/>
        <w:right w:val="none" w:sz="0" w:space="0" w:color="auto"/>
      </w:divBdr>
    </w:div>
    <w:div w:id="1031347646">
      <w:bodyDiv w:val="1"/>
      <w:marLeft w:val="0"/>
      <w:marRight w:val="0"/>
      <w:marTop w:val="0"/>
      <w:marBottom w:val="0"/>
      <w:divBdr>
        <w:top w:val="none" w:sz="0" w:space="0" w:color="auto"/>
        <w:left w:val="none" w:sz="0" w:space="0" w:color="auto"/>
        <w:bottom w:val="none" w:sz="0" w:space="0" w:color="auto"/>
        <w:right w:val="none" w:sz="0" w:space="0" w:color="auto"/>
      </w:divBdr>
    </w:div>
    <w:div w:id="1056515351">
      <w:bodyDiv w:val="1"/>
      <w:marLeft w:val="0"/>
      <w:marRight w:val="0"/>
      <w:marTop w:val="0"/>
      <w:marBottom w:val="0"/>
      <w:divBdr>
        <w:top w:val="none" w:sz="0" w:space="0" w:color="auto"/>
        <w:left w:val="none" w:sz="0" w:space="0" w:color="auto"/>
        <w:bottom w:val="none" w:sz="0" w:space="0" w:color="auto"/>
        <w:right w:val="none" w:sz="0" w:space="0" w:color="auto"/>
      </w:divBdr>
    </w:div>
    <w:div w:id="1124498446">
      <w:bodyDiv w:val="1"/>
      <w:marLeft w:val="0"/>
      <w:marRight w:val="0"/>
      <w:marTop w:val="0"/>
      <w:marBottom w:val="0"/>
      <w:divBdr>
        <w:top w:val="none" w:sz="0" w:space="0" w:color="auto"/>
        <w:left w:val="none" w:sz="0" w:space="0" w:color="auto"/>
        <w:bottom w:val="none" w:sz="0" w:space="0" w:color="auto"/>
        <w:right w:val="none" w:sz="0" w:space="0" w:color="auto"/>
      </w:divBdr>
    </w:div>
    <w:div w:id="1248811797">
      <w:bodyDiv w:val="1"/>
      <w:marLeft w:val="0"/>
      <w:marRight w:val="0"/>
      <w:marTop w:val="0"/>
      <w:marBottom w:val="0"/>
      <w:divBdr>
        <w:top w:val="none" w:sz="0" w:space="0" w:color="auto"/>
        <w:left w:val="none" w:sz="0" w:space="0" w:color="auto"/>
        <w:bottom w:val="none" w:sz="0" w:space="0" w:color="auto"/>
        <w:right w:val="none" w:sz="0" w:space="0" w:color="auto"/>
      </w:divBdr>
    </w:div>
    <w:div w:id="1356077865">
      <w:bodyDiv w:val="1"/>
      <w:marLeft w:val="0"/>
      <w:marRight w:val="0"/>
      <w:marTop w:val="0"/>
      <w:marBottom w:val="0"/>
      <w:divBdr>
        <w:top w:val="none" w:sz="0" w:space="0" w:color="auto"/>
        <w:left w:val="none" w:sz="0" w:space="0" w:color="auto"/>
        <w:bottom w:val="none" w:sz="0" w:space="0" w:color="auto"/>
        <w:right w:val="none" w:sz="0" w:space="0" w:color="auto"/>
      </w:divBdr>
    </w:div>
    <w:div w:id="1481968444">
      <w:bodyDiv w:val="1"/>
      <w:marLeft w:val="0"/>
      <w:marRight w:val="0"/>
      <w:marTop w:val="0"/>
      <w:marBottom w:val="0"/>
      <w:divBdr>
        <w:top w:val="none" w:sz="0" w:space="0" w:color="auto"/>
        <w:left w:val="none" w:sz="0" w:space="0" w:color="auto"/>
        <w:bottom w:val="none" w:sz="0" w:space="0" w:color="auto"/>
        <w:right w:val="none" w:sz="0" w:space="0" w:color="auto"/>
      </w:divBdr>
    </w:div>
    <w:div w:id="1602763020">
      <w:bodyDiv w:val="1"/>
      <w:marLeft w:val="0"/>
      <w:marRight w:val="0"/>
      <w:marTop w:val="0"/>
      <w:marBottom w:val="0"/>
      <w:divBdr>
        <w:top w:val="none" w:sz="0" w:space="0" w:color="auto"/>
        <w:left w:val="none" w:sz="0" w:space="0" w:color="auto"/>
        <w:bottom w:val="none" w:sz="0" w:space="0" w:color="auto"/>
        <w:right w:val="none" w:sz="0" w:space="0" w:color="auto"/>
      </w:divBdr>
    </w:div>
    <w:div w:id="1609120014">
      <w:bodyDiv w:val="1"/>
      <w:marLeft w:val="0"/>
      <w:marRight w:val="0"/>
      <w:marTop w:val="0"/>
      <w:marBottom w:val="0"/>
      <w:divBdr>
        <w:top w:val="none" w:sz="0" w:space="0" w:color="auto"/>
        <w:left w:val="none" w:sz="0" w:space="0" w:color="auto"/>
        <w:bottom w:val="none" w:sz="0" w:space="0" w:color="auto"/>
        <w:right w:val="none" w:sz="0" w:space="0" w:color="auto"/>
      </w:divBdr>
    </w:div>
    <w:div w:id="1692028589">
      <w:bodyDiv w:val="1"/>
      <w:marLeft w:val="0"/>
      <w:marRight w:val="0"/>
      <w:marTop w:val="0"/>
      <w:marBottom w:val="0"/>
      <w:divBdr>
        <w:top w:val="none" w:sz="0" w:space="0" w:color="auto"/>
        <w:left w:val="none" w:sz="0" w:space="0" w:color="auto"/>
        <w:bottom w:val="none" w:sz="0" w:space="0" w:color="auto"/>
        <w:right w:val="none" w:sz="0" w:space="0" w:color="auto"/>
      </w:divBdr>
    </w:div>
    <w:div w:id="1870021348">
      <w:bodyDiv w:val="1"/>
      <w:marLeft w:val="0"/>
      <w:marRight w:val="0"/>
      <w:marTop w:val="0"/>
      <w:marBottom w:val="0"/>
      <w:divBdr>
        <w:top w:val="none" w:sz="0" w:space="0" w:color="auto"/>
        <w:left w:val="none" w:sz="0" w:space="0" w:color="auto"/>
        <w:bottom w:val="none" w:sz="0" w:space="0" w:color="auto"/>
        <w:right w:val="none" w:sz="0" w:space="0" w:color="auto"/>
      </w:divBdr>
    </w:div>
    <w:div w:id="1878857953">
      <w:bodyDiv w:val="1"/>
      <w:marLeft w:val="0"/>
      <w:marRight w:val="0"/>
      <w:marTop w:val="0"/>
      <w:marBottom w:val="0"/>
      <w:divBdr>
        <w:top w:val="none" w:sz="0" w:space="0" w:color="auto"/>
        <w:left w:val="none" w:sz="0" w:space="0" w:color="auto"/>
        <w:bottom w:val="none" w:sz="0" w:space="0" w:color="auto"/>
        <w:right w:val="none" w:sz="0" w:space="0" w:color="auto"/>
      </w:divBdr>
    </w:div>
    <w:div w:id="1899318813">
      <w:bodyDiv w:val="1"/>
      <w:marLeft w:val="0"/>
      <w:marRight w:val="0"/>
      <w:marTop w:val="0"/>
      <w:marBottom w:val="0"/>
      <w:divBdr>
        <w:top w:val="none" w:sz="0" w:space="0" w:color="auto"/>
        <w:left w:val="none" w:sz="0" w:space="0" w:color="auto"/>
        <w:bottom w:val="none" w:sz="0" w:space="0" w:color="auto"/>
        <w:right w:val="none" w:sz="0" w:space="0" w:color="auto"/>
      </w:divBdr>
    </w:div>
    <w:div w:id="1952593463">
      <w:bodyDiv w:val="1"/>
      <w:marLeft w:val="0"/>
      <w:marRight w:val="0"/>
      <w:marTop w:val="0"/>
      <w:marBottom w:val="0"/>
      <w:divBdr>
        <w:top w:val="none" w:sz="0" w:space="0" w:color="auto"/>
        <w:left w:val="none" w:sz="0" w:space="0" w:color="auto"/>
        <w:bottom w:val="none" w:sz="0" w:space="0" w:color="auto"/>
        <w:right w:val="none" w:sz="0" w:space="0" w:color="auto"/>
      </w:divBdr>
    </w:div>
    <w:div w:id="2007128116">
      <w:bodyDiv w:val="1"/>
      <w:marLeft w:val="0"/>
      <w:marRight w:val="0"/>
      <w:marTop w:val="0"/>
      <w:marBottom w:val="0"/>
      <w:divBdr>
        <w:top w:val="none" w:sz="0" w:space="0" w:color="auto"/>
        <w:left w:val="none" w:sz="0" w:space="0" w:color="auto"/>
        <w:bottom w:val="none" w:sz="0" w:space="0" w:color="auto"/>
        <w:right w:val="none" w:sz="0" w:space="0" w:color="auto"/>
      </w:divBdr>
    </w:div>
    <w:div w:id="2046055659">
      <w:bodyDiv w:val="1"/>
      <w:marLeft w:val="0"/>
      <w:marRight w:val="0"/>
      <w:marTop w:val="0"/>
      <w:marBottom w:val="0"/>
      <w:divBdr>
        <w:top w:val="none" w:sz="0" w:space="0" w:color="auto"/>
        <w:left w:val="none" w:sz="0" w:space="0" w:color="auto"/>
        <w:bottom w:val="none" w:sz="0" w:space="0" w:color="auto"/>
        <w:right w:val="none" w:sz="0" w:space="0" w:color="auto"/>
      </w:divBdr>
    </w:div>
    <w:div w:id="2054771790">
      <w:bodyDiv w:val="1"/>
      <w:marLeft w:val="0"/>
      <w:marRight w:val="0"/>
      <w:marTop w:val="0"/>
      <w:marBottom w:val="0"/>
      <w:divBdr>
        <w:top w:val="none" w:sz="0" w:space="0" w:color="auto"/>
        <w:left w:val="none" w:sz="0" w:space="0" w:color="auto"/>
        <w:bottom w:val="none" w:sz="0" w:space="0" w:color="auto"/>
        <w:right w:val="none" w:sz="0" w:space="0" w:color="auto"/>
      </w:divBdr>
    </w:div>
    <w:div w:id="2057467921">
      <w:bodyDiv w:val="1"/>
      <w:marLeft w:val="0"/>
      <w:marRight w:val="0"/>
      <w:marTop w:val="0"/>
      <w:marBottom w:val="0"/>
      <w:divBdr>
        <w:top w:val="none" w:sz="0" w:space="0" w:color="auto"/>
        <w:left w:val="none" w:sz="0" w:space="0" w:color="auto"/>
        <w:bottom w:val="none" w:sz="0" w:space="0" w:color="auto"/>
        <w:right w:val="none" w:sz="0" w:space="0" w:color="auto"/>
      </w:divBdr>
    </w:div>
    <w:div w:id="2084373688">
      <w:bodyDiv w:val="1"/>
      <w:marLeft w:val="0"/>
      <w:marRight w:val="0"/>
      <w:marTop w:val="0"/>
      <w:marBottom w:val="0"/>
      <w:divBdr>
        <w:top w:val="none" w:sz="0" w:space="0" w:color="auto"/>
        <w:left w:val="none" w:sz="0" w:space="0" w:color="auto"/>
        <w:bottom w:val="none" w:sz="0" w:space="0" w:color="auto"/>
        <w:right w:val="none" w:sz="0" w:space="0" w:color="auto"/>
      </w:divBdr>
    </w:div>
    <w:div w:id="211979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ites/default/files/communication_instrumentalisation_migrant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sites/default/files/legislative_proposal_blacklist_transport_smuggling.pdf"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3852A-2B57-4E5E-8B1D-1B9586DC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13607</Words>
  <Characters>7757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 Antanaitė</dc:creator>
  <cp:lastModifiedBy>Jurgis Stirblys</cp:lastModifiedBy>
  <cp:revision>6</cp:revision>
  <cp:lastPrinted>2021-06-01T05:58:00Z</cp:lastPrinted>
  <dcterms:created xsi:type="dcterms:W3CDTF">2021-12-05T17:36:00Z</dcterms:created>
  <dcterms:modified xsi:type="dcterms:W3CDTF">2021-12-06T07:07:00Z</dcterms:modified>
</cp:coreProperties>
</file>