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F5CF0" w14:textId="77777777" w:rsidR="003B4585" w:rsidRPr="004571B5" w:rsidRDefault="003B4585">
      <w:pPr>
        <w:jc w:val="center"/>
        <w:rPr>
          <w:lang w:val="lt-LT"/>
        </w:rPr>
      </w:pPr>
      <w:r w:rsidRPr="004571B5">
        <w:rPr>
          <w:rFonts w:ascii="Times New Roman" w:hAnsi="Times New Roman" w:cs="Times New Roman"/>
          <w:b/>
          <w:caps/>
          <w:lang w:val="lt-LT"/>
        </w:rPr>
        <w:t xml:space="preserve">LIETUVOS RESPUBLIKOS </w:t>
      </w:r>
      <w:r w:rsidRPr="004571B5">
        <w:rPr>
          <w:rFonts w:ascii="Times New Roman" w:hAnsi="Times New Roman" w:cs="Times New Roman"/>
          <w:b/>
          <w:bCs/>
          <w:caps/>
          <w:lang w:val="lt-LT"/>
        </w:rPr>
        <w:t xml:space="preserve">PAKARTOTINIO SVEIKATOS DUOMENŲ NAUDOJIMO </w:t>
      </w:r>
      <w:r w:rsidRPr="004571B5">
        <w:rPr>
          <w:rFonts w:ascii="Times New Roman" w:hAnsi="Times New Roman" w:cs="Times New Roman"/>
          <w:b/>
          <w:lang w:val="lt-LT"/>
        </w:rPr>
        <w:t>ĮSTATYMO, LIETUVOS RESPUBLIKOS SVEIKATOS SISTEMOS ĮSTATYMO NR. I-552 I DALIES III SKYRIAUS PAVADINIMO PAKEITIMO IR ĮSTATYMO PAPILDYMO 13</w:t>
      </w:r>
      <w:r w:rsidRPr="004571B5">
        <w:rPr>
          <w:rFonts w:ascii="Times New Roman" w:hAnsi="Times New Roman" w:cs="Times New Roman"/>
          <w:b/>
          <w:vertAlign w:val="superscript"/>
          <w:lang w:val="lt-LT"/>
        </w:rPr>
        <w:t>2</w:t>
      </w:r>
      <w:r w:rsidRPr="004571B5">
        <w:rPr>
          <w:rFonts w:ascii="Times New Roman" w:hAnsi="Times New Roman" w:cs="Times New Roman"/>
          <w:b/>
          <w:lang w:val="lt-LT"/>
        </w:rPr>
        <w:t xml:space="preserve"> STRAIPSNIU IR LIETUVOS RESPUBLIKOS PACIENTŲ TEISIŲ IR ŽALOS SVEIKATAI ATLYGINIMO ĮSTATYMO NR. I-1562 9 STRAIPSNIO PAKEITIMO ĮSTATYMO PROJEKTŲ</w:t>
      </w:r>
    </w:p>
    <w:p w14:paraId="72DD2CEA" w14:textId="77777777" w:rsidR="003B4585" w:rsidRPr="004571B5" w:rsidRDefault="003B4585">
      <w:pPr>
        <w:jc w:val="center"/>
        <w:rPr>
          <w:lang w:val="lt-LT"/>
        </w:rPr>
      </w:pPr>
      <w:r w:rsidRPr="004571B5">
        <w:rPr>
          <w:rFonts w:ascii="Times New Roman" w:hAnsi="Times New Roman" w:cs="Times New Roman"/>
          <w:b/>
          <w:bCs/>
          <w:lang w:val="lt-LT"/>
        </w:rPr>
        <w:t>DERINIMO PAŽYMA</w:t>
      </w:r>
    </w:p>
    <w:p w14:paraId="2A110306" w14:textId="77777777" w:rsidR="003B4585" w:rsidRPr="004571B5" w:rsidRDefault="003B4585">
      <w:pPr>
        <w:jc w:val="center"/>
        <w:rPr>
          <w:rFonts w:ascii="Times New Roman" w:hAnsi="Times New Roman" w:cs="Times New Roman"/>
          <w:b/>
          <w:bCs/>
          <w:lang w:val="lt-LT"/>
        </w:rPr>
      </w:pPr>
    </w:p>
    <w:tbl>
      <w:tblPr>
        <w:tblW w:w="13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50"/>
        <w:gridCol w:w="5400"/>
        <w:gridCol w:w="5408"/>
      </w:tblGrid>
      <w:tr w:rsidR="003B4585" w:rsidRPr="00656901" w14:paraId="242AB7CE" w14:textId="77777777" w:rsidTr="00656901">
        <w:tc>
          <w:tcPr>
            <w:tcW w:w="2250" w:type="dxa"/>
          </w:tcPr>
          <w:p w14:paraId="69ADB3F3" w14:textId="77777777" w:rsidR="003B4585" w:rsidRPr="00656901" w:rsidRDefault="003B4585" w:rsidP="00656901">
            <w:pPr>
              <w:spacing w:after="0" w:line="240" w:lineRule="auto"/>
              <w:jc w:val="center"/>
              <w:rPr>
                <w:sz w:val="24"/>
                <w:szCs w:val="24"/>
                <w:lang w:val="lt-LT"/>
              </w:rPr>
            </w:pPr>
            <w:r w:rsidRPr="00656901">
              <w:rPr>
                <w:rFonts w:ascii="Times New Roman" w:hAnsi="Times New Roman" w:cs="Times New Roman"/>
                <w:b/>
                <w:bCs/>
                <w:sz w:val="24"/>
                <w:szCs w:val="24"/>
                <w:lang w:val="lt-LT"/>
              </w:rPr>
              <w:t>Lietuvos Respublikos Vyriausybės kanceliarijos grupė, dokumento data ir numeris</w:t>
            </w:r>
          </w:p>
        </w:tc>
        <w:tc>
          <w:tcPr>
            <w:tcW w:w="5400" w:type="dxa"/>
          </w:tcPr>
          <w:p w14:paraId="47DD6903" w14:textId="77777777" w:rsidR="003B4585" w:rsidRPr="00656901" w:rsidRDefault="003B4585" w:rsidP="00656901">
            <w:pPr>
              <w:spacing w:after="0" w:line="240" w:lineRule="auto"/>
              <w:jc w:val="center"/>
              <w:rPr>
                <w:rFonts w:ascii="Times New Roman" w:hAnsi="Times New Roman"/>
                <w:b/>
                <w:bCs/>
                <w:sz w:val="24"/>
                <w:szCs w:val="24"/>
                <w:lang w:val="lt-LT"/>
              </w:rPr>
            </w:pPr>
            <w:r w:rsidRPr="00656901">
              <w:rPr>
                <w:rFonts w:ascii="Times New Roman" w:hAnsi="Times New Roman"/>
                <w:b/>
                <w:bCs/>
                <w:sz w:val="24"/>
                <w:szCs w:val="24"/>
                <w:lang w:val="lt-LT"/>
              </w:rPr>
              <w:t>Pasiūlymai ir pastabos</w:t>
            </w:r>
          </w:p>
        </w:tc>
        <w:tc>
          <w:tcPr>
            <w:tcW w:w="5408" w:type="dxa"/>
          </w:tcPr>
          <w:p w14:paraId="14127BF9" w14:textId="77777777" w:rsidR="003B4585" w:rsidRPr="00656901" w:rsidRDefault="003B4585" w:rsidP="00656901">
            <w:pPr>
              <w:spacing w:after="0" w:line="240" w:lineRule="auto"/>
              <w:jc w:val="center"/>
              <w:rPr>
                <w:b/>
                <w:bCs/>
                <w:sz w:val="24"/>
                <w:szCs w:val="24"/>
                <w:lang w:val="lt-LT"/>
              </w:rPr>
            </w:pPr>
            <w:r w:rsidRPr="00656901">
              <w:rPr>
                <w:rFonts w:ascii="Times New Roman" w:hAnsi="Times New Roman" w:cs="Times New Roman"/>
                <w:b/>
                <w:bCs/>
                <w:sz w:val="24"/>
                <w:szCs w:val="24"/>
                <w:lang w:val="lt-LT" w:eastAsia="lt-LT"/>
              </w:rPr>
              <w:t>Argumentai, kodėl į pasiūlymus ir pastabas neatsižvelgta arba atsižvelgta iš dalies ir</w:t>
            </w:r>
            <w:r w:rsidRPr="00656901">
              <w:rPr>
                <w:rFonts w:ascii="Times New Roman" w:hAnsi="Times New Roman" w:cs="Times New Roman"/>
                <w:b/>
                <w:bCs/>
                <w:sz w:val="24"/>
                <w:szCs w:val="24"/>
                <w:lang w:val="lt-LT"/>
              </w:rPr>
              <w:t xml:space="preserve"> komentarai</w:t>
            </w:r>
          </w:p>
        </w:tc>
      </w:tr>
      <w:tr w:rsidR="003B4585" w:rsidRPr="00656901" w14:paraId="41653BE1" w14:textId="77777777" w:rsidTr="00656901">
        <w:tc>
          <w:tcPr>
            <w:tcW w:w="2250" w:type="dxa"/>
            <w:vMerge w:val="restart"/>
            <w:tcBorders>
              <w:top w:val="nil"/>
            </w:tcBorders>
          </w:tcPr>
          <w:p w14:paraId="15DA2418" w14:textId="77777777" w:rsidR="003B4585" w:rsidRPr="00656901" w:rsidRDefault="003B4585" w:rsidP="00656901">
            <w:pPr>
              <w:spacing w:after="0" w:line="240" w:lineRule="auto"/>
              <w:jc w:val="both"/>
              <w:rPr>
                <w:sz w:val="24"/>
                <w:szCs w:val="24"/>
                <w:lang w:val="lt-LT"/>
              </w:rPr>
            </w:pPr>
            <w:r w:rsidRPr="00656901">
              <w:rPr>
                <w:rFonts w:ascii="Times New Roman" w:hAnsi="Times New Roman" w:cs="Times New Roman"/>
                <w:b/>
                <w:bCs/>
                <w:sz w:val="24"/>
                <w:szCs w:val="24"/>
                <w:lang w:val="lt-LT"/>
              </w:rPr>
              <w:t>2021 m. vasario 10 d. Teisės grupės išvada Nr. NV-288</w:t>
            </w:r>
          </w:p>
        </w:tc>
        <w:tc>
          <w:tcPr>
            <w:tcW w:w="5400" w:type="dxa"/>
          </w:tcPr>
          <w:p w14:paraId="6CA7606B" w14:textId="77777777" w:rsidR="003B4585" w:rsidRPr="00656901" w:rsidRDefault="003B4585" w:rsidP="00656901">
            <w:pPr>
              <w:spacing w:after="0" w:line="240" w:lineRule="auto"/>
              <w:jc w:val="both"/>
              <w:rPr>
                <w:rFonts w:ascii="Times New Roman" w:hAnsi="Times New Roman" w:cs="Times New Roman"/>
                <w:sz w:val="24"/>
                <w:szCs w:val="24"/>
                <w:lang w:val="lt-LT"/>
              </w:rPr>
            </w:pPr>
            <w:r w:rsidRPr="00656901">
              <w:rPr>
                <w:rFonts w:ascii="Times New Roman" w:hAnsi="Times New Roman" w:cs="Times New Roman"/>
                <w:sz w:val="24"/>
                <w:szCs w:val="24"/>
                <w:lang w:val="lt-LT"/>
              </w:rPr>
              <w:t>8. Įvertinus Projekto 3 straipsnio 7 dalyje nurodytus pakartotinai naudojamų sveikatos duomenų tikslus,  pastebime, kad 2016 m. balandžio 27 d. Europos Parlamento ir Tarybos reglamento (ES) 2016/679 dėl fizinių asmenų apsaugos tvarkant asmens duomenis ir dėl laisvo tokių duomenų judėjimo ir kuriuo panaikinama Direktyva 95/46/EB (Bendrasis duomenų apsaugos reglamentas), išskiria mokslinių tyrimų tikslu tvarkomus asmens duomenis ir asmens duomenų tvarkymą istorinių tyrimų tikslu, kuris apimtų ir geneologinius tyrimus (pavyzdžiui, Reglamento (ES) 2016/679 preambulės (160) punktas, 89 straipsnis). Siūlome įvertinti, ar Projekto 3 straipsnio 7 dalies 1 punkte nurodytą tikslą nebūtų tikslinga papildyti, įskaitant istorinį tyrimą, jei tai būtų siejama su sveikatos duomenimis.</w:t>
            </w:r>
          </w:p>
        </w:tc>
        <w:tc>
          <w:tcPr>
            <w:tcW w:w="5408" w:type="dxa"/>
          </w:tcPr>
          <w:p w14:paraId="6C2ACF72" w14:textId="2E80DB42" w:rsidR="003B4585" w:rsidRPr="00656901" w:rsidRDefault="003B4585" w:rsidP="00656901">
            <w:pPr>
              <w:spacing w:after="0" w:line="240" w:lineRule="auto"/>
              <w:jc w:val="both"/>
              <w:rPr>
                <w:lang w:val="lt-LT"/>
              </w:rPr>
            </w:pPr>
            <w:r w:rsidRPr="00656901">
              <w:rPr>
                <w:rFonts w:ascii="Times New Roman" w:hAnsi="Times New Roman" w:cs="Times New Roman"/>
                <w:b/>
                <w:bCs/>
                <w:sz w:val="24"/>
                <w:szCs w:val="24"/>
                <w:lang w:val="lt-LT"/>
              </w:rPr>
              <w:t>Neatsižvelgta.</w:t>
            </w:r>
            <w:r w:rsidRPr="00656901">
              <w:rPr>
                <w:rFonts w:ascii="Times New Roman" w:hAnsi="Times New Roman" w:cs="Times New Roman"/>
                <w:sz w:val="24"/>
                <w:szCs w:val="24"/>
                <w:lang w:val="lt-LT"/>
              </w:rPr>
              <w:t xml:space="preserve"> Vadovaujantis Lietuvos Respublikos mokslo ir studijų įstatymu</w:t>
            </w:r>
            <w:r>
              <w:rPr>
                <w:rFonts w:ascii="Times New Roman" w:hAnsi="Times New Roman" w:cs="Times New Roman"/>
                <w:sz w:val="24"/>
                <w:szCs w:val="24"/>
                <w:lang w:val="lt-LT"/>
              </w:rPr>
              <w:t>,</w:t>
            </w:r>
            <w:r w:rsidRPr="00656901">
              <w:rPr>
                <w:rFonts w:ascii="Times New Roman" w:hAnsi="Times New Roman" w:cs="Times New Roman"/>
                <w:sz w:val="24"/>
                <w:szCs w:val="24"/>
                <w:lang w:val="lt-LT"/>
              </w:rPr>
              <w:t xml:space="preserve"> m</w:t>
            </w:r>
            <w:r w:rsidRPr="00656901">
              <w:rPr>
                <w:rFonts w:ascii="Times New Roman" w:hAnsi="Times New Roman"/>
                <w:sz w:val="24"/>
                <w:szCs w:val="24"/>
                <w:lang w:val="lt-LT"/>
              </w:rPr>
              <w:t>oksliniai tyrimai ir eksperimentinė plėtra – sisteminga kūrybinė gamtos, žmonijos, kultūros ir visuomenės pažinimo veikla ir jos rezultatų panaudojimas (4 str</w:t>
            </w:r>
            <w:r>
              <w:rPr>
                <w:rFonts w:ascii="Times New Roman" w:hAnsi="Times New Roman"/>
                <w:sz w:val="24"/>
                <w:szCs w:val="24"/>
                <w:lang w:val="lt-LT"/>
              </w:rPr>
              <w:t>aipsnio</w:t>
            </w:r>
            <w:r w:rsidRPr="00656901">
              <w:rPr>
                <w:rFonts w:ascii="Times New Roman" w:hAnsi="Times New Roman"/>
                <w:sz w:val="24"/>
                <w:szCs w:val="24"/>
                <w:lang w:val="lt-LT"/>
              </w:rPr>
              <w:t xml:space="preserve"> 15 d</w:t>
            </w:r>
            <w:r>
              <w:rPr>
                <w:rFonts w:ascii="Times New Roman" w:hAnsi="Times New Roman"/>
                <w:sz w:val="24"/>
                <w:szCs w:val="24"/>
                <w:lang w:val="lt-LT"/>
              </w:rPr>
              <w:t>alis</w:t>
            </w:r>
            <w:r w:rsidRPr="00656901">
              <w:rPr>
                <w:rFonts w:ascii="Times New Roman" w:hAnsi="Times New Roman"/>
                <w:sz w:val="24"/>
                <w:szCs w:val="24"/>
                <w:lang w:val="lt-LT"/>
              </w:rPr>
              <w:t>); valstybiniai mokslinių tyrimų institutai, kurių tikslas</w:t>
            </w:r>
            <w:r>
              <w:rPr>
                <w:rFonts w:ascii="Times New Roman" w:hAnsi="Times New Roman"/>
                <w:sz w:val="24"/>
                <w:szCs w:val="24"/>
                <w:lang w:val="lt-LT"/>
              </w:rPr>
              <w:t> </w:t>
            </w:r>
            <w:r w:rsidRPr="00656901">
              <w:rPr>
                <w:rFonts w:ascii="Times New Roman" w:hAnsi="Times New Roman"/>
                <w:sz w:val="24"/>
                <w:szCs w:val="24"/>
                <w:lang w:val="lt-LT"/>
              </w:rPr>
              <w:t>– kaupti, sisteminti, saugoti, skleisti nematerialųjį ir dokumentinį lituanistikos paveldą, vykdyti fundamentinius lietuvių kalbos, etnologijos, raštijos, kultūros ir istorijos paveldo tyrimus, turi ypatingos nacionalinės svarbos statusą (12 str</w:t>
            </w:r>
            <w:r>
              <w:rPr>
                <w:rFonts w:ascii="Times New Roman" w:hAnsi="Times New Roman"/>
                <w:sz w:val="24"/>
                <w:szCs w:val="24"/>
                <w:lang w:val="lt-LT"/>
              </w:rPr>
              <w:t>aipsnio</w:t>
            </w:r>
            <w:r w:rsidRPr="00656901">
              <w:rPr>
                <w:rFonts w:ascii="Times New Roman" w:hAnsi="Times New Roman"/>
                <w:sz w:val="24"/>
                <w:szCs w:val="24"/>
                <w:lang w:val="lt-LT"/>
              </w:rPr>
              <w:t xml:space="preserve"> 4 d</w:t>
            </w:r>
            <w:r>
              <w:rPr>
                <w:rFonts w:ascii="Times New Roman" w:hAnsi="Times New Roman"/>
                <w:sz w:val="24"/>
                <w:szCs w:val="24"/>
                <w:lang w:val="lt-LT"/>
              </w:rPr>
              <w:t>alis</w:t>
            </w:r>
            <w:r w:rsidRPr="00656901">
              <w:rPr>
                <w:rFonts w:ascii="Times New Roman" w:hAnsi="Times New Roman"/>
                <w:sz w:val="24"/>
                <w:szCs w:val="24"/>
                <w:lang w:val="lt-LT"/>
              </w:rPr>
              <w:t xml:space="preserve">). Taigi moksliniai tyrimai apima ir istorinius tyrimus. </w:t>
            </w:r>
          </w:p>
        </w:tc>
      </w:tr>
      <w:tr w:rsidR="003B4585" w:rsidRPr="00656901" w14:paraId="1379753E" w14:textId="77777777" w:rsidTr="00656901">
        <w:tc>
          <w:tcPr>
            <w:tcW w:w="2250" w:type="dxa"/>
            <w:vMerge/>
            <w:tcBorders>
              <w:top w:val="nil"/>
            </w:tcBorders>
          </w:tcPr>
          <w:p w14:paraId="63B6FD21" w14:textId="77777777" w:rsidR="003B4585" w:rsidRPr="00656901" w:rsidRDefault="003B4585" w:rsidP="00656901">
            <w:pPr>
              <w:spacing w:after="0" w:line="240" w:lineRule="auto"/>
              <w:jc w:val="both"/>
              <w:rPr>
                <w:sz w:val="24"/>
                <w:szCs w:val="24"/>
                <w:lang w:val="lt-LT"/>
              </w:rPr>
            </w:pPr>
          </w:p>
        </w:tc>
        <w:tc>
          <w:tcPr>
            <w:tcW w:w="5400" w:type="dxa"/>
          </w:tcPr>
          <w:p w14:paraId="7E19C562" w14:textId="77777777" w:rsidR="003B4585" w:rsidRPr="00656901" w:rsidRDefault="003B4585" w:rsidP="00656901">
            <w:pPr>
              <w:spacing w:after="0" w:line="240" w:lineRule="auto"/>
              <w:jc w:val="both"/>
              <w:rPr>
                <w:rFonts w:ascii="Times New Roman" w:hAnsi="Times New Roman" w:cs="Times New Roman"/>
                <w:sz w:val="24"/>
                <w:szCs w:val="24"/>
                <w:lang w:val="lt-LT"/>
              </w:rPr>
            </w:pPr>
            <w:r w:rsidRPr="00656901">
              <w:rPr>
                <w:rFonts w:ascii="Times New Roman" w:hAnsi="Times New Roman" w:cs="Times New Roman"/>
                <w:sz w:val="24"/>
                <w:szCs w:val="24"/>
                <w:lang w:val="lt-LT"/>
              </w:rPr>
              <w:t xml:space="preserve">11. Siūlome papildomai įvertinti Projekto 3 straipsnio 13 dalyje nurodyto leidimo termino, ne ilgesnio nei reikia pasiekti prašyme nurodytus sveikatos duomenų naudojimo tikslus, nustatymo apibrėžtumą, juolab, </w:t>
            </w:r>
            <w:r w:rsidRPr="00656901">
              <w:rPr>
                <w:rFonts w:ascii="Times New Roman" w:hAnsi="Times New Roman" w:cs="Times New Roman"/>
                <w:sz w:val="24"/>
                <w:szCs w:val="24"/>
                <w:lang w:val="lt-LT"/>
              </w:rPr>
              <w:lastRenderedPageBreak/>
              <w:t>kad ilgesnio nei reikia pasiekti prašyme nurodytus sveikatos duomenų naudojimo tikslus termino nurodymas, sukelia neigiamas pasekmes pareiškėjui - leidimas nepatikslinamas (Projekto 3 straipsnio 10 dalies 4 punktas). Nedetalizavus termino pagrįstumo vertinimo kriterijų, nustatomas teisiškai neapibrėžtas reikalavimas ir sudaroma galimybė piktnaudžiauti priimant sprendimus, nevienodai traktuoti asmenis. Be to, svarstytina, ar Projekte neturėtų būti nustatytas maksimalus terminas, kuriam praėjus, leidimas nebegaliotų, arba nustatytas ilgam terminui išduotų leidimų peržiūros laikotarpis.</w:t>
            </w:r>
          </w:p>
        </w:tc>
        <w:tc>
          <w:tcPr>
            <w:tcW w:w="5408" w:type="dxa"/>
          </w:tcPr>
          <w:p w14:paraId="3DB63E1B" w14:textId="47791FFA" w:rsidR="003B4585" w:rsidRPr="00656901" w:rsidRDefault="003B4585" w:rsidP="00656901">
            <w:pPr>
              <w:spacing w:after="0" w:line="240" w:lineRule="auto"/>
              <w:jc w:val="both"/>
              <w:rPr>
                <w:lang w:val="lt-LT"/>
              </w:rPr>
            </w:pPr>
            <w:r w:rsidRPr="00656901">
              <w:rPr>
                <w:rFonts w:ascii="Times New Roman" w:hAnsi="Times New Roman" w:cs="Times New Roman"/>
                <w:b/>
                <w:bCs/>
                <w:sz w:val="24"/>
                <w:szCs w:val="24"/>
                <w:lang w:val="lt-LT"/>
              </w:rPr>
              <w:lastRenderedPageBreak/>
              <w:t>Iš dalies atsižvelgta.</w:t>
            </w:r>
            <w:r w:rsidRPr="00656901">
              <w:rPr>
                <w:rFonts w:ascii="Times New Roman" w:hAnsi="Times New Roman" w:cs="Times New Roman"/>
                <w:sz w:val="24"/>
                <w:szCs w:val="24"/>
                <w:lang w:val="lt-LT"/>
              </w:rPr>
              <w:t xml:space="preserve"> Pareiškėjai patys turės įvertinti, per kokį terminą pavyks pasiekti tikslus pakartotinai naudojant sveikatos duomenis ir tai pagrįsti (Projekto 3 str</w:t>
            </w:r>
            <w:r>
              <w:rPr>
                <w:rFonts w:ascii="Times New Roman" w:hAnsi="Times New Roman" w:cs="Times New Roman"/>
                <w:sz w:val="24"/>
                <w:szCs w:val="24"/>
                <w:lang w:val="lt-LT"/>
              </w:rPr>
              <w:t>aipsnio</w:t>
            </w:r>
            <w:r w:rsidRPr="00656901">
              <w:rPr>
                <w:rFonts w:ascii="Times New Roman" w:hAnsi="Times New Roman" w:cs="Times New Roman"/>
                <w:sz w:val="24"/>
                <w:szCs w:val="24"/>
                <w:lang w:val="lt-LT"/>
              </w:rPr>
              <w:t xml:space="preserve"> 2 d</w:t>
            </w:r>
            <w:r>
              <w:rPr>
                <w:rFonts w:ascii="Times New Roman" w:hAnsi="Times New Roman" w:cs="Times New Roman"/>
                <w:sz w:val="24"/>
                <w:szCs w:val="24"/>
                <w:lang w:val="lt-LT"/>
              </w:rPr>
              <w:t>alies</w:t>
            </w:r>
            <w:r w:rsidRPr="00656901">
              <w:rPr>
                <w:rFonts w:ascii="Times New Roman" w:hAnsi="Times New Roman" w:cs="Times New Roman"/>
                <w:sz w:val="24"/>
                <w:szCs w:val="24"/>
                <w:lang w:val="lt-LT"/>
              </w:rPr>
              <w:t xml:space="preserve"> 3 p</w:t>
            </w:r>
            <w:r>
              <w:rPr>
                <w:rFonts w:ascii="Times New Roman" w:hAnsi="Times New Roman" w:cs="Times New Roman"/>
                <w:sz w:val="24"/>
                <w:szCs w:val="24"/>
                <w:lang w:val="lt-LT"/>
              </w:rPr>
              <w:t>unktas</w:t>
            </w:r>
            <w:r w:rsidRPr="00656901">
              <w:rPr>
                <w:rFonts w:ascii="Times New Roman" w:hAnsi="Times New Roman" w:cs="Times New Roman"/>
                <w:sz w:val="24"/>
                <w:szCs w:val="24"/>
                <w:lang w:val="lt-LT"/>
              </w:rPr>
              <w:t xml:space="preserve">), be to, už naudojimąsi </w:t>
            </w:r>
            <w:r w:rsidRPr="00656901">
              <w:rPr>
                <w:rFonts w:ascii="Times New Roman" w:hAnsi="Times New Roman" w:cs="Times New Roman"/>
                <w:sz w:val="24"/>
                <w:szCs w:val="24"/>
                <w:lang w:val="lt-LT"/>
              </w:rPr>
              <w:lastRenderedPageBreak/>
              <w:t xml:space="preserve">aplinka bus imamas įkainis pagal laikotarpį, todėl pareiškėjai tai įvertins ir dėl ekonominio intereso nepiktnaudžiaus prašydami ilgesnio leidimo laikotarpio, o </w:t>
            </w:r>
            <w:r>
              <w:rPr>
                <w:rFonts w:ascii="Times New Roman" w:hAnsi="Times New Roman" w:cs="Times New Roman"/>
                <w:sz w:val="24"/>
                <w:szCs w:val="24"/>
                <w:lang w:val="lt-LT"/>
              </w:rPr>
              <w:t>prireikus</w:t>
            </w:r>
            <w:r w:rsidRPr="00656901">
              <w:rPr>
                <w:rFonts w:ascii="Times New Roman" w:hAnsi="Times New Roman" w:cs="Times New Roman"/>
                <w:sz w:val="24"/>
                <w:szCs w:val="24"/>
                <w:lang w:val="lt-LT"/>
              </w:rPr>
              <w:t xml:space="preserve"> terminą pratęs. Nurodyta projekto dalis patikslinta nuostata „Leidimas išduodamas prašyme nurodytam terminui.“</w:t>
            </w:r>
          </w:p>
        </w:tc>
      </w:tr>
      <w:tr w:rsidR="003B4585" w:rsidRPr="00656901" w14:paraId="13C7F9B6" w14:textId="77777777" w:rsidTr="00656901">
        <w:tc>
          <w:tcPr>
            <w:tcW w:w="2250" w:type="dxa"/>
            <w:vMerge/>
            <w:tcBorders>
              <w:top w:val="nil"/>
            </w:tcBorders>
          </w:tcPr>
          <w:p w14:paraId="3593806C" w14:textId="77777777" w:rsidR="003B4585" w:rsidRPr="00656901" w:rsidRDefault="003B4585" w:rsidP="00656901">
            <w:pPr>
              <w:spacing w:after="0" w:line="240" w:lineRule="auto"/>
              <w:jc w:val="both"/>
              <w:rPr>
                <w:sz w:val="24"/>
                <w:szCs w:val="24"/>
                <w:lang w:val="lt-LT"/>
              </w:rPr>
            </w:pPr>
          </w:p>
        </w:tc>
        <w:tc>
          <w:tcPr>
            <w:tcW w:w="5400" w:type="dxa"/>
          </w:tcPr>
          <w:p w14:paraId="76B29236" w14:textId="77777777" w:rsidR="003B4585" w:rsidRPr="00656901" w:rsidRDefault="003B4585" w:rsidP="00656901">
            <w:pPr>
              <w:spacing w:after="0" w:line="240" w:lineRule="auto"/>
              <w:jc w:val="both"/>
              <w:rPr>
                <w:sz w:val="24"/>
                <w:szCs w:val="24"/>
                <w:lang w:val="lt-LT"/>
              </w:rPr>
            </w:pPr>
            <w:r w:rsidRPr="00656901">
              <w:rPr>
                <w:rFonts w:ascii="Times New Roman" w:hAnsi="Times New Roman" w:cs="Times New Roman"/>
                <w:sz w:val="24"/>
                <w:szCs w:val="24"/>
                <w:lang w:val="lt-LT"/>
              </w:rPr>
              <w:t>12. Atkreipiame dėmesį, kad Projekto III skyriaus pavadinimas pilnai neatitinka jame dėstomų nuostatų turinio (dėl pakartotinai naudojamų sveikatos duomenų tvarkymo procese dalyvaujančių subjektų teisių ir pareigų, pakartotinai naudojamų sveikatos duomenų teikimo ir naudojimo sąlygų nustatymo), siūlome tikslinti. Be to, siekiant dėstymo nuoseklumo ir pakartotinai naudojamų sveikatos duomenų tvarkymo proceso aiškumo, būtų tikslinga nurodyti, kokie subjektai dalyvauja šiame procese, po to nustatyti jų teises ir pareigas, įvertinant galimybę nustatyti ir leidimo turėtojų teises ir pareigas.</w:t>
            </w:r>
            <w:r w:rsidRPr="00656901">
              <w:rPr>
                <w:rFonts w:ascii="Times New Roman" w:hAnsi="Times New Roman" w:cs="Times New Roman"/>
                <w:b/>
                <w:bCs/>
                <w:sz w:val="24"/>
                <w:szCs w:val="24"/>
                <w:lang w:val="lt-LT"/>
              </w:rPr>
              <w:t xml:space="preserve"> </w:t>
            </w:r>
            <w:r w:rsidRPr="00656901">
              <w:rPr>
                <w:rFonts w:ascii="Times New Roman" w:hAnsi="Times New Roman" w:cs="Times New Roman"/>
                <w:sz w:val="24"/>
                <w:szCs w:val="24"/>
                <w:lang w:val="lt-LT"/>
              </w:rPr>
              <w:t>Pastebėtina, kad Projekto 4 straipsnyje nurodyta tik dalis Vyriausybės įgaliotos institucijos teisių ir pareigų, todėl straipsnyje nustatytas reguliavimas yra nepakankamas ir turi būti pildomas, įvertinant ir kituose Projekto straipsniuose (Projekto 6 straipsnio 3 dalis,  8 straipsnio  2 dalis, 9 straipsnio 1-3 dalys, 10 straipsnio1-2 dalys, 11 straipsnio 3 dalis ir kt.) nustatytas teises ir pareigas.</w:t>
            </w:r>
          </w:p>
        </w:tc>
        <w:tc>
          <w:tcPr>
            <w:tcW w:w="5408" w:type="dxa"/>
          </w:tcPr>
          <w:p w14:paraId="3BA01FCC" w14:textId="77777777" w:rsidR="003B4585" w:rsidRPr="00656901" w:rsidRDefault="003B4585" w:rsidP="00656901">
            <w:pPr>
              <w:spacing w:after="0" w:line="240" w:lineRule="auto"/>
              <w:jc w:val="both"/>
              <w:rPr>
                <w:b/>
                <w:bCs/>
                <w:sz w:val="24"/>
                <w:szCs w:val="24"/>
                <w:lang w:val="lt-LT"/>
              </w:rPr>
            </w:pPr>
            <w:r w:rsidRPr="00656901">
              <w:rPr>
                <w:rFonts w:ascii="Times New Roman" w:hAnsi="Times New Roman" w:cs="Times New Roman"/>
                <w:b/>
                <w:bCs/>
                <w:sz w:val="24"/>
                <w:szCs w:val="24"/>
                <w:lang w:val="lt-LT"/>
              </w:rPr>
              <w:t>Iš dalies atsižvelgta.</w:t>
            </w:r>
          </w:p>
          <w:p w14:paraId="08F0AA75" w14:textId="77777777" w:rsidR="003B4585" w:rsidRPr="00656901" w:rsidRDefault="003B4585" w:rsidP="00656901">
            <w:pPr>
              <w:spacing w:after="0" w:line="240" w:lineRule="auto"/>
              <w:jc w:val="both"/>
              <w:rPr>
                <w:lang w:val="lt-LT"/>
              </w:rPr>
            </w:pPr>
            <w:r w:rsidRPr="00656901">
              <w:rPr>
                <w:rFonts w:ascii="Times New Roman" w:hAnsi="Times New Roman" w:cs="Times New Roman"/>
                <w:sz w:val="24"/>
                <w:szCs w:val="24"/>
                <w:lang w:val="lt-LT"/>
              </w:rPr>
              <w:t>Pakeistas III skyriaus pavadinimas. Vyriausybės įgaliotos institucijos teisės ir pareigos sistemiškai išdėstomos visame projekte, nebelieka atskiro straipsnio</w:t>
            </w:r>
            <w:r>
              <w:rPr>
                <w:rFonts w:ascii="Times New Roman" w:hAnsi="Times New Roman" w:cs="Times New Roman"/>
                <w:sz w:val="24"/>
                <w:szCs w:val="24"/>
                <w:lang w:val="lt-LT"/>
              </w:rPr>
              <w:t>,</w:t>
            </w:r>
            <w:r w:rsidRPr="00656901">
              <w:rPr>
                <w:rFonts w:ascii="Times New Roman" w:hAnsi="Times New Roman" w:cs="Times New Roman"/>
                <w:sz w:val="24"/>
                <w:szCs w:val="24"/>
                <w:lang w:val="lt-LT"/>
              </w:rPr>
              <w:t xml:space="preserve"> skirto išdėstyti Vyriausybės įgaliotos institucijos teisėms ir pareigoms.</w:t>
            </w:r>
          </w:p>
        </w:tc>
      </w:tr>
      <w:tr w:rsidR="003B4585" w:rsidRPr="00656901" w14:paraId="61B11CCD" w14:textId="77777777" w:rsidTr="00656901">
        <w:tc>
          <w:tcPr>
            <w:tcW w:w="2250" w:type="dxa"/>
            <w:vMerge/>
            <w:tcBorders>
              <w:top w:val="nil"/>
            </w:tcBorders>
          </w:tcPr>
          <w:p w14:paraId="79C37F39" w14:textId="77777777" w:rsidR="003B4585" w:rsidRPr="00656901" w:rsidRDefault="003B4585" w:rsidP="00656901">
            <w:pPr>
              <w:spacing w:after="0" w:line="240" w:lineRule="auto"/>
              <w:jc w:val="both"/>
              <w:rPr>
                <w:sz w:val="24"/>
                <w:szCs w:val="24"/>
                <w:lang w:val="lt-LT"/>
              </w:rPr>
            </w:pPr>
          </w:p>
        </w:tc>
        <w:tc>
          <w:tcPr>
            <w:tcW w:w="5400" w:type="dxa"/>
          </w:tcPr>
          <w:p w14:paraId="5BF4B22E" w14:textId="77777777" w:rsidR="003B4585" w:rsidRPr="00656901" w:rsidRDefault="003B4585" w:rsidP="00656901">
            <w:pPr>
              <w:spacing w:after="0"/>
              <w:jc w:val="both"/>
              <w:rPr>
                <w:sz w:val="24"/>
                <w:szCs w:val="24"/>
                <w:lang w:val="lt-LT"/>
              </w:rPr>
            </w:pPr>
            <w:r w:rsidRPr="00656901">
              <w:rPr>
                <w:rFonts w:ascii="Times New Roman" w:hAnsi="Times New Roman" w:cs="Times New Roman"/>
                <w:sz w:val="24"/>
                <w:szCs w:val="24"/>
                <w:lang w:val="lt-LT"/>
              </w:rPr>
              <w:t>23. Projekto 10 straipsnio 1 dalyje tikslinga leidimo turėtojui nustatyti pareigą Vyriausybės įgaliotai institucijai pranešti galimai asmens sveikatai svarbią informaciją ir papildomai įvertinti galimybę leidimo turėtojo pateiktą informacijos svarbą asmens sveikatai palikti vertinti asmenį gydančiam gydytojui, įstatymu nenustatant papildomos ekspertų pasitelkimo priemonės.</w:t>
            </w:r>
          </w:p>
          <w:p w14:paraId="55646DF2" w14:textId="77777777" w:rsidR="003B4585" w:rsidRPr="00656901" w:rsidRDefault="003B4585" w:rsidP="00656901">
            <w:pPr>
              <w:spacing w:after="0"/>
              <w:jc w:val="both"/>
              <w:rPr>
                <w:rFonts w:ascii="Times New Roman" w:hAnsi="Times New Roman" w:cs="Times New Roman"/>
                <w:sz w:val="24"/>
                <w:szCs w:val="24"/>
                <w:lang w:val="lt-LT"/>
              </w:rPr>
            </w:pPr>
            <w:r w:rsidRPr="00656901">
              <w:rPr>
                <w:rFonts w:ascii="Times New Roman" w:hAnsi="Times New Roman" w:cs="Times New Roman"/>
                <w:sz w:val="24"/>
                <w:szCs w:val="24"/>
                <w:lang w:val="lt-LT"/>
              </w:rPr>
              <w:t>Projekto 10 straipsnio 5 dalyje, atsižvelgiant į Lietuvos Respublikos valstybės tarnybos  4 straipsnyje nustatytą reguliavimą, turi būti vartojama nuostata „nepriekaištingos reputacijos reikalavimus“ (ne kriterijus), o šio straipsnio 6 dalyje vartotina nuostata „nelaikomas nepriekaištingos reputacijos“, atsisakant ir neaiškumą sudarančio „atsistatydinimo“ atvejo ar „sveikatos būklės“ (kokia tvarka būtų taikoma, nustatant sveikatos būklę ir norint konstatuoti, jog asmuo nebegali atlikti eksperto funkcijų) nustatymo, kaip perteklinių, esant galimybei išbraukti iš sąrašo paties eksperto prašymui, o taip pat ir dėl kitų objektyvių aplinkybių.</w:t>
            </w:r>
          </w:p>
          <w:p w14:paraId="08DAB196" w14:textId="77777777" w:rsidR="003B4585" w:rsidRPr="00656901" w:rsidRDefault="003B4585" w:rsidP="00656901">
            <w:pPr>
              <w:spacing w:after="0"/>
              <w:jc w:val="both"/>
              <w:rPr>
                <w:rFonts w:ascii="Times New Roman" w:hAnsi="Times New Roman" w:cs="Times New Roman"/>
                <w:sz w:val="24"/>
                <w:szCs w:val="24"/>
                <w:lang w:val="lt-LT"/>
              </w:rPr>
            </w:pPr>
          </w:p>
        </w:tc>
        <w:tc>
          <w:tcPr>
            <w:tcW w:w="5408" w:type="dxa"/>
          </w:tcPr>
          <w:p w14:paraId="48DB84B5" w14:textId="6F55F144" w:rsidR="003B4585" w:rsidRPr="00656901" w:rsidRDefault="003B4585" w:rsidP="00656901">
            <w:pPr>
              <w:spacing w:after="0" w:line="240" w:lineRule="auto"/>
              <w:jc w:val="both"/>
              <w:rPr>
                <w:rFonts w:ascii="Times New Roman" w:hAnsi="Times New Roman" w:cs="Times New Roman"/>
                <w:lang w:val="lt-LT"/>
              </w:rPr>
            </w:pPr>
            <w:r w:rsidRPr="00656901">
              <w:rPr>
                <w:rFonts w:ascii="Times New Roman" w:hAnsi="Times New Roman" w:cs="Times New Roman"/>
                <w:b/>
                <w:bCs/>
                <w:sz w:val="24"/>
                <w:szCs w:val="24"/>
                <w:lang w:val="lt-LT"/>
              </w:rPr>
              <w:t>Iš dalies atsižvelgta.</w:t>
            </w:r>
            <w:r w:rsidRPr="00656901">
              <w:rPr>
                <w:rFonts w:ascii="Times New Roman" w:hAnsi="Times New Roman" w:cs="Times New Roman"/>
                <w:sz w:val="24"/>
                <w:szCs w:val="24"/>
                <w:lang w:val="lt-LT"/>
              </w:rPr>
              <w:t xml:space="preserve"> Ekspertų </w:t>
            </w:r>
            <w:r>
              <w:rPr>
                <w:rFonts w:ascii="Times New Roman" w:hAnsi="Times New Roman" w:cs="Times New Roman"/>
                <w:sz w:val="24"/>
                <w:szCs w:val="24"/>
                <w:lang w:val="lt-LT"/>
              </w:rPr>
              <w:t>„</w:t>
            </w:r>
            <w:r w:rsidRPr="00656901">
              <w:rPr>
                <w:rFonts w:ascii="Times New Roman" w:hAnsi="Times New Roman" w:cs="Times New Roman"/>
                <w:sz w:val="24"/>
                <w:szCs w:val="24"/>
                <w:lang w:val="lt-LT"/>
              </w:rPr>
              <w:t>etapas</w:t>
            </w:r>
            <w:r>
              <w:rPr>
                <w:rFonts w:ascii="Times New Roman" w:hAnsi="Times New Roman" w:cs="Times New Roman"/>
                <w:sz w:val="24"/>
                <w:szCs w:val="24"/>
                <w:lang w:val="lt-LT"/>
              </w:rPr>
              <w:t>“</w:t>
            </w:r>
            <w:r w:rsidRPr="00656901">
              <w:rPr>
                <w:rFonts w:ascii="Times New Roman" w:hAnsi="Times New Roman" w:cs="Times New Roman"/>
                <w:sz w:val="24"/>
                <w:szCs w:val="24"/>
                <w:lang w:val="lt-LT"/>
              </w:rPr>
              <w:t xml:space="preserve"> paliekamas, nes informacijos svarbumą asmens sveikatai įvertinti geriausiai galės aukštą kvalifikaciją turintis specialistas, be to, gali prireikti tam tikrų rekomendacijų ar gairių gydančiam gydytojui, o ne tik fakto apie nustatytą svarbią informaciją jo pacientui pateikimo. Siekiama nesukurti gydytojams papildomos naštos vertinant pateiktą informaciją ir užtikrinti, kad gydytojus, o per juos ir pacientus pasieks tik reikšminga informacija. </w:t>
            </w:r>
            <w:r>
              <w:rPr>
                <w:rFonts w:ascii="Times New Roman" w:hAnsi="Times New Roman" w:cs="Times New Roman"/>
                <w:sz w:val="24"/>
                <w:szCs w:val="24"/>
                <w:lang w:val="lt-LT"/>
              </w:rPr>
              <w:t>Kartu</w:t>
            </w:r>
            <w:r w:rsidRPr="00656901">
              <w:rPr>
                <w:rFonts w:ascii="Times New Roman" w:hAnsi="Times New Roman" w:cs="Times New Roman"/>
                <w:sz w:val="24"/>
                <w:szCs w:val="24"/>
                <w:lang w:val="lt-LT"/>
              </w:rPr>
              <w:t xml:space="preserve"> ekspertai turės galimybę susipažinti su naujausiais svarbiais tyrimais.</w:t>
            </w:r>
          </w:p>
          <w:p w14:paraId="287EFCF4" w14:textId="77777777" w:rsidR="003B4585" w:rsidRPr="00656901" w:rsidRDefault="003B4585" w:rsidP="00656901">
            <w:pPr>
              <w:spacing w:after="0" w:line="240" w:lineRule="auto"/>
              <w:jc w:val="both"/>
              <w:rPr>
                <w:rFonts w:ascii="Times New Roman" w:hAnsi="Times New Roman" w:cs="Times New Roman"/>
                <w:sz w:val="24"/>
                <w:szCs w:val="24"/>
                <w:lang w:val="lt-LT"/>
              </w:rPr>
            </w:pPr>
          </w:p>
          <w:p w14:paraId="2ABAF761" w14:textId="77777777" w:rsidR="003B4585" w:rsidRPr="00656901" w:rsidRDefault="003B4585" w:rsidP="00656901">
            <w:pPr>
              <w:spacing w:after="0" w:line="240" w:lineRule="auto"/>
              <w:jc w:val="both"/>
              <w:rPr>
                <w:rFonts w:ascii="Times New Roman" w:hAnsi="Times New Roman" w:cs="Times New Roman"/>
                <w:sz w:val="24"/>
                <w:szCs w:val="24"/>
                <w:lang w:val="lt-LT"/>
              </w:rPr>
            </w:pPr>
          </w:p>
        </w:tc>
      </w:tr>
      <w:tr w:rsidR="003B4585" w:rsidRPr="00656901" w14:paraId="02927594" w14:textId="77777777" w:rsidTr="00656901">
        <w:tc>
          <w:tcPr>
            <w:tcW w:w="2250" w:type="dxa"/>
            <w:vMerge/>
            <w:tcBorders>
              <w:top w:val="nil"/>
            </w:tcBorders>
          </w:tcPr>
          <w:p w14:paraId="62AAD922" w14:textId="77777777" w:rsidR="003B4585" w:rsidRPr="00656901" w:rsidRDefault="003B4585" w:rsidP="00656901">
            <w:pPr>
              <w:spacing w:after="0" w:line="240" w:lineRule="auto"/>
              <w:jc w:val="both"/>
              <w:rPr>
                <w:sz w:val="24"/>
                <w:szCs w:val="24"/>
                <w:lang w:val="lt-LT"/>
              </w:rPr>
            </w:pPr>
          </w:p>
        </w:tc>
        <w:tc>
          <w:tcPr>
            <w:tcW w:w="5400" w:type="dxa"/>
          </w:tcPr>
          <w:p w14:paraId="4F58E66F" w14:textId="77777777" w:rsidR="003B4585" w:rsidRPr="00656901" w:rsidRDefault="003B4585" w:rsidP="00656901">
            <w:pPr>
              <w:spacing w:after="0" w:line="240" w:lineRule="auto"/>
              <w:jc w:val="both"/>
              <w:rPr>
                <w:rFonts w:ascii="Times New Roman" w:hAnsi="Times New Roman" w:cs="Times New Roman"/>
                <w:sz w:val="24"/>
                <w:szCs w:val="24"/>
                <w:lang w:val="lt-LT"/>
              </w:rPr>
            </w:pPr>
            <w:r w:rsidRPr="00656901">
              <w:rPr>
                <w:rFonts w:ascii="Times New Roman" w:hAnsi="Times New Roman" w:cs="Times New Roman"/>
                <w:sz w:val="24"/>
                <w:szCs w:val="24"/>
                <w:lang w:val="lt-LT"/>
              </w:rPr>
              <w:t xml:space="preserve">26. Projekto 11 straipsnio 3 dalies nuostatoje Vyriausybės įgaliotai institucijai asmeniškai informuoti duomenų subjektus apie jų sveikatos duomenų pakartotinį naudojimą, tačiau nėra aiškus šios nuostatos realizavimo momentas, taip pat nėra aiškus duomenų subjekto informavimo tikslas tuo atveju, kai duomenys pagal šio straipsnio 1 dalį gali būti teikiami be duomenų subjekto sutikimo. Kartu nustatomas ir teisiškai nekonkretus reikalavimas imtis priemonių duomenų subjekto teisėms, laisvėms, </w:t>
            </w:r>
            <w:r w:rsidRPr="00656901">
              <w:rPr>
                <w:rFonts w:ascii="Times New Roman" w:hAnsi="Times New Roman" w:cs="Times New Roman"/>
                <w:sz w:val="24"/>
                <w:szCs w:val="24"/>
                <w:lang w:val="lt-LT"/>
              </w:rPr>
              <w:lastRenderedPageBreak/>
              <w:t>teisėtiems interesams apsaugoti, įskaitant viešą informacijos paskelbimą, kuris suponuoja neaiškumą dėl Vyriausybės įgaliotos institucijos veiksmų, susijusių su duomenų subjektų informavimu dėl sveikatos duomenų pakartotinio naudojimo. Siūlome papildomai įvertinti siūlomą reguliavimą, detalizuojant ir nuostatos „informacijos pateikimas yra neįmanomas arba tai būtų susiję su neproporcingai didelėmis Vyriausybės įgaliotos institucijos darbo ir laiko sąnaudomis“ taikymo aplinkybes, pavyzdžiui, koks subjektas turėtų įvertinti, kad informacijos pateikimas yra neįmanomas, kokios sąnaudos (su kuo lyginant) būtų neproporcingai didelės, koks subjektas tai įvertintų.</w:t>
            </w:r>
          </w:p>
        </w:tc>
        <w:tc>
          <w:tcPr>
            <w:tcW w:w="5408" w:type="dxa"/>
          </w:tcPr>
          <w:p w14:paraId="208D1E8C" w14:textId="77777777" w:rsidR="003B4585" w:rsidRPr="00656901" w:rsidRDefault="003B4585" w:rsidP="00656901">
            <w:pPr>
              <w:spacing w:after="0" w:line="240" w:lineRule="auto"/>
              <w:jc w:val="both"/>
              <w:rPr>
                <w:color w:val="2A6099"/>
                <w:lang w:val="lt-LT"/>
              </w:rPr>
            </w:pPr>
            <w:r w:rsidRPr="00656901">
              <w:rPr>
                <w:rFonts w:ascii="Times New Roman" w:hAnsi="Times New Roman" w:cs="Times New Roman"/>
                <w:b/>
                <w:bCs/>
                <w:sz w:val="24"/>
                <w:szCs w:val="24"/>
                <w:lang w:val="lt-LT"/>
              </w:rPr>
              <w:lastRenderedPageBreak/>
              <w:t>Iš dalies atsižvelgta.</w:t>
            </w:r>
            <w:r w:rsidRPr="00656901">
              <w:rPr>
                <w:rFonts w:ascii="Times New Roman" w:hAnsi="Times New Roman" w:cs="Times New Roman"/>
                <w:sz w:val="24"/>
                <w:szCs w:val="24"/>
                <w:lang w:val="lt-LT"/>
              </w:rPr>
              <w:t xml:space="preserve"> </w:t>
            </w:r>
          </w:p>
          <w:p w14:paraId="60D99BC0" w14:textId="227D153B" w:rsidR="003B4585" w:rsidRPr="00656901" w:rsidRDefault="003B4585" w:rsidP="00656901">
            <w:pPr>
              <w:pStyle w:val="BodyText"/>
              <w:spacing w:line="240" w:lineRule="auto"/>
              <w:jc w:val="both"/>
              <w:rPr>
                <w:rFonts w:ascii="Times New Roman" w:hAnsi="Times New Roman" w:cs="Times New Roman"/>
                <w:sz w:val="24"/>
                <w:szCs w:val="24"/>
                <w:lang w:val="lt-LT"/>
              </w:rPr>
            </w:pPr>
            <w:r w:rsidRPr="00656901">
              <w:rPr>
                <w:rFonts w:ascii="Times New Roman" w:hAnsi="Times New Roman" w:cs="Times New Roman"/>
                <w:sz w:val="24"/>
                <w:szCs w:val="24"/>
                <w:lang w:val="lt-LT"/>
              </w:rPr>
              <w:t xml:space="preserve">Sveikatos duomenų subjektų informavimo tvarką nustatys Vyriausybės įgaliota institucija, ji ir vertins informacijos pateikimo galimybes ir sąnaudų proporcingumą. Jeigu duomenys bus teikiami be duomenų subjekto sutikimo, informavimas bus vykdomas paskelbiant informaciją Vyriausybės įgaliotos institucijos svetainėje taip, kaip numatyta Projekto 7 straipsnio 10 dalyje. Svarstoma, kad </w:t>
            </w:r>
            <w:r w:rsidRPr="00656901">
              <w:rPr>
                <w:rFonts w:ascii="Times New Roman" w:hAnsi="Times New Roman" w:cs="Times New Roman"/>
                <w:sz w:val="24"/>
                <w:szCs w:val="24"/>
                <w:lang w:val="lt-LT"/>
              </w:rPr>
              <w:lastRenderedPageBreak/>
              <w:t xml:space="preserve">ateityje sveikatos duomenų subjektų informavimas galėtų būti vykdomas per e. sveikatos sistemą. </w:t>
            </w:r>
          </w:p>
          <w:p w14:paraId="17390C1D" w14:textId="77777777" w:rsidR="003B4585" w:rsidRPr="00656901" w:rsidRDefault="003B4585" w:rsidP="00656901">
            <w:pPr>
              <w:pStyle w:val="BodyText"/>
              <w:spacing w:line="240" w:lineRule="auto"/>
              <w:jc w:val="both"/>
              <w:rPr>
                <w:sz w:val="24"/>
                <w:szCs w:val="24"/>
                <w:lang w:val="lt-LT"/>
              </w:rPr>
            </w:pPr>
            <w:r w:rsidRPr="00656901">
              <w:rPr>
                <w:rFonts w:ascii="Times New Roman" w:hAnsi="Times New Roman" w:cs="Times New Roman"/>
                <w:sz w:val="24"/>
                <w:szCs w:val="24"/>
                <w:lang w:val="lt-LT"/>
              </w:rPr>
              <w:t>Sveikatos duomenų subjektų informavimas apie pakartotinai naudojamus jų sveikatos duomenis numatytas atsižvelgiant į  Reglamento (ES) 2016/679 reikalavimus.</w:t>
            </w:r>
          </w:p>
        </w:tc>
      </w:tr>
      <w:tr w:rsidR="003B4585" w:rsidRPr="00656901" w14:paraId="2710BE5C" w14:textId="77777777" w:rsidTr="00656901">
        <w:tc>
          <w:tcPr>
            <w:tcW w:w="2250" w:type="dxa"/>
            <w:vMerge/>
            <w:tcBorders>
              <w:top w:val="nil"/>
            </w:tcBorders>
          </w:tcPr>
          <w:p w14:paraId="47B5555B" w14:textId="77777777" w:rsidR="003B4585" w:rsidRPr="00656901" w:rsidRDefault="003B4585" w:rsidP="00656901">
            <w:pPr>
              <w:spacing w:after="0" w:line="240" w:lineRule="auto"/>
              <w:jc w:val="both"/>
              <w:rPr>
                <w:sz w:val="24"/>
                <w:szCs w:val="24"/>
                <w:lang w:val="lt-LT"/>
              </w:rPr>
            </w:pPr>
          </w:p>
        </w:tc>
        <w:tc>
          <w:tcPr>
            <w:tcW w:w="5400" w:type="dxa"/>
          </w:tcPr>
          <w:p w14:paraId="12984C72" w14:textId="77777777" w:rsidR="003B4585" w:rsidRPr="00656901" w:rsidRDefault="003B4585" w:rsidP="00656901">
            <w:pPr>
              <w:spacing w:after="0" w:line="240" w:lineRule="auto"/>
              <w:jc w:val="both"/>
              <w:rPr>
                <w:sz w:val="24"/>
                <w:szCs w:val="24"/>
                <w:lang w:val="lt-LT"/>
              </w:rPr>
            </w:pPr>
            <w:r w:rsidRPr="00656901">
              <w:rPr>
                <w:rFonts w:ascii="Times New Roman" w:hAnsi="Times New Roman" w:cs="Times New Roman"/>
                <w:sz w:val="24"/>
                <w:szCs w:val="24"/>
                <w:lang w:val="lt-LT"/>
              </w:rPr>
              <w:t xml:space="preserve">31. Dėl kartu su Projektu teikiamo </w:t>
            </w:r>
            <w:r w:rsidRPr="00656901">
              <w:rPr>
                <w:rFonts w:ascii="Times New Roman" w:hAnsi="Times New Roman" w:cs="Times New Roman"/>
                <w:i/>
                <w:iCs/>
                <w:sz w:val="24"/>
                <w:szCs w:val="24"/>
                <w:lang w:val="lt-LT"/>
              </w:rPr>
              <w:t>Lietuvos Respublikos pacientų teisių ir žalos sveikatai atlyginimo įstatymo Nr. I-1562 9 straipsnio pakeitimo įstatymo</w:t>
            </w:r>
            <w:r w:rsidRPr="00656901">
              <w:rPr>
                <w:rFonts w:ascii="Times New Roman" w:hAnsi="Times New Roman" w:cs="Times New Roman"/>
                <w:sz w:val="24"/>
                <w:szCs w:val="24"/>
                <w:lang w:val="lt-LT"/>
              </w:rPr>
              <w:t xml:space="preserve"> projekto pastebime, kad vadovaujantis Lietuvos Respublikos elektroninės atpažinties ir elektroninių operacijų patikimumo užtikrinimo paslaugų įstatymu, nuostata „kvalifikuotas elektroninis parašas“ reiškia, kad toks parašas atitinka 2014 m. liepos 23 d. Europos Parlamento ir Tarybos reglamento (ES) Nr. 910/2014 dėl elektroninės atpažinties ir elektroninių operacijų patikimumo užtikrinimo paslaugų vidaus rinkoje, kuriuo panaikinama Direktyva 1999/93/EB, reikalavimus. Todėl keičiamoje nuostatoje būtų pakankama nustatyti, kad elektroninės formos prašymas turi būti pasirašytas kvalifikuotu elektroniniu parašu arba suformuotas elektroninėmis priemonėmis, kurios leidžia užtikrinti teksto vientisumą ir nepakeičiamumą.</w:t>
            </w:r>
          </w:p>
        </w:tc>
        <w:tc>
          <w:tcPr>
            <w:tcW w:w="5408" w:type="dxa"/>
          </w:tcPr>
          <w:p w14:paraId="77B9675C" w14:textId="77777777" w:rsidR="003B4585" w:rsidRPr="00656901" w:rsidRDefault="003B4585" w:rsidP="00656901">
            <w:pPr>
              <w:spacing w:after="0" w:line="240" w:lineRule="auto"/>
              <w:jc w:val="both"/>
              <w:rPr>
                <w:sz w:val="24"/>
                <w:szCs w:val="24"/>
                <w:lang w:val="lt-LT"/>
              </w:rPr>
            </w:pPr>
            <w:r w:rsidRPr="00656901">
              <w:rPr>
                <w:rFonts w:ascii="Times New Roman" w:hAnsi="Times New Roman" w:cs="Times New Roman"/>
                <w:b/>
                <w:bCs/>
                <w:sz w:val="24"/>
                <w:szCs w:val="24"/>
                <w:lang w:val="lt-LT"/>
              </w:rPr>
              <w:t>Atsižvelgta.</w:t>
            </w:r>
            <w:r w:rsidRPr="00656901">
              <w:rPr>
                <w:rFonts w:ascii="Times New Roman" w:hAnsi="Times New Roman" w:cs="Times New Roman"/>
                <w:sz w:val="24"/>
                <w:szCs w:val="24"/>
                <w:lang w:val="lt-LT"/>
              </w:rPr>
              <w:t xml:space="preserve"> </w:t>
            </w:r>
          </w:p>
          <w:p w14:paraId="1EBF2C3C" w14:textId="77777777" w:rsidR="003B4585" w:rsidRPr="00656901" w:rsidRDefault="003B4585" w:rsidP="00656901">
            <w:pPr>
              <w:spacing w:after="0" w:line="240" w:lineRule="auto"/>
              <w:jc w:val="both"/>
              <w:rPr>
                <w:sz w:val="24"/>
                <w:szCs w:val="24"/>
                <w:lang w:val="lt-LT"/>
              </w:rPr>
            </w:pPr>
            <w:r w:rsidRPr="00656901">
              <w:rPr>
                <w:rFonts w:ascii="Times New Roman" w:hAnsi="Times New Roman" w:cs="Times New Roman"/>
                <w:sz w:val="24"/>
                <w:szCs w:val="24"/>
                <w:lang w:val="lt-LT"/>
              </w:rPr>
              <w:t>Atkreiptinas dėmesys, kad analogiškas projektas (Reg. Nr. XIVP-449) buvo pateiktas jau Seimo Sveikatos reikalų komitetui ir buvo  pritarta tokiam tekstui, koks buvo teiktas ir 2021 m. sausio 26 d. Reg. Nr. 21-18949.</w:t>
            </w:r>
          </w:p>
        </w:tc>
      </w:tr>
      <w:tr w:rsidR="003B4585" w:rsidRPr="00656901" w14:paraId="585A4B48" w14:textId="77777777" w:rsidTr="00656901">
        <w:tc>
          <w:tcPr>
            <w:tcW w:w="2250" w:type="dxa"/>
            <w:vMerge w:val="restart"/>
          </w:tcPr>
          <w:p w14:paraId="48638A9D" w14:textId="77777777" w:rsidR="003B4585" w:rsidRPr="00656901" w:rsidRDefault="003B4585" w:rsidP="00656901">
            <w:pPr>
              <w:spacing w:after="0" w:line="240" w:lineRule="auto"/>
              <w:jc w:val="both"/>
              <w:rPr>
                <w:sz w:val="24"/>
                <w:szCs w:val="24"/>
                <w:lang w:val="lt-LT"/>
              </w:rPr>
            </w:pPr>
            <w:r w:rsidRPr="00656901">
              <w:rPr>
                <w:rFonts w:ascii="Times New Roman" w:hAnsi="Times New Roman" w:cs="Times New Roman"/>
                <w:b/>
                <w:bCs/>
                <w:sz w:val="24"/>
                <w:szCs w:val="24"/>
                <w:lang w:val="lt-LT"/>
              </w:rPr>
              <w:lastRenderedPageBreak/>
              <w:t xml:space="preserve">2021 m. vasario 11 d.  Socialinės politikos grupės ir Strateginių kompetencijų grupės pažyma Nr. NV-306 </w:t>
            </w:r>
          </w:p>
        </w:tc>
        <w:tc>
          <w:tcPr>
            <w:tcW w:w="5400" w:type="dxa"/>
          </w:tcPr>
          <w:p w14:paraId="2DC995E8" w14:textId="77777777" w:rsidR="003B4585" w:rsidRPr="00656901" w:rsidRDefault="003B4585" w:rsidP="00656901">
            <w:pPr>
              <w:spacing w:after="0" w:line="240" w:lineRule="auto"/>
              <w:jc w:val="both"/>
              <w:rPr>
                <w:lang w:val="lt-LT"/>
              </w:rPr>
            </w:pPr>
            <w:r w:rsidRPr="00656901">
              <w:rPr>
                <w:rFonts w:ascii="Times New Roman" w:hAnsi="Times New Roman" w:cs="Times New Roman"/>
                <w:sz w:val="24"/>
                <w:szCs w:val="24"/>
                <w:lang w:val="lt-LT"/>
              </w:rPr>
              <w:t>6. Pakartotinai siūlytume Įstatyme apibrėžti sąvoką „sveikatos duomenys“, detalizuoti šių duomenų apimtį ir apibrėžti, kokie valstybės informacinių išteklių duomenys yra „sveikatos duomenys“. BDAR asmens duomenims priskiria genetinius duomenis, asmens sveikatos duomenis, visuomenės sveikatos duomenis. Šie duomenų masyvai apima skirtingas duomenų kategorijas. Todėl Įstatyme turėtų būti aiškiai įvardinama, kokie duomenys sudaro „sveikatos duomenis“, įskaitant asmens duomenis ir kitus duomenis, kuriuos tikslinga teikti pakartotiniam naudojimui, bei iš kokių šaltinių jie gali būti gaunami. Taip pat turėtų būti apibrėžiami galimi šių duomenų apimčių ribojimai.</w:t>
            </w:r>
          </w:p>
        </w:tc>
        <w:tc>
          <w:tcPr>
            <w:tcW w:w="5408" w:type="dxa"/>
          </w:tcPr>
          <w:p w14:paraId="2988BC33" w14:textId="77777777" w:rsidR="003B4585" w:rsidRPr="00656901" w:rsidRDefault="003B4585" w:rsidP="00656901">
            <w:pPr>
              <w:spacing w:after="0" w:line="240" w:lineRule="auto"/>
              <w:jc w:val="both"/>
              <w:rPr>
                <w:sz w:val="24"/>
                <w:szCs w:val="24"/>
                <w:lang w:val="lt-LT"/>
              </w:rPr>
            </w:pPr>
            <w:r w:rsidRPr="00656901">
              <w:rPr>
                <w:rFonts w:ascii="Times New Roman" w:hAnsi="Times New Roman" w:cs="Times New Roman"/>
                <w:b/>
                <w:bCs/>
                <w:sz w:val="24"/>
                <w:szCs w:val="24"/>
                <w:lang w:val="lt-LT"/>
              </w:rPr>
              <w:t>Neatsižvelgta</w:t>
            </w:r>
            <w:r w:rsidRPr="00656901">
              <w:rPr>
                <w:rFonts w:ascii="Times New Roman" w:hAnsi="Times New Roman" w:cs="Times New Roman"/>
                <w:sz w:val="24"/>
                <w:szCs w:val="24"/>
                <w:lang w:val="lt-LT"/>
              </w:rPr>
              <w:t>. Aiškinamajame rašte nurodėme, kad „sveikatos duomenų“ sąvoka atitinka Reglamento (ES) 2016/679 sąvoką ir sampratą.</w:t>
            </w:r>
          </w:p>
          <w:p w14:paraId="7DA8BEF9" w14:textId="77777777" w:rsidR="003B4585" w:rsidRPr="00656901" w:rsidRDefault="003B4585" w:rsidP="00656901">
            <w:pPr>
              <w:spacing w:after="0" w:line="240" w:lineRule="auto"/>
              <w:jc w:val="both"/>
              <w:rPr>
                <w:rFonts w:ascii="Times New Roman" w:hAnsi="Times New Roman" w:cs="Times New Roman"/>
                <w:sz w:val="24"/>
                <w:szCs w:val="24"/>
                <w:lang w:val="lt-LT"/>
              </w:rPr>
            </w:pPr>
          </w:p>
          <w:p w14:paraId="4DB35D7A" w14:textId="77777777" w:rsidR="003B4585" w:rsidRPr="00656901" w:rsidRDefault="003B4585" w:rsidP="00656901">
            <w:pPr>
              <w:spacing w:after="0" w:line="240" w:lineRule="auto"/>
              <w:jc w:val="both"/>
              <w:rPr>
                <w:lang w:val="lt-LT"/>
              </w:rPr>
            </w:pPr>
            <w:r w:rsidRPr="00656901">
              <w:rPr>
                <w:rFonts w:ascii="Times New Roman" w:hAnsi="Times New Roman" w:cs="Times New Roman"/>
                <w:sz w:val="24"/>
                <w:szCs w:val="24"/>
                <w:lang w:val="lt-LT"/>
              </w:rPr>
              <w:t xml:space="preserve">Šaltiniai nurodyti Projekto 1 straipsnyje. Detaliau siekiama nesiaurinti duomenų imties konkrečiai numatant duomenų rūšis ir sistemas, kuriose jie yra saugomi, kad ateityje galima būtų pakartotinai naudoti ne tik dabar veikiančiose informacinėse sistemose esančius duomenis, bet ir organizuoti pakartotinį tokių su asmens sveikata susijusių duomenų, kurie yra surenkami, pavyzdžiui, iš asmeninių sveikatos stebėjimo įrenginių, naudojimą.  </w:t>
            </w:r>
          </w:p>
          <w:p w14:paraId="7515F772" w14:textId="77777777" w:rsidR="003B4585" w:rsidRPr="00656901" w:rsidRDefault="003B4585" w:rsidP="00656901">
            <w:pPr>
              <w:spacing w:after="0" w:line="240" w:lineRule="auto"/>
              <w:jc w:val="both"/>
              <w:rPr>
                <w:rFonts w:ascii="Times New Roman" w:hAnsi="Times New Roman" w:cs="Times New Roman"/>
                <w:sz w:val="24"/>
                <w:szCs w:val="24"/>
                <w:lang w:val="lt-LT"/>
              </w:rPr>
            </w:pPr>
          </w:p>
          <w:p w14:paraId="66C2C05B" w14:textId="77777777" w:rsidR="003B4585" w:rsidRPr="00656901" w:rsidRDefault="003B4585" w:rsidP="00656901">
            <w:pPr>
              <w:spacing w:after="0" w:line="240" w:lineRule="auto"/>
              <w:jc w:val="both"/>
              <w:rPr>
                <w:rFonts w:ascii="Times New Roman" w:hAnsi="Times New Roman" w:cs="Times New Roman"/>
                <w:strike/>
                <w:lang w:val="lt-LT"/>
              </w:rPr>
            </w:pPr>
            <w:r w:rsidRPr="00656901">
              <w:rPr>
                <w:rFonts w:ascii="Times New Roman" w:hAnsi="Times New Roman" w:cs="Times New Roman"/>
                <w:sz w:val="24"/>
                <w:szCs w:val="24"/>
                <w:lang w:val="lt-LT"/>
              </w:rPr>
              <w:t>Konkretūs apimčių ribojimai nėra numatomi įstatymo projekte. Kokių duomenų, už kokius laikotarpius ir kokio kiekio prašoma, turės pateikti pareiškėjas. Leidimas išduodamas ir pakartotinai naudoti pateikiama tiek sveikatos duomenų, kiek reikalinga prašyme nurodytam tikslui pasiekti.</w:t>
            </w:r>
          </w:p>
        </w:tc>
      </w:tr>
      <w:tr w:rsidR="003B4585" w:rsidRPr="00656901" w14:paraId="28E21752" w14:textId="77777777" w:rsidTr="00656901">
        <w:tc>
          <w:tcPr>
            <w:tcW w:w="2250" w:type="dxa"/>
            <w:vMerge/>
          </w:tcPr>
          <w:p w14:paraId="1B06FC66" w14:textId="77777777" w:rsidR="003B4585" w:rsidRPr="00656901" w:rsidRDefault="003B4585" w:rsidP="00656901">
            <w:pPr>
              <w:spacing w:after="0" w:line="240" w:lineRule="auto"/>
              <w:jc w:val="both"/>
              <w:rPr>
                <w:sz w:val="24"/>
                <w:szCs w:val="24"/>
                <w:lang w:val="lt-LT"/>
              </w:rPr>
            </w:pPr>
          </w:p>
        </w:tc>
        <w:tc>
          <w:tcPr>
            <w:tcW w:w="5400" w:type="dxa"/>
          </w:tcPr>
          <w:p w14:paraId="760D9677" w14:textId="77777777" w:rsidR="003B4585" w:rsidRPr="00656901" w:rsidRDefault="003B4585" w:rsidP="00656901">
            <w:pPr>
              <w:spacing w:after="0" w:line="240" w:lineRule="auto"/>
              <w:jc w:val="both"/>
              <w:rPr>
                <w:rFonts w:ascii="Times New Roman" w:hAnsi="Times New Roman" w:cs="Times New Roman"/>
                <w:sz w:val="24"/>
                <w:szCs w:val="24"/>
                <w:lang w:val="lt-LT"/>
              </w:rPr>
            </w:pPr>
            <w:r w:rsidRPr="00656901">
              <w:rPr>
                <w:rFonts w:ascii="Times New Roman" w:hAnsi="Times New Roman" w:cs="Times New Roman"/>
                <w:sz w:val="24"/>
                <w:szCs w:val="24"/>
                <w:lang w:val="lt-LT"/>
              </w:rPr>
              <w:t>7. Taip pat kyla neaiškumų dėl sveikatos duomenų ir klinikinių dokumentų sąsajų: aiškinamajame ir lydimajame raštuose, apibrėžiant sprendžiamą problemą, minima, kad per mėnesį yra sukaupiama apie 3,5 mln. elektroninių klinikinių dokumentų, tačiau vėliau minimi tik sveikatos duomenys. Kyla pagrįsta abejonė, ar yra pagrindas kalbėti apie sveikatos duomenų (ne dokumentų) naudojimą – ar sveikatos duomenis galima nesunkiai „išrinkti“ iš sukauptų dokumentų.</w:t>
            </w:r>
          </w:p>
        </w:tc>
        <w:tc>
          <w:tcPr>
            <w:tcW w:w="5408" w:type="dxa"/>
          </w:tcPr>
          <w:p w14:paraId="02524307" w14:textId="77777777" w:rsidR="003B4585" w:rsidRPr="00656901" w:rsidRDefault="003B4585" w:rsidP="00656901">
            <w:pPr>
              <w:spacing w:after="0" w:line="240" w:lineRule="auto"/>
              <w:jc w:val="both"/>
              <w:rPr>
                <w:sz w:val="24"/>
                <w:szCs w:val="24"/>
                <w:lang w:val="lt-LT"/>
              </w:rPr>
            </w:pPr>
            <w:r w:rsidRPr="00656901">
              <w:rPr>
                <w:rFonts w:ascii="Times New Roman" w:hAnsi="Times New Roman" w:cs="Times New Roman"/>
                <w:b/>
                <w:bCs/>
                <w:sz w:val="24"/>
                <w:szCs w:val="24"/>
                <w:lang w:val="lt-LT"/>
              </w:rPr>
              <w:t>Neatsižvelgta</w:t>
            </w:r>
            <w:r w:rsidRPr="00656901">
              <w:rPr>
                <w:rFonts w:ascii="Times New Roman" w:hAnsi="Times New Roman" w:cs="Times New Roman"/>
                <w:sz w:val="24"/>
                <w:szCs w:val="24"/>
                <w:lang w:val="lt-LT"/>
              </w:rPr>
              <w:t>. Klinikiniame dokumente yra arba gali būti daug sveikatos duomenų, tuos duomenis galima išrinkti lengviau arba sunkiau, taip pat ir asmens duomenis (iš vaizdų). Sveikatos duomenys ir su jais susiję duomenys, pvz., teritorinis pasiskirstymas, aktualūs, todėl duomenys informacinėje sistemoje, kurie susiję su sveikatos stebėjimu, sveikatos paslaugų teikimu – visi būtų priskiriami sveikatos duomenims, taip pat ir dalis administracinių duomenų.</w:t>
            </w:r>
          </w:p>
        </w:tc>
      </w:tr>
      <w:tr w:rsidR="003B4585" w:rsidRPr="00656901" w14:paraId="47F78BC9" w14:textId="77777777" w:rsidTr="00656901">
        <w:tc>
          <w:tcPr>
            <w:tcW w:w="2250" w:type="dxa"/>
            <w:vMerge/>
          </w:tcPr>
          <w:p w14:paraId="04A56BFA" w14:textId="77777777" w:rsidR="003B4585" w:rsidRPr="00656901" w:rsidRDefault="003B4585" w:rsidP="00656901">
            <w:pPr>
              <w:spacing w:after="0" w:line="240" w:lineRule="auto"/>
              <w:jc w:val="both"/>
              <w:rPr>
                <w:sz w:val="24"/>
                <w:szCs w:val="24"/>
                <w:lang w:val="lt-LT"/>
              </w:rPr>
            </w:pPr>
          </w:p>
        </w:tc>
        <w:tc>
          <w:tcPr>
            <w:tcW w:w="5400" w:type="dxa"/>
          </w:tcPr>
          <w:p w14:paraId="592C0F5D" w14:textId="77777777" w:rsidR="003B4585" w:rsidRPr="00656901" w:rsidRDefault="003B4585" w:rsidP="00656901">
            <w:pPr>
              <w:spacing w:after="0" w:line="240" w:lineRule="auto"/>
              <w:jc w:val="both"/>
              <w:rPr>
                <w:lang w:val="lt-LT"/>
              </w:rPr>
            </w:pPr>
            <w:r w:rsidRPr="00656901">
              <w:rPr>
                <w:rFonts w:ascii="Times New Roman" w:hAnsi="Times New Roman" w:cs="Times New Roman"/>
                <w:sz w:val="24"/>
                <w:szCs w:val="24"/>
                <w:lang w:val="lt-LT"/>
              </w:rPr>
              <w:t xml:space="preserve">8. Įstatymo 3 str. 2 d. 6 p. ir 9 str. 1, 2 d. nurodoma, kad skelbdamas rezultatus, gautus remiantis pakartotinai naudojamais sveikatos duomenimis, </w:t>
            </w:r>
            <w:r w:rsidRPr="00656901">
              <w:rPr>
                <w:rFonts w:ascii="Times New Roman" w:hAnsi="Times New Roman" w:cs="Times New Roman"/>
                <w:sz w:val="24"/>
                <w:szCs w:val="24"/>
                <w:lang w:val="lt-LT"/>
              </w:rPr>
              <w:lastRenderedPageBreak/>
              <w:t>leidimo turėtojas turi juos nuasmeninti. Pakartotinai išsakome abejones, ar tyrimų rezultatai iš viso gali būti nenuasmeninti. Taip pat Įstatymo 9 str. 1 ir 2 d. nurodoma, kad leidimo turėtojas, norėdamas skelbti nenuasmenintų sveikatos duomenų pagrindu gautus rezultatus, juos turi pateikti Vyriausybės įgaliotai institucijai, kuri juos turi nuasmeninti. Svarstytina, ar toks reguliavimas nesukurs prielaidų piktnaudžiavimui arba autorinių teisių pažeidimams.</w:t>
            </w:r>
          </w:p>
        </w:tc>
        <w:tc>
          <w:tcPr>
            <w:tcW w:w="5408" w:type="dxa"/>
          </w:tcPr>
          <w:p w14:paraId="0A564FCF" w14:textId="12F2AC5B" w:rsidR="003B4585" w:rsidRPr="00656901" w:rsidRDefault="003B4585" w:rsidP="00656901">
            <w:pPr>
              <w:spacing w:after="0" w:line="240" w:lineRule="auto"/>
              <w:jc w:val="both"/>
              <w:rPr>
                <w:sz w:val="24"/>
                <w:szCs w:val="24"/>
                <w:lang w:val="lt-LT"/>
              </w:rPr>
            </w:pPr>
            <w:r w:rsidRPr="00656901">
              <w:rPr>
                <w:rFonts w:ascii="Times New Roman" w:hAnsi="Times New Roman" w:cs="Times New Roman"/>
                <w:b/>
                <w:bCs/>
                <w:sz w:val="24"/>
                <w:szCs w:val="24"/>
                <w:lang w:val="lt-LT"/>
              </w:rPr>
              <w:lastRenderedPageBreak/>
              <w:t>Neatsižvelgta</w:t>
            </w:r>
            <w:r w:rsidRPr="00656901">
              <w:rPr>
                <w:rFonts w:ascii="Times New Roman" w:hAnsi="Times New Roman" w:cs="Times New Roman"/>
                <w:sz w:val="24"/>
                <w:szCs w:val="24"/>
                <w:lang w:val="lt-LT"/>
              </w:rPr>
              <w:t xml:space="preserve">. Įtvirtintos nuostatos </w:t>
            </w:r>
            <w:r>
              <w:rPr>
                <w:rFonts w:ascii="Times New Roman" w:hAnsi="Times New Roman" w:cs="Times New Roman"/>
                <w:sz w:val="24"/>
                <w:szCs w:val="24"/>
                <w:lang w:val="lt-LT"/>
              </w:rPr>
              <w:t>–</w:t>
            </w:r>
            <w:r w:rsidRPr="00656901">
              <w:rPr>
                <w:rFonts w:ascii="Times New Roman" w:hAnsi="Times New Roman" w:cs="Times New Roman"/>
                <w:sz w:val="24"/>
                <w:szCs w:val="24"/>
                <w:lang w:val="lt-LT"/>
              </w:rPr>
              <w:t xml:space="preserve"> papildoma asmens duomenų apsauga, jeigu yra skelbiami tyrimo, kurio metu buvo naudoti pagal leidimą gauti </w:t>
            </w:r>
            <w:r w:rsidRPr="00656901">
              <w:rPr>
                <w:rFonts w:ascii="Times New Roman" w:hAnsi="Times New Roman" w:cs="Times New Roman"/>
                <w:sz w:val="24"/>
                <w:szCs w:val="24"/>
                <w:lang w:val="lt-LT"/>
              </w:rPr>
              <w:lastRenderedPageBreak/>
              <w:t xml:space="preserve">nenuasmeninti sveikatos duomenys, rezultatai. Institucija gautus tyrimo rezultatus turės laikyti konfidencialia informacija ir laikytis tokiai informacijai apsaugoti reikalingų priemonių. Taip pat numatyta, kad leidimo turėtojas nuasmeninti rezultatus gali pats, jei tai nurodyta leidime. </w:t>
            </w:r>
          </w:p>
          <w:p w14:paraId="2C4076B1" w14:textId="02CAE33F" w:rsidR="003B4585" w:rsidRPr="00656901" w:rsidRDefault="003B4585" w:rsidP="00656901">
            <w:pPr>
              <w:spacing w:after="0" w:line="240" w:lineRule="auto"/>
              <w:jc w:val="both"/>
              <w:rPr>
                <w:lang w:val="lt-LT"/>
              </w:rPr>
            </w:pPr>
            <w:r w:rsidRPr="00656901">
              <w:rPr>
                <w:rFonts w:ascii="Times New Roman" w:hAnsi="Times New Roman" w:cs="Times New Roman"/>
                <w:sz w:val="24"/>
                <w:szCs w:val="24"/>
                <w:lang w:val="lt-LT"/>
              </w:rPr>
              <w:t xml:space="preserve">Leidimo turėtojas turi užtikrinti, o institucija </w:t>
            </w:r>
            <w:r>
              <w:rPr>
                <w:rFonts w:ascii="Times New Roman" w:hAnsi="Times New Roman" w:cs="Times New Roman"/>
                <w:sz w:val="24"/>
                <w:szCs w:val="24"/>
                <w:lang w:val="lt-LT"/>
              </w:rPr>
              <w:t>pirmiau</w:t>
            </w:r>
            <w:r w:rsidRPr="00656901">
              <w:rPr>
                <w:rFonts w:ascii="Times New Roman" w:hAnsi="Times New Roman" w:cs="Times New Roman"/>
                <w:sz w:val="24"/>
                <w:szCs w:val="24"/>
                <w:lang w:val="lt-LT"/>
              </w:rPr>
              <w:t xml:space="preserve"> nurodytu atveju patikrinti, kad nebūtų atskleisti asmens duomenys, kad nebūtų likę galimybės atsekti duomenų subjekto tapatybę.</w:t>
            </w:r>
          </w:p>
          <w:p w14:paraId="40162A82" w14:textId="77777777" w:rsidR="003B4585" w:rsidRPr="00656901" w:rsidRDefault="003B4585" w:rsidP="00656901">
            <w:pPr>
              <w:spacing w:after="0" w:line="240" w:lineRule="auto"/>
              <w:jc w:val="both"/>
              <w:rPr>
                <w:sz w:val="24"/>
                <w:szCs w:val="24"/>
                <w:lang w:val="lt-LT"/>
              </w:rPr>
            </w:pPr>
            <w:r w:rsidRPr="00656901">
              <w:rPr>
                <w:rFonts w:ascii="Times New Roman" w:hAnsi="Times New Roman" w:cs="Times New Roman"/>
                <w:sz w:val="24"/>
                <w:szCs w:val="24"/>
                <w:lang w:val="lt-LT"/>
              </w:rPr>
              <w:t>Gali būti atvejų, kada tam tikri asmens duomenys gali būti skelbiami ir tyrimo rezultatuose, pavyzdžiui, kai naudojamas asmens atvaizdas, pvz., genetinės ligos atveju, bet ir gali būti gautas asmens ar jo atstovo sutikimas atvaizdą naudoti ir skelbiant rezultatus.</w:t>
            </w:r>
          </w:p>
          <w:p w14:paraId="2D699EA3" w14:textId="77777777" w:rsidR="003B4585" w:rsidRPr="00656901" w:rsidRDefault="003B4585" w:rsidP="00656901">
            <w:pPr>
              <w:spacing w:after="0" w:line="240" w:lineRule="auto"/>
              <w:jc w:val="both"/>
              <w:rPr>
                <w:rFonts w:ascii="Times New Roman" w:hAnsi="Times New Roman" w:cs="Times New Roman"/>
                <w:sz w:val="24"/>
                <w:szCs w:val="24"/>
                <w:lang w:val="lt-LT"/>
              </w:rPr>
            </w:pPr>
          </w:p>
        </w:tc>
      </w:tr>
      <w:tr w:rsidR="003B4585" w:rsidRPr="00656901" w14:paraId="0B335A3E" w14:textId="77777777" w:rsidTr="00656901">
        <w:tc>
          <w:tcPr>
            <w:tcW w:w="2250" w:type="dxa"/>
            <w:vMerge/>
          </w:tcPr>
          <w:p w14:paraId="7EBA7D2D" w14:textId="77777777" w:rsidR="003B4585" w:rsidRPr="00656901" w:rsidRDefault="003B4585" w:rsidP="00656901">
            <w:pPr>
              <w:spacing w:after="0" w:line="240" w:lineRule="auto"/>
              <w:jc w:val="both"/>
              <w:rPr>
                <w:sz w:val="24"/>
                <w:szCs w:val="24"/>
                <w:lang w:val="lt-LT"/>
              </w:rPr>
            </w:pPr>
          </w:p>
        </w:tc>
        <w:tc>
          <w:tcPr>
            <w:tcW w:w="5400" w:type="dxa"/>
          </w:tcPr>
          <w:p w14:paraId="53611B69" w14:textId="77777777" w:rsidR="003B4585" w:rsidRPr="00656901" w:rsidRDefault="003B4585" w:rsidP="00656901">
            <w:pPr>
              <w:spacing w:after="0" w:line="240" w:lineRule="auto"/>
              <w:jc w:val="both"/>
              <w:rPr>
                <w:lang w:val="lt-LT"/>
              </w:rPr>
            </w:pPr>
            <w:r w:rsidRPr="00656901">
              <w:rPr>
                <w:rFonts w:ascii="Times New Roman" w:hAnsi="Times New Roman" w:cs="Times New Roman"/>
                <w:sz w:val="24"/>
                <w:szCs w:val="24"/>
                <w:lang w:val="lt-LT"/>
              </w:rPr>
              <w:t>10. Įstatymo 5 str. 1 d. nurodoma, kad sveikatos duomenų valdytojai privalo teikti Vyriausybės įgaliotai institucijai atitinkamą informaciją, užtikrinti duomenų ir metaduomenų aktualumą ir teisingumą, pateikti apskaičiuotas sąnaudas. Dar kartą prašytume įvertinti VšĮ Vilniaus universiteto ligoninės Santaros klinikų 2020 m. gegužės 19 d. rašte Nr. SR-2024 nurodytą pastabą, kad Įstatyme nėra reglamentuotas duomenų, kurie yra autorinė nuosavybė, panaudojimas, bei nėra numatyta duomenų valdytojo galimybė atsisakyti teikti duomenis.</w:t>
            </w:r>
          </w:p>
        </w:tc>
        <w:tc>
          <w:tcPr>
            <w:tcW w:w="5408" w:type="dxa"/>
          </w:tcPr>
          <w:p w14:paraId="4F6572EB" w14:textId="15103D10" w:rsidR="003B4585" w:rsidRPr="00656901" w:rsidRDefault="003B4585" w:rsidP="00656901">
            <w:pPr>
              <w:spacing w:after="0" w:line="240" w:lineRule="auto"/>
              <w:jc w:val="both"/>
              <w:rPr>
                <w:sz w:val="24"/>
                <w:szCs w:val="24"/>
                <w:lang w:val="lt-LT"/>
              </w:rPr>
            </w:pPr>
            <w:r w:rsidRPr="00656901">
              <w:rPr>
                <w:rFonts w:ascii="Times New Roman" w:hAnsi="Times New Roman" w:cs="Times New Roman"/>
                <w:b/>
                <w:bCs/>
                <w:sz w:val="24"/>
                <w:szCs w:val="24"/>
                <w:lang w:val="lt-LT"/>
              </w:rPr>
              <w:t>Atsižvelgta.</w:t>
            </w:r>
            <w:r w:rsidRPr="00656901">
              <w:rPr>
                <w:rFonts w:ascii="Times New Roman" w:hAnsi="Times New Roman" w:cs="Times New Roman"/>
                <w:sz w:val="24"/>
                <w:szCs w:val="24"/>
                <w:lang w:val="lt-LT"/>
              </w:rPr>
              <w:t xml:space="preserve"> 1 straipsnio 3 d</w:t>
            </w:r>
            <w:r>
              <w:rPr>
                <w:rFonts w:ascii="Times New Roman" w:hAnsi="Times New Roman" w:cs="Times New Roman"/>
                <w:sz w:val="24"/>
                <w:szCs w:val="24"/>
                <w:lang w:val="lt-LT"/>
              </w:rPr>
              <w:t>alies</w:t>
            </w:r>
            <w:r w:rsidRPr="00656901">
              <w:rPr>
                <w:rFonts w:ascii="Times New Roman" w:hAnsi="Times New Roman" w:cs="Times New Roman"/>
                <w:sz w:val="24"/>
                <w:szCs w:val="24"/>
                <w:lang w:val="lt-LT"/>
              </w:rPr>
              <w:t xml:space="preserve"> 4 p</w:t>
            </w:r>
            <w:r>
              <w:rPr>
                <w:rFonts w:ascii="Times New Roman" w:hAnsi="Times New Roman" w:cs="Times New Roman"/>
                <w:sz w:val="24"/>
                <w:szCs w:val="24"/>
                <w:lang w:val="lt-LT"/>
              </w:rPr>
              <w:t>unktas</w:t>
            </w:r>
            <w:r w:rsidRPr="00656901">
              <w:rPr>
                <w:rFonts w:ascii="Times New Roman" w:hAnsi="Times New Roman" w:cs="Times New Roman"/>
                <w:sz w:val="24"/>
                <w:szCs w:val="24"/>
                <w:lang w:val="lt-LT"/>
              </w:rPr>
              <w:t>:  „Įstatymas netaikomas sveikatos duomenims ir dokumentams, kuriuose yra sveikatos duomenų, kuriuos teikti draudžia įstatymai ar jų pagrindu priimti kiti teisės aktai, įskaitant tuos, kurie nėra prieinami dėl nacionalinio ar visuomenės saugumo, statistinių duomenų slaptumo, komercinio konfidencialumo, intelektinės nuosavybės teisių konfidencialumo arba kurie sudaro valstybės, tarnybos, banko, komercinę, profesinę paslaptį, taip pat sveikatos duomenims ir dokumentams, kai jie tvarkomi nacionalinio saugumo ir (ar) gynybos tikslais.“</w:t>
            </w:r>
          </w:p>
          <w:p w14:paraId="01F6912B" w14:textId="77777777" w:rsidR="003B4585" w:rsidRPr="00656901" w:rsidRDefault="003B4585" w:rsidP="00656901">
            <w:pPr>
              <w:spacing w:after="0" w:line="240" w:lineRule="auto"/>
              <w:jc w:val="both"/>
              <w:rPr>
                <w:rFonts w:ascii="Times New Roman" w:hAnsi="Times New Roman" w:cs="Times New Roman"/>
                <w:sz w:val="24"/>
                <w:szCs w:val="24"/>
                <w:lang w:val="lt-LT"/>
              </w:rPr>
            </w:pPr>
          </w:p>
          <w:p w14:paraId="6B2BD265" w14:textId="77777777" w:rsidR="003B4585" w:rsidRPr="00656901" w:rsidRDefault="003B4585" w:rsidP="00656901">
            <w:pPr>
              <w:spacing w:after="0" w:line="240" w:lineRule="auto"/>
              <w:jc w:val="both"/>
              <w:rPr>
                <w:rFonts w:ascii="Times New Roman" w:hAnsi="Times New Roman" w:cs="Times New Roman"/>
                <w:strike/>
                <w:sz w:val="24"/>
                <w:szCs w:val="24"/>
                <w:lang w:val="lt-LT"/>
              </w:rPr>
            </w:pPr>
            <w:r w:rsidRPr="00656901">
              <w:rPr>
                <w:rFonts w:ascii="Times New Roman" w:hAnsi="Times New Roman" w:cs="Times New Roman"/>
                <w:sz w:val="24"/>
                <w:szCs w:val="24"/>
                <w:lang w:val="lt-LT"/>
              </w:rPr>
              <w:t>Papildomai įtraukta nuostata, kad sveikatos duomenų valdytojai gali atsisakyti teikti Vyriausybės įgaliotai institucijai sveikatos duomenis, kurie yra intelektinės nuosavybės objektai.</w:t>
            </w:r>
          </w:p>
        </w:tc>
      </w:tr>
      <w:tr w:rsidR="003B4585" w:rsidRPr="00656901" w14:paraId="029F5C3B" w14:textId="77777777" w:rsidTr="00656901">
        <w:tc>
          <w:tcPr>
            <w:tcW w:w="2250" w:type="dxa"/>
            <w:vMerge/>
          </w:tcPr>
          <w:p w14:paraId="4C19B625" w14:textId="77777777" w:rsidR="003B4585" w:rsidRPr="00656901" w:rsidRDefault="003B4585" w:rsidP="00656901">
            <w:pPr>
              <w:spacing w:after="0" w:line="240" w:lineRule="auto"/>
              <w:jc w:val="both"/>
              <w:rPr>
                <w:sz w:val="24"/>
                <w:szCs w:val="24"/>
                <w:lang w:val="lt-LT"/>
              </w:rPr>
            </w:pPr>
          </w:p>
        </w:tc>
        <w:tc>
          <w:tcPr>
            <w:tcW w:w="5400" w:type="dxa"/>
          </w:tcPr>
          <w:p w14:paraId="116D7712" w14:textId="77777777" w:rsidR="003B4585" w:rsidRPr="00656901" w:rsidRDefault="003B4585" w:rsidP="00656901">
            <w:pPr>
              <w:spacing w:after="0" w:line="240" w:lineRule="auto"/>
              <w:jc w:val="both"/>
              <w:rPr>
                <w:rFonts w:ascii="Times New Roman" w:hAnsi="Times New Roman" w:cs="Times New Roman"/>
                <w:sz w:val="24"/>
                <w:szCs w:val="24"/>
                <w:lang w:val="lt-LT"/>
              </w:rPr>
            </w:pPr>
            <w:r w:rsidRPr="00656901">
              <w:rPr>
                <w:rFonts w:ascii="Times New Roman" w:hAnsi="Times New Roman" w:cs="Times New Roman"/>
                <w:sz w:val="24"/>
                <w:szCs w:val="24"/>
                <w:lang w:val="lt-LT"/>
              </w:rPr>
              <w:t>12. Įstatymo 8 str. 2 d. nurodyta, kad Vyriausybės įgaliota institucija, nustačiusi, kad leidimo turėtojas nesilaiko leidimo sąlygų ir (arba) kitų Įstatyme nustatytų sąlygų, priima sprendimą stabdyti leidimo galiojimą ir leidimo turėtojas nebegali naudoti gautų sveikatos duomenų. Leidimo turėtojas, kuris duomenis naudoja kitoje sveikatos duomenų naudojimo aplinkoje turi juos sunaikinti. Kyla abejonių dėl tokio reglamentavimo racionalumo. Atkreiptinas dėmesys, kad analogišką pastabą išsakė ir Valstybinė duomenų apsaugos inspekcija 2020 m. lapkričio 4 d. rašte Nr. 2R-5460(3.2.E).</w:t>
            </w:r>
          </w:p>
        </w:tc>
        <w:tc>
          <w:tcPr>
            <w:tcW w:w="5408" w:type="dxa"/>
          </w:tcPr>
          <w:p w14:paraId="2F7DA7E9" w14:textId="1760BE69" w:rsidR="003B4585" w:rsidRPr="00656901" w:rsidRDefault="003B4585" w:rsidP="00656901">
            <w:pPr>
              <w:spacing w:after="0" w:line="240" w:lineRule="auto"/>
              <w:jc w:val="both"/>
              <w:rPr>
                <w:sz w:val="24"/>
                <w:szCs w:val="24"/>
                <w:lang w:val="lt-LT"/>
              </w:rPr>
            </w:pPr>
            <w:r w:rsidRPr="00656901">
              <w:rPr>
                <w:rFonts w:ascii="Times New Roman" w:hAnsi="Times New Roman" w:cs="Times New Roman"/>
                <w:b/>
                <w:bCs/>
                <w:sz w:val="24"/>
                <w:szCs w:val="24"/>
                <w:lang w:val="lt-LT"/>
              </w:rPr>
              <w:t>Neatsižvelgta.</w:t>
            </w:r>
            <w:r w:rsidRPr="00656901">
              <w:rPr>
                <w:rFonts w:ascii="Times New Roman" w:hAnsi="Times New Roman" w:cs="Times New Roman"/>
                <w:sz w:val="24"/>
                <w:szCs w:val="24"/>
                <w:lang w:val="lt-LT"/>
              </w:rPr>
              <w:t xml:space="preserve"> Tai yra vienintelis būdas užtikrinti tolesnį duomenų nenaudojimą. Pateikti iš naujo šiuos duomenis įgaliotai institucijai neužtruktų ir </w:t>
            </w:r>
            <w:r>
              <w:rPr>
                <w:rFonts w:ascii="Times New Roman" w:hAnsi="Times New Roman" w:cs="Times New Roman"/>
                <w:sz w:val="24"/>
                <w:szCs w:val="24"/>
                <w:lang w:val="lt-LT"/>
              </w:rPr>
              <w:t>„</w:t>
            </w:r>
            <w:r w:rsidRPr="00656901">
              <w:rPr>
                <w:rFonts w:ascii="Times New Roman" w:hAnsi="Times New Roman" w:cs="Times New Roman"/>
                <w:sz w:val="24"/>
                <w:szCs w:val="24"/>
                <w:lang w:val="lt-LT"/>
              </w:rPr>
              <w:t>nekainuotų</w:t>
            </w:r>
            <w:r>
              <w:rPr>
                <w:rFonts w:ascii="Times New Roman" w:hAnsi="Times New Roman" w:cs="Times New Roman"/>
                <w:sz w:val="24"/>
                <w:szCs w:val="24"/>
                <w:lang w:val="lt-LT"/>
              </w:rPr>
              <w:t>“</w:t>
            </w:r>
            <w:r w:rsidRPr="00656901">
              <w:rPr>
                <w:rFonts w:ascii="Times New Roman" w:hAnsi="Times New Roman" w:cs="Times New Roman"/>
                <w:sz w:val="24"/>
                <w:szCs w:val="24"/>
                <w:lang w:val="lt-LT"/>
              </w:rPr>
              <w:t xml:space="preserve"> tiek, kaip teikiant pirmą kartą.</w:t>
            </w:r>
          </w:p>
        </w:tc>
      </w:tr>
      <w:tr w:rsidR="003B4585" w:rsidRPr="00656901" w14:paraId="32EACC06" w14:textId="77777777" w:rsidTr="00656901">
        <w:tc>
          <w:tcPr>
            <w:tcW w:w="2250" w:type="dxa"/>
            <w:vMerge/>
          </w:tcPr>
          <w:p w14:paraId="36A1FAF5" w14:textId="77777777" w:rsidR="003B4585" w:rsidRPr="00656901" w:rsidRDefault="003B4585" w:rsidP="00656901">
            <w:pPr>
              <w:spacing w:after="0" w:line="240" w:lineRule="auto"/>
              <w:jc w:val="both"/>
              <w:rPr>
                <w:sz w:val="24"/>
                <w:szCs w:val="24"/>
                <w:lang w:val="lt-LT"/>
              </w:rPr>
            </w:pPr>
          </w:p>
        </w:tc>
        <w:tc>
          <w:tcPr>
            <w:tcW w:w="5400" w:type="dxa"/>
          </w:tcPr>
          <w:p w14:paraId="7F255355" w14:textId="77777777" w:rsidR="003B4585" w:rsidRPr="00656901" w:rsidRDefault="003B4585" w:rsidP="00656901">
            <w:pPr>
              <w:spacing w:after="0" w:line="240" w:lineRule="auto"/>
              <w:jc w:val="both"/>
              <w:rPr>
                <w:rFonts w:ascii="Times New Roman" w:hAnsi="Times New Roman" w:cs="Times New Roman"/>
                <w:sz w:val="24"/>
                <w:szCs w:val="24"/>
                <w:lang w:val="lt-LT"/>
              </w:rPr>
            </w:pPr>
            <w:r w:rsidRPr="00656901">
              <w:rPr>
                <w:rFonts w:ascii="Times New Roman" w:hAnsi="Times New Roman" w:cs="Times New Roman"/>
                <w:sz w:val="24"/>
                <w:szCs w:val="24"/>
                <w:lang w:val="lt-LT"/>
              </w:rPr>
              <w:t>13. Įstatymo 9 str. 3 d. nurodyta, kad leidimo turėtojas, skelbdamas rezultatus, negali skelbti Vyriausybės įgaliotos institucijos pateiktų duomenų rinkinių ar jų dalių, kuriais remiantis gauti rezultatai. Jeigu tokių duomenų skelbimas yra neatsiejamas nuo rezultatų paskelbimo, turi būti gautas Vyriausybės įgaliotos institucijos leidimas tai daryti. Nurodoma, kad sprendimas leisti sveikatos duomenis skelbti kartu su rezultatais priimamas, jeigu juos būtina skelbti kartu. Kyla abejonė, ar Vyriausybės įgaliota institucija turės pakankamų kompetencijų tokiems sprendimams priimti.</w:t>
            </w:r>
          </w:p>
        </w:tc>
        <w:tc>
          <w:tcPr>
            <w:tcW w:w="5408" w:type="dxa"/>
          </w:tcPr>
          <w:p w14:paraId="55FADBEA" w14:textId="75757851" w:rsidR="003B4585" w:rsidRPr="00656901" w:rsidRDefault="003B4585" w:rsidP="00656901">
            <w:pPr>
              <w:spacing w:after="0"/>
              <w:jc w:val="both"/>
              <w:rPr>
                <w:sz w:val="24"/>
                <w:szCs w:val="24"/>
                <w:lang w:val="lt-LT"/>
              </w:rPr>
            </w:pPr>
            <w:r w:rsidRPr="00656901">
              <w:rPr>
                <w:rFonts w:ascii="Times New Roman" w:hAnsi="Times New Roman" w:cs="Times New Roman"/>
                <w:b/>
                <w:bCs/>
                <w:sz w:val="24"/>
                <w:szCs w:val="24"/>
                <w:lang w:val="lt-LT"/>
              </w:rPr>
              <w:t>Neatsižvelgta.</w:t>
            </w:r>
            <w:r w:rsidRPr="00656901">
              <w:rPr>
                <w:rFonts w:ascii="Times New Roman" w:hAnsi="Times New Roman" w:cs="Times New Roman"/>
                <w:sz w:val="24"/>
                <w:szCs w:val="24"/>
                <w:lang w:val="lt-LT"/>
              </w:rPr>
              <w:t xml:space="preserve"> Vyriausybės įgaliota institucija turės galimybes ir kompetencijas įvertinti skelbiamų duomenų kiekio santykį su gautų pagal leidimą duomenų kiekiu ir jų vientisumą, galės kompetentingai įvertinti leidimo turėtojo argumentus, kodėl būtina skelbti „ištisus“ sveikatos duomenis ar kiekybiškai reikšmingą jų dalį kartu su rezultatais. Svarbu yra apsaugoti reikšmingo kiekio sveikatos duomenų atskleidimą per rezultatus, pvz., paskelbiant gautus duomenis kaip gausius priedus ar pan., kad tyrimo rezultatai netaptų antriniu šaltiniu, per kurį gaunami sveikatos duomenys, kuriems gauti būtų reikalingas leidimas.</w:t>
            </w:r>
          </w:p>
          <w:p w14:paraId="13D3798D" w14:textId="77777777" w:rsidR="003B4585" w:rsidRPr="00656901" w:rsidRDefault="003B4585" w:rsidP="00656901">
            <w:pPr>
              <w:spacing w:after="0"/>
              <w:jc w:val="both"/>
              <w:rPr>
                <w:rFonts w:ascii="Times New Roman" w:hAnsi="Times New Roman" w:cs="Times New Roman"/>
                <w:sz w:val="24"/>
                <w:szCs w:val="24"/>
                <w:lang w:val="lt-LT"/>
              </w:rPr>
            </w:pPr>
          </w:p>
        </w:tc>
      </w:tr>
      <w:tr w:rsidR="003B4585" w:rsidRPr="00656901" w14:paraId="4E841359" w14:textId="77777777" w:rsidTr="00656901">
        <w:tc>
          <w:tcPr>
            <w:tcW w:w="2250" w:type="dxa"/>
            <w:vMerge/>
          </w:tcPr>
          <w:p w14:paraId="74A1C5B0" w14:textId="77777777" w:rsidR="003B4585" w:rsidRPr="00656901" w:rsidRDefault="003B4585" w:rsidP="00656901">
            <w:pPr>
              <w:spacing w:after="0" w:line="240" w:lineRule="auto"/>
              <w:jc w:val="both"/>
              <w:rPr>
                <w:sz w:val="24"/>
                <w:szCs w:val="24"/>
                <w:lang w:val="lt-LT"/>
              </w:rPr>
            </w:pPr>
          </w:p>
        </w:tc>
        <w:tc>
          <w:tcPr>
            <w:tcW w:w="5400" w:type="dxa"/>
          </w:tcPr>
          <w:p w14:paraId="7D29E406" w14:textId="77777777" w:rsidR="003B4585" w:rsidRPr="00656901" w:rsidRDefault="003B4585" w:rsidP="00656901">
            <w:pPr>
              <w:spacing w:after="0" w:line="240" w:lineRule="auto"/>
              <w:jc w:val="both"/>
              <w:rPr>
                <w:rFonts w:ascii="Times New Roman" w:hAnsi="Times New Roman" w:cs="Times New Roman"/>
                <w:sz w:val="24"/>
                <w:szCs w:val="24"/>
                <w:lang w:val="lt-LT"/>
              </w:rPr>
            </w:pPr>
            <w:r w:rsidRPr="00656901">
              <w:rPr>
                <w:rFonts w:ascii="Times New Roman" w:hAnsi="Times New Roman" w:cs="Times New Roman"/>
                <w:sz w:val="24"/>
                <w:szCs w:val="24"/>
                <w:lang w:val="lt-LT"/>
              </w:rPr>
              <w:t xml:space="preserve">14. Pritardami Vyriausybės kanceliarijos Teisės grupės išvados Nr. NV-288 23 p. pateiktam pastebėjimui, dar sykį siūlome įvertinti Įstatymo 10 str. numatyto papildomo ekspertų pasitelkimo, vertinant, ar informacija atitinka asmens sveikatai svarbios informacijos kriterijus, būtinybę. Gavus tokią </w:t>
            </w:r>
            <w:r w:rsidRPr="00656901">
              <w:rPr>
                <w:rFonts w:ascii="Times New Roman" w:hAnsi="Times New Roman" w:cs="Times New Roman"/>
                <w:sz w:val="24"/>
                <w:szCs w:val="24"/>
                <w:lang w:val="lt-LT"/>
              </w:rPr>
              <w:lastRenderedPageBreak/>
              <w:t>informaciją Vyriausybės įgaliota institucija galėtų tiesiogiai persiųsti ją asmenį gydančiam gydytojui, kuris ir įvertintų informacijos svarbą.</w:t>
            </w:r>
          </w:p>
        </w:tc>
        <w:tc>
          <w:tcPr>
            <w:tcW w:w="5408" w:type="dxa"/>
          </w:tcPr>
          <w:p w14:paraId="4B1DBA62" w14:textId="3695A1C7" w:rsidR="003B4585" w:rsidRPr="00656901" w:rsidRDefault="003B4585" w:rsidP="00656901">
            <w:pPr>
              <w:spacing w:after="0" w:line="240" w:lineRule="auto"/>
              <w:jc w:val="both"/>
              <w:rPr>
                <w:sz w:val="24"/>
                <w:szCs w:val="24"/>
                <w:lang w:val="lt-LT"/>
              </w:rPr>
            </w:pPr>
            <w:r w:rsidRPr="00656901">
              <w:rPr>
                <w:rFonts w:ascii="Times New Roman" w:hAnsi="Times New Roman" w:cs="Times New Roman"/>
                <w:b/>
                <w:bCs/>
                <w:sz w:val="24"/>
                <w:szCs w:val="24"/>
                <w:lang w:val="lt-LT"/>
              </w:rPr>
              <w:lastRenderedPageBreak/>
              <w:t>Komentaras.</w:t>
            </w:r>
            <w:r w:rsidRPr="00656901">
              <w:rPr>
                <w:rFonts w:ascii="Times New Roman" w:hAnsi="Times New Roman" w:cs="Times New Roman"/>
                <w:sz w:val="24"/>
                <w:szCs w:val="24"/>
                <w:lang w:val="lt-LT"/>
              </w:rPr>
              <w:t xml:space="preserve"> Tokia nuostata įtvirtinama dėl papildomos asmens duomenų apsaugos, be to, Vyriausybės įgaliota institucija neturėtų kompetencijų įvertinti, ar informacija svarbi, ar ne, galbūt nebeaktuali, o ekspertai turės specifinių žinių. Paliekant „ekspertų etapą“ informacijos svarbumas </w:t>
            </w:r>
            <w:r w:rsidRPr="00656901">
              <w:rPr>
                <w:rFonts w:ascii="Times New Roman" w:hAnsi="Times New Roman" w:cs="Times New Roman"/>
                <w:sz w:val="24"/>
                <w:szCs w:val="24"/>
                <w:lang w:val="lt-LT"/>
              </w:rPr>
              <w:lastRenderedPageBreak/>
              <w:t xml:space="preserve">asmens sveikatai bus įvertintas aukštą kvalifikaciją turinčio specialisto, be to, gali prireikti tam tikrų rekomendacijų ar gairių gydančiam gydytojui, o ne tik fakto apie nustatytą svarbią informaciją jo pacientui pateikimo. Siekiama nesukurti gydytojams papildomos naštos vertinant pateiktą informaciją ir užtikrinti, kad gydytojus, o per juos ir pacientus pasieks tik reikšminga informacija. </w:t>
            </w:r>
            <w:r>
              <w:rPr>
                <w:rFonts w:ascii="Times New Roman" w:hAnsi="Times New Roman" w:cs="Times New Roman"/>
                <w:sz w:val="24"/>
                <w:szCs w:val="24"/>
                <w:lang w:val="lt-LT"/>
              </w:rPr>
              <w:t>Kartu</w:t>
            </w:r>
            <w:r w:rsidRPr="00656901">
              <w:rPr>
                <w:rFonts w:ascii="Times New Roman" w:hAnsi="Times New Roman" w:cs="Times New Roman"/>
                <w:sz w:val="24"/>
                <w:szCs w:val="24"/>
                <w:lang w:val="lt-LT"/>
              </w:rPr>
              <w:t xml:space="preserve"> ekspertai turės galimybę susipažinti su naujausiais svarbiais tyrimais.</w:t>
            </w:r>
          </w:p>
        </w:tc>
      </w:tr>
      <w:tr w:rsidR="003B4585" w:rsidRPr="00656901" w14:paraId="5E7A1EB9" w14:textId="77777777" w:rsidTr="00656901">
        <w:tc>
          <w:tcPr>
            <w:tcW w:w="2250" w:type="dxa"/>
            <w:vMerge/>
          </w:tcPr>
          <w:p w14:paraId="3BE71DB1" w14:textId="77777777" w:rsidR="003B4585" w:rsidRPr="00656901" w:rsidRDefault="003B4585" w:rsidP="00656901">
            <w:pPr>
              <w:spacing w:after="0" w:line="240" w:lineRule="auto"/>
              <w:jc w:val="both"/>
              <w:rPr>
                <w:rFonts w:ascii="Times New Roman" w:hAnsi="Times New Roman" w:cs="Times New Roman"/>
                <w:sz w:val="24"/>
                <w:szCs w:val="24"/>
                <w:lang w:val="lt-LT"/>
              </w:rPr>
            </w:pPr>
          </w:p>
        </w:tc>
        <w:tc>
          <w:tcPr>
            <w:tcW w:w="5400" w:type="dxa"/>
          </w:tcPr>
          <w:p w14:paraId="2C6AD968" w14:textId="77777777" w:rsidR="003B4585" w:rsidRPr="00656901" w:rsidRDefault="003B4585" w:rsidP="00656901">
            <w:pPr>
              <w:spacing w:after="0" w:line="240" w:lineRule="auto"/>
              <w:jc w:val="both"/>
              <w:rPr>
                <w:rFonts w:ascii="Times New Roman" w:hAnsi="Times New Roman" w:cs="Times New Roman"/>
                <w:sz w:val="24"/>
                <w:szCs w:val="24"/>
                <w:lang w:val="lt-LT"/>
              </w:rPr>
            </w:pPr>
            <w:r w:rsidRPr="00656901">
              <w:rPr>
                <w:rFonts w:ascii="Times New Roman" w:hAnsi="Times New Roman" w:cs="Times New Roman"/>
                <w:sz w:val="24"/>
                <w:szCs w:val="24"/>
                <w:lang w:val="lt-LT"/>
              </w:rPr>
              <w:t>16. Atkreiptinas dėmesys, kad Derinimo pažymoje, atsakant į Vilniaus universiteto  2020 m. spalio 27 d. rašte Nr. SR-503 išreikštą susirūpinimą dėl informacijos apie atitiktį sveikatos apsaugos ministro nustatytiems kvalifikaciniams ir patirties asmens duomenų tvarkymo srityje reikalavimas, nurodytas neteisingas argumentas, kad ši atitiktis turės būti nurodoma tik tuo atveju, jeigu leidimo turėtojas sveikatos duomenis norės naudoti ne Valstybės sveikatos duomenų pakartotinio naudojimo aplinkoje. Įstatymo 3 str. 2 d. 6 p. nustatyta, kad tokią informaciją leidimo turėtojas turės pateikti tuomet, kai norės gautus rezultatus norės nuasmeninti pats, todėl Vilniaus universiteto išsakyta abejonė dėl duomenų panaudojimo mokslinių tyrimų ir ypač studentų darbų rengimo procese yra pagrįsta.</w:t>
            </w:r>
          </w:p>
        </w:tc>
        <w:tc>
          <w:tcPr>
            <w:tcW w:w="5408" w:type="dxa"/>
          </w:tcPr>
          <w:p w14:paraId="1A2336E9" w14:textId="422AC6BF" w:rsidR="003B4585" w:rsidRPr="00656901" w:rsidRDefault="003B4585" w:rsidP="00656901">
            <w:pPr>
              <w:spacing w:after="0" w:line="240" w:lineRule="auto"/>
              <w:jc w:val="both"/>
              <w:rPr>
                <w:sz w:val="24"/>
                <w:szCs w:val="24"/>
                <w:lang w:val="lt-LT"/>
              </w:rPr>
            </w:pPr>
            <w:r w:rsidRPr="00656901">
              <w:rPr>
                <w:rFonts w:ascii="Times New Roman" w:hAnsi="Times New Roman" w:cs="Times New Roman"/>
                <w:b/>
                <w:bCs/>
                <w:sz w:val="24"/>
                <w:szCs w:val="24"/>
                <w:lang w:val="lt-LT"/>
              </w:rPr>
              <w:t>Neatsižvelgta.</w:t>
            </w:r>
            <w:r w:rsidRPr="00656901">
              <w:rPr>
                <w:rFonts w:ascii="Times New Roman" w:hAnsi="Times New Roman" w:cs="Times New Roman"/>
                <w:sz w:val="24"/>
                <w:szCs w:val="24"/>
                <w:lang w:val="lt-LT"/>
              </w:rPr>
              <w:t xml:space="preserve"> Studentų darbai retai, jeigu apskritai, reikalaus tokių technologinių sprendimų, kurių negalės suteikti Valstybės sveikatos duomenų naudojimo platforma. Ne Valstybės sveikatos duomenų naudojimo platformoje pagal leidimą gauti sveikatos duomenys galės būti tik išimtiniais atvejais</w:t>
            </w:r>
            <w:r>
              <w:rPr>
                <w:rFonts w:ascii="Times New Roman" w:hAnsi="Times New Roman" w:cs="Times New Roman"/>
                <w:sz w:val="24"/>
                <w:szCs w:val="24"/>
                <w:lang w:val="lt-LT"/>
              </w:rPr>
              <w:t> </w:t>
            </w:r>
            <w:r w:rsidRPr="00656901">
              <w:rPr>
                <w:rFonts w:ascii="Times New Roman" w:hAnsi="Times New Roman" w:cs="Times New Roman"/>
                <w:sz w:val="24"/>
                <w:szCs w:val="24"/>
                <w:lang w:val="lt-LT"/>
              </w:rPr>
              <w:t xml:space="preserve">– t. y. kai platforma neturės techninių sprendimų sveikatos duomenis naudoti tokiu būdu, koks reikalingas leidimo turėtojui, pavyzdžiui, negalės sveikatos duomenų analizei panaudoti savo turimo konkretaus dirbtiniu intelektu pagrįsto įrankio. Tokiais atvejais Vyriausybės įgaliota institucija turės įvertinti, ar ta sveikatos duomenų aplinka, kurią prašo naudoti pareiškėjas, atitinka tokiai aplinkai nustatytus reikalavimus. Dėl rezultatų nuasmeninimo nematome akivaizdaus galimo nuolatinio poreikio, kad nuasmeninimas negalėtų būti atliekamas ne Vyriausybės įgaliotos institucijos, </w:t>
            </w:r>
            <w:r>
              <w:rPr>
                <w:rFonts w:ascii="Times New Roman" w:hAnsi="Times New Roman" w:cs="Times New Roman"/>
                <w:sz w:val="24"/>
                <w:szCs w:val="24"/>
                <w:lang w:val="lt-LT"/>
              </w:rPr>
              <w:t>kita vertus</w:t>
            </w:r>
            <w:r w:rsidRPr="00656901">
              <w:rPr>
                <w:rFonts w:ascii="Times New Roman" w:hAnsi="Times New Roman" w:cs="Times New Roman"/>
                <w:sz w:val="24"/>
                <w:szCs w:val="24"/>
                <w:lang w:val="lt-LT"/>
              </w:rPr>
              <w:t>, retam studijų metu rengiamam darbui gali būti būtini nenuasmeninti duomenys. Nuasmenintų sveikatos duomenų naudojimo atveju rezultatų nuasmeninti nereikės, todėl ir patirties bei kvalifikacijos reikalavimai nebus taikomi.</w:t>
            </w:r>
          </w:p>
          <w:p w14:paraId="53FE5119" w14:textId="77777777" w:rsidR="003B4585" w:rsidRPr="00656901" w:rsidRDefault="003B4585" w:rsidP="00656901">
            <w:pPr>
              <w:spacing w:after="0" w:line="240" w:lineRule="auto"/>
              <w:jc w:val="both"/>
              <w:rPr>
                <w:rFonts w:ascii="Times New Roman" w:hAnsi="Times New Roman" w:cs="Times New Roman"/>
                <w:lang w:val="lt-LT"/>
              </w:rPr>
            </w:pPr>
          </w:p>
        </w:tc>
      </w:tr>
    </w:tbl>
    <w:p w14:paraId="0DF9759A" w14:textId="77777777" w:rsidR="003B4585" w:rsidRPr="004571B5" w:rsidRDefault="003B4585">
      <w:pPr>
        <w:rPr>
          <w:rFonts w:ascii="Times New Roman" w:hAnsi="Times New Roman" w:cs="Times New Roman"/>
          <w:lang w:val="lt-LT"/>
        </w:rPr>
      </w:pPr>
    </w:p>
    <w:p w14:paraId="362158FB" w14:textId="77777777" w:rsidR="003B4585" w:rsidRPr="004571B5" w:rsidRDefault="003B4585">
      <w:pPr>
        <w:rPr>
          <w:lang w:val="lt-LT"/>
        </w:rPr>
      </w:pPr>
    </w:p>
    <w:sectPr w:rsidR="003B4585" w:rsidRPr="004571B5" w:rsidSect="00602D2F">
      <w:headerReference w:type="even" r:id="rId6"/>
      <w:headerReference w:type="default" r:id="rId7"/>
      <w:pgSz w:w="15840" w:h="12240" w:orient="landscape"/>
      <w:pgMar w:top="1440" w:right="1440" w:bottom="1440" w:left="1440" w:header="0" w:footer="0" w:gutter="0"/>
      <w:cols w:space="1296"/>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B1351" w14:textId="77777777" w:rsidR="003B4585" w:rsidRDefault="003B4585">
      <w:r>
        <w:separator/>
      </w:r>
    </w:p>
  </w:endnote>
  <w:endnote w:type="continuationSeparator" w:id="0">
    <w:p w14:paraId="5E8CBA45" w14:textId="77777777" w:rsidR="003B4585" w:rsidRDefault="003B4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DejaVu Sans">
    <w:altName w:val="Verdana"/>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F6C53" w14:textId="77777777" w:rsidR="003B4585" w:rsidRDefault="003B4585">
      <w:r>
        <w:separator/>
      </w:r>
    </w:p>
  </w:footnote>
  <w:footnote w:type="continuationSeparator" w:id="0">
    <w:p w14:paraId="7F4D4284" w14:textId="77777777" w:rsidR="003B4585" w:rsidRDefault="003B4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53659" w14:textId="77777777" w:rsidR="003B4585" w:rsidRDefault="003B4585" w:rsidP="006D3F73">
    <w:pPr>
      <w:pStyle w:val="Header"/>
      <w:framePr w:wrap="around"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14:paraId="21C2C362" w14:textId="77777777" w:rsidR="003B4585" w:rsidRDefault="003B4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7592A" w14:textId="77777777" w:rsidR="003B4585" w:rsidRPr="00462279" w:rsidRDefault="003B4585" w:rsidP="00462279">
    <w:pPr>
      <w:pStyle w:val="Header"/>
      <w:framePr w:wrap="around" w:vAnchor="text" w:hAnchor="page" w:x="7901" w:y="991"/>
      <w:rPr>
        <w:rStyle w:val="PageNumber"/>
        <w:rFonts w:ascii="Times New Roman" w:hAnsi="Times New Roman"/>
        <w:sz w:val="24"/>
        <w:szCs w:val="24"/>
      </w:rPr>
    </w:pPr>
    <w:r w:rsidRPr="00462279">
      <w:rPr>
        <w:rStyle w:val="PageNumber"/>
        <w:rFonts w:ascii="Times New Roman" w:hAnsi="Times New Roman"/>
        <w:sz w:val="24"/>
        <w:szCs w:val="24"/>
      </w:rPr>
      <w:fldChar w:fldCharType="begin"/>
    </w:r>
    <w:r w:rsidRPr="00462279">
      <w:rPr>
        <w:rStyle w:val="PageNumber"/>
        <w:rFonts w:ascii="Times New Roman" w:hAnsi="Times New Roman"/>
        <w:sz w:val="24"/>
        <w:szCs w:val="24"/>
      </w:rPr>
      <w:instrText xml:space="preserve">PAGE  </w:instrText>
    </w:r>
    <w:r w:rsidRPr="00462279">
      <w:rPr>
        <w:rStyle w:val="PageNumber"/>
        <w:rFonts w:ascii="Times New Roman" w:hAnsi="Times New Roman"/>
        <w:sz w:val="24"/>
        <w:szCs w:val="24"/>
      </w:rPr>
      <w:fldChar w:fldCharType="separate"/>
    </w:r>
    <w:r w:rsidRPr="00462279">
      <w:rPr>
        <w:rStyle w:val="PageNumber"/>
        <w:rFonts w:ascii="Times New Roman" w:hAnsi="Times New Roman"/>
        <w:noProof/>
        <w:sz w:val="24"/>
        <w:szCs w:val="24"/>
      </w:rPr>
      <w:t>6</w:t>
    </w:r>
    <w:r w:rsidRPr="00462279">
      <w:rPr>
        <w:rStyle w:val="PageNumber"/>
        <w:rFonts w:ascii="Times New Roman" w:hAnsi="Times New Roman"/>
        <w:sz w:val="24"/>
        <w:szCs w:val="24"/>
      </w:rPr>
      <w:fldChar w:fldCharType="end"/>
    </w:r>
  </w:p>
  <w:p w14:paraId="53648543" w14:textId="77777777" w:rsidR="003B4585" w:rsidRDefault="003B45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506"/>
    <w:rsid w:val="00175773"/>
    <w:rsid w:val="001B2AE8"/>
    <w:rsid w:val="001F0AC6"/>
    <w:rsid w:val="0038558A"/>
    <w:rsid w:val="003B4585"/>
    <w:rsid w:val="003D292B"/>
    <w:rsid w:val="004571B5"/>
    <w:rsid w:val="00462279"/>
    <w:rsid w:val="00531DA1"/>
    <w:rsid w:val="00602D2F"/>
    <w:rsid w:val="00656901"/>
    <w:rsid w:val="006D3F73"/>
    <w:rsid w:val="006E7171"/>
    <w:rsid w:val="00A33E34"/>
    <w:rsid w:val="00B37EFF"/>
    <w:rsid w:val="00B405D5"/>
    <w:rsid w:val="00BD2846"/>
    <w:rsid w:val="00CD6CD6"/>
    <w:rsid w:val="00E03219"/>
    <w:rsid w:val="00E307AA"/>
    <w:rsid w:val="00E7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96617"/>
  <w15:docId w15:val="{B0C78528-AF30-4BE2-95DC-1211CE11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773"/>
    <w:pPr>
      <w:spacing w:after="160" w:line="259"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uiPriority w:val="99"/>
    <w:rsid w:val="00175773"/>
    <w:rPr>
      <w:rFonts w:ascii="Calibri" w:hAnsi="Calibri"/>
      <w:sz w:val="22"/>
    </w:rPr>
  </w:style>
  <w:style w:type="character" w:customStyle="1" w:styleId="ListLabel2">
    <w:name w:val="ListLabel 2"/>
    <w:uiPriority w:val="99"/>
    <w:rsid w:val="00175773"/>
  </w:style>
  <w:style w:type="character" w:customStyle="1" w:styleId="ListLabel3">
    <w:name w:val="ListLabel 3"/>
    <w:uiPriority w:val="99"/>
    <w:rsid w:val="00175773"/>
  </w:style>
  <w:style w:type="character" w:customStyle="1" w:styleId="ListLabel4">
    <w:name w:val="ListLabel 4"/>
    <w:uiPriority w:val="99"/>
    <w:rsid w:val="00175773"/>
  </w:style>
  <w:style w:type="character" w:customStyle="1" w:styleId="ListLabel5">
    <w:name w:val="ListLabel 5"/>
    <w:uiPriority w:val="99"/>
    <w:rsid w:val="00175773"/>
  </w:style>
  <w:style w:type="character" w:customStyle="1" w:styleId="ListLabel6">
    <w:name w:val="ListLabel 6"/>
    <w:uiPriority w:val="99"/>
    <w:rsid w:val="00175773"/>
  </w:style>
  <w:style w:type="character" w:customStyle="1" w:styleId="ListLabel7">
    <w:name w:val="ListLabel 7"/>
    <w:uiPriority w:val="99"/>
    <w:rsid w:val="00175773"/>
  </w:style>
  <w:style w:type="character" w:customStyle="1" w:styleId="ListLabel8">
    <w:name w:val="ListLabel 8"/>
    <w:uiPriority w:val="99"/>
    <w:rsid w:val="00175773"/>
  </w:style>
  <w:style w:type="character" w:customStyle="1" w:styleId="ListLabel9">
    <w:name w:val="ListLabel 9"/>
    <w:uiPriority w:val="99"/>
    <w:rsid w:val="00175773"/>
  </w:style>
  <w:style w:type="character" w:customStyle="1" w:styleId="InternetLink">
    <w:name w:val="Internet Link"/>
    <w:uiPriority w:val="99"/>
    <w:rsid w:val="00175773"/>
    <w:rPr>
      <w:color w:val="000080"/>
      <w:u w:val="single"/>
    </w:rPr>
  </w:style>
  <w:style w:type="character" w:styleId="CommentReference">
    <w:name w:val="annotation reference"/>
    <w:basedOn w:val="DefaultParagraphFont"/>
    <w:uiPriority w:val="99"/>
    <w:semiHidden/>
    <w:rPr>
      <w:rFonts w:cs="Times New Roman"/>
      <w:sz w:val="16"/>
      <w:szCs w:val="16"/>
    </w:rPr>
  </w:style>
  <w:style w:type="character" w:customStyle="1" w:styleId="CommentTextChar">
    <w:name w:val="Comment Text Char"/>
    <w:basedOn w:val="DefaultParagraphFont"/>
    <w:link w:val="CommentText"/>
    <w:uiPriority w:val="99"/>
    <w:semiHidden/>
    <w:locked/>
    <w:rPr>
      <w:rFonts w:cs="Times New Roman"/>
      <w:sz w:val="20"/>
      <w:szCs w:val="20"/>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customStyle="1" w:styleId="ListLabel10">
    <w:name w:val="ListLabel 10"/>
    <w:uiPriority w:val="99"/>
    <w:rsid w:val="00175773"/>
    <w:rPr>
      <w:sz w:val="22"/>
    </w:rPr>
  </w:style>
  <w:style w:type="character" w:customStyle="1" w:styleId="ListLabel11">
    <w:name w:val="ListLabel 11"/>
    <w:uiPriority w:val="99"/>
    <w:rsid w:val="00175773"/>
  </w:style>
  <w:style w:type="character" w:customStyle="1" w:styleId="ListLabel12">
    <w:name w:val="ListLabel 12"/>
    <w:uiPriority w:val="99"/>
    <w:rsid w:val="00175773"/>
  </w:style>
  <w:style w:type="character" w:customStyle="1" w:styleId="ListLabel13">
    <w:name w:val="ListLabel 13"/>
    <w:uiPriority w:val="99"/>
    <w:rsid w:val="00175773"/>
  </w:style>
  <w:style w:type="character" w:customStyle="1" w:styleId="ListLabel14">
    <w:name w:val="ListLabel 14"/>
    <w:uiPriority w:val="99"/>
    <w:rsid w:val="00175773"/>
  </w:style>
  <w:style w:type="character" w:customStyle="1" w:styleId="ListLabel15">
    <w:name w:val="ListLabel 15"/>
    <w:uiPriority w:val="99"/>
    <w:rsid w:val="00175773"/>
  </w:style>
  <w:style w:type="character" w:customStyle="1" w:styleId="ListLabel16">
    <w:name w:val="ListLabel 16"/>
    <w:uiPriority w:val="99"/>
    <w:rsid w:val="00175773"/>
  </w:style>
  <w:style w:type="character" w:customStyle="1" w:styleId="ListLabel17">
    <w:name w:val="ListLabel 17"/>
    <w:uiPriority w:val="99"/>
    <w:rsid w:val="00175773"/>
  </w:style>
  <w:style w:type="character" w:customStyle="1" w:styleId="ListLabel18">
    <w:name w:val="ListLabel 18"/>
    <w:uiPriority w:val="99"/>
    <w:rsid w:val="00175773"/>
  </w:style>
  <w:style w:type="character" w:customStyle="1" w:styleId="ListLabel19">
    <w:name w:val="ListLabel 19"/>
    <w:uiPriority w:val="99"/>
    <w:rsid w:val="00175773"/>
    <w:rPr>
      <w:rFonts w:ascii="Times New Roman" w:hAnsi="Times New Roman"/>
      <w:lang w:val="lt-LT"/>
    </w:rPr>
  </w:style>
  <w:style w:type="character" w:customStyle="1" w:styleId="ListLabel20">
    <w:name w:val="ListLabel 20"/>
    <w:uiPriority w:val="99"/>
    <w:rsid w:val="00175773"/>
    <w:rPr>
      <w:rFonts w:ascii="Times New Roman" w:hAnsi="Times New Roman"/>
      <w:lang w:val="lt-LT"/>
    </w:rPr>
  </w:style>
  <w:style w:type="character" w:customStyle="1" w:styleId="VisitedInternetLink">
    <w:name w:val="Visited Internet Link"/>
    <w:uiPriority w:val="99"/>
    <w:rsid w:val="00175773"/>
    <w:rPr>
      <w:color w:val="800000"/>
      <w:u w:val="single"/>
    </w:rPr>
  </w:style>
  <w:style w:type="character" w:customStyle="1" w:styleId="ListLabel21">
    <w:name w:val="ListLabel 21"/>
    <w:uiPriority w:val="99"/>
    <w:rsid w:val="00175773"/>
    <w:rPr>
      <w:rFonts w:ascii="Times New Roman" w:hAnsi="Times New Roman"/>
    </w:rPr>
  </w:style>
  <w:style w:type="paragraph" w:customStyle="1" w:styleId="Heading">
    <w:name w:val="Heading"/>
    <w:basedOn w:val="Normal"/>
    <w:next w:val="BodyText"/>
    <w:uiPriority w:val="99"/>
    <w:rsid w:val="00175773"/>
    <w:pPr>
      <w:keepNext/>
      <w:spacing w:before="240" w:after="120"/>
    </w:pPr>
    <w:rPr>
      <w:rFonts w:ascii="Liberation Sans" w:hAnsi="Liberation Sans" w:cs="DejaVu Sans"/>
      <w:sz w:val="28"/>
      <w:szCs w:val="28"/>
    </w:rPr>
  </w:style>
  <w:style w:type="paragraph" w:styleId="BodyText">
    <w:name w:val="Body Text"/>
    <w:basedOn w:val="Normal"/>
    <w:link w:val="BodyTextChar"/>
    <w:uiPriority w:val="99"/>
    <w:rsid w:val="00175773"/>
    <w:pPr>
      <w:spacing w:after="140" w:line="276" w:lineRule="auto"/>
    </w:pPr>
  </w:style>
  <w:style w:type="character" w:customStyle="1" w:styleId="BodyTextChar">
    <w:name w:val="Body Text Char"/>
    <w:basedOn w:val="DefaultParagraphFont"/>
    <w:link w:val="BodyText"/>
    <w:uiPriority w:val="99"/>
    <w:semiHidden/>
    <w:rsid w:val="00D4576C"/>
    <w:rPr>
      <w:lang w:val="en-US" w:eastAsia="en-US"/>
    </w:rPr>
  </w:style>
  <w:style w:type="paragraph" w:styleId="List">
    <w:name w:val="List"/>
    <w:basedOn w:val="BodyText"/>
    <w:uiPriority w:val="99"/>
    <w:rsid w:val="00175773"/>
  </w:style>
  <w:style w:type="paragraph" w:styleId="Caption">
    <w:name w:val="caption"/>
    <w:basedOn w:val="Normal"/>
    <w:uiPriority w:val="99"/>
    <w:qFormat/>
    <w:rsid w:val="00175773"/>
    <w:pPr>
      <w:suppressLineNumbers/>
      <w:spacing w:before="120" w:after="120"/>
    </w:pPr>
    <w:rPr>
      <w:i/>
      <w:iCs/>
      <w:sz w:val="24"/>
      <w:szCs w:val="24"/>
    </w:rPr>
  </w:style>
  <w:style w:type="paragraph" w:customStyle="1" w:styleId="Index">
    <w:name w:val="Index"/>
    <w:basedOn w:val="Normal"/>
    <w:uiPriority w:val="99"/>
    <w:rsid w:val="00175773"/>
    <w:pPr>
      <w:suppressLineNumbers/>
    </w:pPr>
  </w:style>
  <w:style w:type="paragraph" w:styleId="ListParagraph">
    <w:name w:val="List Paragraph"/>
    <w:basedOn w:val="Normal"/>
    <w:uiPriority w:val="99"/>
    <w:qFormat/>
    <w:rsid w:val="00175773"/>
    <w:pPr>
      <w:ind w:left="720"/>
      <w:contextualSpacing/>
    </w:pPr>
  </w:style>
  <w:style w:type="paragraph" w:styleId="NoSpacing">
    <w:name w:val="No Spacing"/>
    <w:uiPriority w:val="99"/>
    <w:qFormat/>
    <w:rsid w:val="00175773"/>
    <w:rPr>
      <w:lang w:val="en-US" w:eastAsia="en-US"/>
    </w:rPr>
  </w:style>
  <w:style w:type="paragraph" w:customStyle="1" w:styleId="TableContents">
    <w:name w:val="Table Contents"/>
    <w:basedOn w:val="Normal"/>
    <w:uiPriority w:val="99"/>
    <w:rsid w:val="00175773"/>
    <w:pPr>
      <w:suppressLineNumbers/>
    </w:pPr>
  </w:style>
  <w:style w:type="paragraph" w:customStyle="1" w:styleId="TableHeading">
    <w:name w:val="Table Heading"/>
    <w:basedOn w:val="TableContents"/>
    <w:uiPriority w:val="99"/>
    <w:rsid w:val="00175773"/>
    <w:pPr>
      <w:jc w:val="center"/>
    </w:pPr>
    <w:rPr>
      <w:b/>
      <w:bCs/>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1">
    <w:name w:val="Comment Text Char1"/>
    <w:basedOn w:val="DefaultParagraphFont"/>
    <w:uiPriority w:val="99"/>
    <w:semiHidden/>
    <w:rsid w:val="00D4576C"/>
    <w:rPr>
      <w:sz w:val="20"/>
      <w:szCs w:val="20"/>
      <w:lang w:val="en-US"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1">
    <w:name w:val="Comment Subject Char1"/>
    <w:basedOn w:val="CommentTextChar"/>
    <w:uiPriority w:val="99"/>
    <w:semiHidden/>
    <w:rsid w:val="00D4576C"/>
    <w:rPr>
      <w:rFonts w:cs="Times New Roman"/>
      <w:b/>
      <w:bCs/>
      <w:sz w:val="20"/>
      <w:szCs w:val="20"/>
      <w:lang w:val="en-US" w:eastAsia="en-US"/>
    </w:rPr>
  </w:style>
  <w:style w:type="paragraph" w:styleId="Header">
    <w:name w:val="header"/>
    <w:basedOn w:val="Normal"/>
    <w:link w:val="HeaderChar"/>
    <w:uiPriority w:val="99"/>
    <w:rsid w:val="00175773"/>
    <w:pPr>
      <w:suppressLineNumbers/>
      <w:tabs>
        <w:tab w:val="center" w:pos="7288"/>
        <w:tab w:val="right" w:pos="14577"/>
      </w:tabs>
    </w:pPr>
  </w:style>
  <w:style w:type="character" w:customStyle="1" w:styleId="HeaderChar">
    <w:name w:val="Header Char"/>
    <w:basedOn w:val="DefaultParagraphFont"/>
    <w:link w:val="Header"/>
    <w:uiPriority w:val="99"/>
    <w:semiHidden/>
    <w:rsid w:val="00D4576C"/>
    <w:rPr>
      <w:lang w:val="en-US" w:eastAsia="en-US"/>
    </w:rPr>
  </w:style>
  <w:style w:type="table" w:styleId="TableGrid">
    <w:name w:val="Table Grid"/>
    <w:basedOn w:val="TableNormal"/>
    <w:uiPriority w:val="9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CD6CD6"/>
    <w:rPr>
      <w:rFonts w:ascii="Tahoma" w:hAnsi="Tahoma" w:cs="Tahoma"/>
      <w:sz w:val="16"/>
      <w:szCs w:val="16"/>
    </w:rPr>
  </w:style>
  <w:style w:type="character" w:customStyle="1" w:styleId="BalloonTextChar">
    <w:name w:val="Balloon Text Char"/>
    <w:basedOn w:val="DefaultParagraphFont"/>
    <w:link w:val="BalloonText"/>
    <w:uiPriority w:val="99"/>
    <w:semiHidden/>
    <w:rsid w:val="00D4576C"/>
    <w:rPr>
      <w:rFonts w:ascii="Times New Roman" w:hAnsi="Times New Roman"/>
      <w:sz w:val="0"/>
      <w:szCs w:val="0"/>
      <w:lang w:val="en-US" w:eastAsia="en-US"/>
    </w:rPr>
  </w:style>
  <w:style w:type="character" w:styleId="PageNumber">
    <w:name w:val="page number"/>
    <w:basedOn w:val="DefaultParagraphFont"/>
    <w:uiPriority w:val="99"/>
    <w:rsid w:val="00CD6CD6"/>
    <w:rPr>
      <w:rFonts w:cs="Times New Roman"/>
    </w:rPr>
  </w:style>
  <w:style w:type="paragraph" w:styleId="Revision">
    <w:name w:val="Revision"/>
    <w:hidden/>
    <w:uiPriority w:val="99"/>
    <w:semiHidden/>
    <w:rsid w:val="00A33E34"/>
    <w:rPr>
      <w:lang w:val="en-US" w:eastAsia="en-US"/>
    </w:rPr>
  </w:style>
  <w:style w:type="paragraph" w:styleId="Footer">
    <w:name w:val="footer"/>
    <w:basedOn w:val="Normal"/>
    <w:link w:val="FooterChar"/>
    <w:uiPriority w:val="99"/>
    <w:unhideWhenUsed/>
    <w:rsid w:val="00A33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E3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2401</Words>
  <Characters>17166</Characters>
  <Application>Microsoft Office Word</Application>
  <DocSecurity>0</DocSecurity>
  <Lines>143</Lines>
  <Paragraphs>39</Paragraphs>
  <ScaleCrop>false</ScaleCrop>
  <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PAKARTOTINIO SVEIKATOS DUOMENŲ NAUDOJIMO ĮSTATYMO, LIETUVOS RESPUBLIKOS SVEIKATOS SISTEMOS ĮSTATYMO NR</dc:title>
  <dc:subject/>
  <dc:creator>Simona Cirtautaitė</dc:creator>
  <cp:keywords/>
  <dc:description/>
  <cp:lastModifiedBy>namu.razynka@gmail.com</cp:lastModifiedBy>
  <cp:revision>5</cp:revision>
  <dcterms:created xsi:type="dcterms:W3CDTF">2021-06-25T08:13:00Z</dcterms:created>
  <dcterms:modified xsi:type="dcterms:W3CDTF">2021-06-25T10:10:00Z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