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3CB" w:rsidRPr="00E70674" w:rsidRDefault="00ED02AE" w:rsidP="00E70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Žemės ūkio ministerija</w:t>
      </w:r>
    </w:p>
    <w:p w:rsidR="007643CB" w:rsidRPr="00E70674" w:rsidRDefault="007643CB" w:rsidP="00E70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43CB" w:rsidRPr="00E70674" w:rsidRDefault="007643CB" w:rsidP="007643CB">
      <w:pPr>
        <w:jc w:val="center"/>
        <w:rPr>
          <w:rFonts w:ascii="Times New Roman" w:hAnsi="Times New Roman" w:cs="Times New Roman"/>
          <w:sz w:val="24"/>
          <w:szCs w:val="24"/>
        </w:rPr>
      </w:pPr>
      <w:r w:rsidRPr="00E706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ADMINISTRACINĖS NAŠTOS </w:t>
      </w:r>
      <w:r w:rsidRPr="00E70674">
        <w:rPr>
          <w:rFonts w:ascii="Times New Roman" w:hAnsi="Times New Roman" w:cs="Times New Roman"/>
          <w:b/>
          <w:sz w:val="24"/>
          <w:szCs w:val="24"/>
        </w:rPr>
        <w:t>ŪKIO SUBJEKTAMS</w:t>
      </w:r>
      <w:r w:rsidRPr="00E706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APSKAIČIAVIMO ATASKAITA</w:t>
      </w:r>
    </w:p>
    <w:p w:rsidR="007643CB" w:rsidRPr="00E70674" w:rsidRDefault="000A1B07" w:rsidP="007643CB">
      <w:pPr>
        <w:spacing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</w:t>
      </w:r>
      <w:r w:rsidR="007643CB" w:rsidRPr="00E706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108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643CB" w:rsidRPr="00E70674">
        <w:rPr>
          <w:rFonts w:ascii="Times New Roman" w:hAnsi="Times New Roman" w:cs="Times New Roman"/>
          <w:sz w:val="24"/>
          <w:szCs w:val="24"/>
        </w:rPr>
        <w:t>Nr.__</w:t>
      </w:r>
    </w:p>
    <w:p w:rsidR="007643CB" w:rsidRPr="00E70674" w:rsidRDefault="007643CB" w:rsidP="0061108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8"/>
        <w:gridCol w:w="3108"/>
        <w:gridCol w:w="932"/>
        <w:gridCol w:w="1057"/>
        <w:gridCol w:w="643"/>
        <w:gridCol w:w="607"/>
        <w:gridCol w:w="563"/>
        <w:gridCol w:w="6"/>
        <w:gridCol w:w="714"/>
        <w:gridCol w:w="991"/>
        <w:gridCol w:w="851"/>
        <w:gridCol w:w="994"/>
        <w:gridCol w:w="991"/>
        <w:gridCol w:w="994"/>
        <w:gridCol w:w="1855"/>
      </w:tblGrid>
      <w:tr w:rsidR="00E70674" w:rsidRPr="00E70674" w:rsidTr="00A04E74">
        <w:trPr>
          <w:cantSplit/>
          <w:trHeight w:val="1074"/>
          <w:tblHeader/>
        </w:trPr>
        <w:tc>
          <w:tcPr>
            <w:tcW w:w="21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404595" w:rsidP="0040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Lietuvos Respubl</w:t>
            </w:r>
            <w:r w:rsidR="00E33007">
              <w:rPr>
                <w:rFonts w:ascii="Times New Roman" w:hAnsi="Times New Roman"/>
                <w:sz w:val="24"/>
                <w:szCs w:val="24"/>
              </w:rPr>
              <w:t xml:space="preserve">ikos nesąžiningos prekybos praktikos žemės ūkio ir maisto produktų </w:t>
            </w:r>
            <w:r>
              <w:rPr>
                <w:rFonts w:ascii="Times New Roman" w:hAnsi="Times New Roman"/>
                <w:sz w:val="24"/>
                <w:szCs w:val="24"/>
              </w:rPr>
              <w:t>tiekimo grandinėje draudimo įstatymo projektas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Laikas (valandomis)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 xml:space="preserve">Vidinis tarifas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Pridėtinės išlaidos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 xml:space="preserve">Išorinis tarifas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Vykdymo veiksmo atlikimo dažnis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 xml:space="preserve">Ūkio subjektų skaičius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Kiekio kintamasis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Administracinė našta ūkio subjektams</w:t>
            </w:r>
          </w:p>
        </w:tc>
      </w:tr>
      <w:tr w:rsidR="00E70674" w:rsidRPr="00E70674" w:rsidTr="00A04E74">
        <w:trPr>
          <w:cantSplit/>
          <w:trHeight w:val="20"/>
          <w:tblHeader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eil. Nr.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tiriamas straipsnis (-iai), punktas (-ai)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vykdymo veiksmas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tikslinė grupė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kilmė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E706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v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E706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E706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E706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Q (F x L)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E706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vv</w:t>
            </w: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 xml:space="preserve"> = (C</w:t>
            </w:r>
            <w:r w:rsidRPr="00E706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v</w:t>
            </w: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 xml:space="preserve"> x P x T</w:t>
            </w:r>
            <w:r w:rsidRPr="00E706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v</w:t>
            </w: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 xml:space="preserve"> + C</w:t>
            </w:r>
            <w:r w:rsidRPr="00E706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 xml:space="preserve"> x T</w:t>
            </w:r>
            <w:r w:rsidRPr="00E706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) x Q</w:t>
            </w:r>
          </w:p>
        </w:tc>
      </w:tr>
      <w:tr w:rsidR="00E70674" w:rsidRPr="00E70674" w:rsidTr="00151967">
        <w:trPr>
          <w:cantSplit/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E70674" w:rsidP="0015196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1. Numatomų keisti ir (ar) naikinti galiojančių informacinių įpareigojimų sukeliama administracinė našta (skaičiuojant galiojančių teisės aktų, nustatančių informacinius įpareigojimus, sukeliamą administracinę naštą ūkio subjektams, kai teisės aktai nekeičiami, pildomas tik 1 punktas)</w:t>
            </w:r>
          </w:p>
        </w:tc>
      </w:tr>
      <w:tr w:rsidR="00125F8C" w:rsidRPr="00E70674" w:rsidTr="00A04E7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5F8C" w:rsidRPr="00E70674" w:rsidRDefault="00125F8C" w:rsidP="00125F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5F8C" w:rsidRPr="00125F8C" w:rsidRDefault="00125F8C" w:rsidP="00125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5F8C" w:rsidRPr="00125F8C" w:rsidRDefault="00125F8C" w:rsidP="00125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5F8C" w:rsidRPr="00125F8C" w:rsidRDefault="00125F8C" w:rsidP="00125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5F8C" w:rsidRPr="00125F8C" w:rsidRDefault="00125F8C" w:rsidP="00125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5F8C" w:rsidRPr="00125F8C" w:rsidRDefault="00125F8C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5F8C" w:rsidRPr="00125F8C" w:rsidRDefault="00125F8C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5F8C" w:rsidRPr="00125F8C" w:rsidRDefault="00125F8C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5F8C" w:rsidRPr="00125F8C" w:rsidRDefault="00125F8C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5F8C" w:rsidRPr="00125F8C" w:rsidRDefault="00125F8C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5F8C" w:rsidRPr="00125F8C" w:rsidRDefault="00125F8C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5F8C" w:rsidRPr="00125F8C" w:rsidRDefault="00125F8C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5F8C" w:rsidRPr="00125F8C" w:rsidRDefault="00125F8C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5F8C" w:rsidRPr="00125F8C" w:rsidRDefault="00125F8C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674" w:rsidRPr="00E70674" w:rsidTr="00151967">
        <w:trPr>
          <w:cantSplit/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E70674" w:rsidP="0015196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Teisės akto projekto galima sukelti administracinė našta</w:t>
            </w:r>
          </w:p>
        </w:tc>
      </w:tr>
      <w:tr w:rsidR="00E70674" w:rsidRPr="00E70674" w:rsidTr="00A04E74">
        <w:trPr>
          <w:cantSplit/>
          <w:trHeight w:val="20"/>
        </w:trPr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E70674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C35AF" w:rsidRPr="003C35AF" w:rsidRDefault="003C35AF" w:rsidP="003C35A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 w:rsidRPr="003C35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25 straipsnis. Įstatymo įsigaliojimas ir įgyvendinimas</w:t>
            </w:r>
          </w:p>
          <w:p w:rsidR="00E70674" w:rsidRPr="00404595" w:rsidDel="005C5D40" w:rsidRDefault="003C35AF" w:rsidP="003C35A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</w:pPr>
            <w:r w:rsidRPr="003C35AF"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  <w:t>3. Žemės ūkio ir maisto produktų pirkimo–pardavimo sutartys, sudarytos iki įstatymo paskelbimo, per vien</w:t>
            </w:r>
            <w:r w:rsidR="00525364"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  <w:t>u</w:t>
            </w:r>
            <w:r w:rsidRPr="003C35AF"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  <w:t>s metus nuo įstatymo paskelbimo turi būti peržiūrėtos ir patikslintos bei užtikrinama jų atitiktis šio įstatymo ir jo įgyvendinamųjų teisės aktų nuostatoms.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E70674" w:rsidP="0015196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E70674" w:rsidP="0015196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E70674" w:rsidP="0015196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E70674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E70674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E70674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E70674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E70674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E70674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E70674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E70674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Del="005C5D40" w:rsidRDefault="00E70674" w:rsidP="0015196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674" w:rsidRPr="00E70674" w:rsidTr="0061108B">
        <w:trPr>
          <w:cantSplit/>
          <w:trHeight w:val="1361"/>
        </w:trPr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7B146C" w:rsidP="0061108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A1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E70674" w:rsidP="0061108B">
            <w:pPr>
              <w:spacing w:before="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7B146C" w:rsidP="0061108B">
            <w:pPr>
              <w:spacing w:before="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Sudarytų sutarčių peržiūra ir galimas tikslinimas pagal Įstatymo projekto nuostatas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7B146C" w:rsidP="0061108B">
            <w:pPr>
              <w:spacing w:before="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Žemės ūkio ir maisto produktų tiekėjai (metinė apyvarta iki 350 mln. E</w:t>
            </w:r>
            <w:r w:rsidR="00525364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ir pirkėjai (metinė apyvarta nuo 2 mln. E</w:t>
            </w:r>
            <w:r w:rsidR="00525364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845A64" w:rsidP="0061108B">
            <w:pPr>
              <w:spacing w:before="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D9005D" w:rsidP="0061108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6D6D5E" w:rsidP="0061108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CF08D6" w:rsidP="0061108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7,07 E</w:t>
            </w:r>
            <w:r w:rsidR="0061108B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D9005D" w:rsidP="0061108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CF08D6" w:rsidP="0061108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6D6D5E" w:rsidP="0061108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6D6D5E" w:rsidP="0061108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6D6D5E" w:rsidP="0061108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2633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D9005D" w:rsidRDefault="00D9005D" w:rsidP="0061108B">
            <w:pPr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vv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7,07 x 1,25 x 1 x 2633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23269,14</w:t>
            </w:r>
          </w:p>
        </w:tc>
      </w:tr>
      <w:tr w:rsidR="004A094A" w:rsidRPr="00E70674" w:rsidTr="0061108B">
        <w:trPr>
          <w:cantSplit/>
          <w:trHeight w:val="20"/>
        </w:trPr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094A" w:rsidRPr="00E70674" w:rsidRDefault="004A094A" w:rsidP="006110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094A" w:rsidRPr="00E70674" w:rsidRDefault="004A094A" w:rsidP="006110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094A" w:rsidRPr="00E70674" w:rsidRDefault="004A094A" w:rsidP="006110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094A" w:rsidRDefault="004A094A" w:rsidP="006110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094A" w:rsidRPr="00E70674" w:rsidRDefault="004A094A" w:rsidP="006110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094A" w:rsidRDefault="004A094A" w:rsidP="006110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094A" w:rsidRPr="00E70674" w:rsidRDefault="004A094A" w:rsidP="006110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094A" w:rsidRPr="00E70674" w:rsidRDefault="004A094A" w:rsidP="006110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094A" w:rsidRPr="00E70674" w:rsidRDefault="004A094A" w:rsidP="006110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094A" w:rsidRPr="00E70674" w:rsidRDefault="004A094A" w:rsidP="006110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094A" w:rsidRPr="00E70674" w:rsidRDefault="004A094A" w:rsidP="006110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094A" w:rsidRDefault="004A094A" w:rsidP="006110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094A" w:rsidRDefault="004A094A" w:rsidP="006110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A094A" w:rsidRPr="00D9005D" w:rsidRDefault="00C06C79" w:rsidP="00151967">
            <w:pPr>
              <w:spacing w:before="240"/>
              <w:rPr>
                <w:rStyle w:val="cwcot"/>
                <w:rFonts w:ascii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Style w:val="cwcot"/>
                <w:rFonts w:ascii="Times New Roman" w:hAnsi="Times New Roman" w:cs="Times New Roman"/>
                <w:color w:val="222222"/>
                <w:sz w:val="20"/>
                <w:szCs w:val="20"/>
              </w:rPr>
              <w:t>AN</w:t>
            </w:r>
            <w:r w:rsidRPr="00C06C79">
              <w:rPr>
                <w:rStyle w:val="cwcot"/>
                <w:rFonts w:ascii="Times New Roman" w:hAnsi="Times New Roman" w:cs="Times New Roman"/>
                <w:color w:val="222222"/>
                <w:sz w:val="20"/>
                <w:szCs w:val="20"/>
                <w:vertAlign w:val="subscript"/>
              </w:rPr>
              <w:t>iį</w:t>
            </w:r>
            <w:r w:rsidR="00D9005D">
              <w:rPr>
                <w:rStyle w:val="cwcot"/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 xml:space="preserve"> =</w:t>
            </w:r>
            <w:r w:rsidR="00D9005D">
              <w:rPr>
                <w:rStyle w:val="cwcot"/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23269,14</w:t>
            </w:r>
          </w:p>
        </w:tc>
      </w:tr>
      <w:tr w:rsidR="00E70674" w:rsidRPr="00E70674" w:rsidTr="0061108B">
        <w:trPr>
          <w:cantSplit/>
          <w:trHeight w:val="20"/>
        </w:trPr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61108B">
            <w:pPr>
              <w:spacing w:before="120" w:after="120" w:line="240" w:lineRule="auto"/>
              <w:ind w:firstLine="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61108B">
            <w:pPr>
              <w:spacing w:before="120" w:after="120" w:line="240" w:lineRule="auto"/>
              <w:ind w:firstLine="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61108B">
            <w:pPr>
              <w:spacing w:before="120" w:after="120" w:line="240" w:lineRule="auto"/>
              <w:ind w:firstLine="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61108B">
            <w:pPr>
              <w:spacing w:before="120" w:after="120" w:line="240" w:lineRule="auto"/>
              <w:ind w:firstLine="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6110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61108B">
            <w:pPr>
              <w:spacing w:before="120" w:after="120" w:line="240" w:lineRule="auto"/>
              <w:ind w:firstLine="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6110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61108B">
            <w:pPr>
              <w:spacing w:before="120" w:after="120" w:line="240" w:lineRule="auto"/>
              <w:ind w:firstLine="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6110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6110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61108B">
            <w:pPr>
              <w:spacing w:before="120" w:after="120" w:line="240" w:lineRule="auto"/>
              <w:ind w:firstLine="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61108B">
            <w:pPr>
              <w:spacing w:before="120" w:after="120" w:line="240" w:lineRule="auto"/>
              <w:ind w:firstLine="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61108B">
            <w:pPr>
              <w:spacing w:before="120" w:after="120" w:line="240" w:lineRule="auto"/>
              <w:ind w:firstLine="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D9005D" w:rsidRDefault="00E70674" w:rsidP="00C17A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7AE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E517A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ta</w:t>
            </w:r>
            <w:r w:rsidRPr="00E517A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</w:t>
            </w:r>
            <w:r w:rsidR="00D90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9005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=</w:t>
            </w:r>
            <w:r w:rsidR="00D90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23269,14</w:t>
            </w:r>
          </w:p>
        </w:tc>
      </w:tr>
      <w:tr w:rsidR="00E70674" w:rsidRPr="00E70674" w:rsidTr="0061108B">
        <w:trPr>
          <w:cantSplit/>
          <w:trHeight w:val="106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61108B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b/>
                <w:sz w:val="20"/>
                <w:szCs w:val="20"/>
              </w:rPr>
              <w:t>Teisės akto projekto sukeliamas numatomas administracinės naštos pokytis (</w:t>
            </w:r>
            <w:r w:rsidRPr="00E706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Lietuvos Respublikos piniginiais vienetais</w:t>
            </w:r>
            <w:r w:rsidRPr="00E706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</w:tc>
      </w:tr>
      <w:tr w:rsidR="00E70674" w:rsidRPr="00E70674" w:rsidTr="0061108B">
        <w:trPr>
          <w:cantSplit/>
          <w:trHeight w:val="608"/>
        </w:trPr>
        <w:tc>
          <w:tcPr>
            <w:tcW w:w="437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61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b/>
                <w:sz w:val="20"/>
                <w:szCs w:val="20"/>
              </w:rPr>
              <w:t>AN</w:t>
            </w:r>
            <w:r w:rsidRPr="00E7067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P</w:t>
            </w:r>
            <w:r w:rsidRPr="00E706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= AN</w:t>
            </w:r>
            <w:r w:rsidRPr="00E70674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ta</w:t>
            </w:r>
            <w:r w:rsidRPr="00E7067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</w:t>
            </w:r>
            <w:r w:rsidRPr="00E706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AN</w:t>
            </w:r>
            <w:r w:rsidRPr="00E70674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ta</w:t>
            </w:r>
            <w:r w:rsidRPr="00E7067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G</w:t>
            </w:r>
            <w:r w:rsidRPr="00E706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E70674">
              <w:rPr>
                <w:rFonts w:ascii="Times New Roman" w:hAnsi="Times New Roman" w:cs="Times New Roman"/>
                <w:i/>
                <w:sz w:val="20"/>
                <w:szCs w:val="20"/>
              </w:rPr>
              <w:t>Pastaba. Neigiamas skirtumas rašomas skliaustuose.</w:t>
            </w:r>
            <w:r w:rsidRPr="00E706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404595" w:rsidRDefault="00D9005D" w:rsidP="003D08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23269,14 – 0 </w:t>
            </w:r>
            <w:r w:rsidR="0040459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=</w:t>
            </w:r>
            <w:r w:rsidR="00404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04595" w:rsidRPr="006110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23269,14</w:t>
            </w:r>
          </w:p>
        </w:tc>
      </w:tr>
    </w:tbl>
    <w:p w:rsidR="00E70674" w:rsidRPr="00E70674" w:rsidRDefault="00E70674" w:rsidP="006110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E70674" w:rsidRDefault="00E70674" w:rsidP="006110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1108B" w:rsidRPr="00E70674" w:rsidRDefault="0061108B" w:rsidP="006110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E70674" w:rsidRPr="00E70674" w:rsidRDefault="00E16C61" w:rsidP="0061108B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Ataskaitą užpildė</w:t>
      </w:r>
    </w:p>
    <w:p w:rsidR="007643CB" w:rsidRPr="00E8294F" w:rsidRDefault="00E8294F" w:rsidP="0061108B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Programinio, projektinio valdymo ir analizės skyriaus vyriausiasis specialistas    _________________</w:t>
      </w:r>
      <w:r w:rsidR="0061108B">
        <w:rPr>
          <w:rFonts w:ascii="Times New Roman" w:hAnsi="Times New Roman" w:cs="Times New Roman"/>
          <w:sz w:val="24"/>
          <w:szCs w:val="24"/>
        </w:rPr>
        <w:t xml:space="preserve">__   </w:t>
      </w:r>
      <w:r>
        <w:rPr>
          <w:rFonts w:ascii="Times New Roman" w:hAnsi="Times New Roman" w:cs="Times New Roman"/>
          <w:sz w:val="24"/>
          <w:szCs w:val="24"/>
        </w:rPr>
        <w:t xml:space="preserve"> Nerijus Bitinas</w:t>
      </w:r>
    </w:p>
    <w:sectPr w:rsidR="007643CB" w:rsidRPr="00E8294F" w:rsidSect="005D55F2">
      <w:headerReference w:type="default" r:id="rId7"/>
      <w:pgSz w:w="16838" w:h="11906" w:orient="landscape"/>
      <w:pgMar w:top="1418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2F6" w:rsidRDefault="006022F6" w:rsidP="002D17E8">
      <w:pPr>
        <w:spacing w:after="0" w:line="240" w:lineRule="auto"/>
      </w:pPr>
      <w:r>
        <w:separator/>
      </w:r>
    </w:p>
  </w:endnote>
  <w:endnote w:type="continuationSeparator" w:id="0">
    <w:p w:rsidR="006022F6" w:rsidRDefault="006022F6" w:rsidP="002D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2F6" w:rsidRDefault="006022F6" w:rsidP="002D17E8">
      <w:pPr>
        <w:spacing w:after="0" w:line="240" w:lineRule="auto"/>
      </w:pPr>
      <w:r>
        <w:separator/>
      </w:r>
    </w:p>
  </w:footnote>
  <w:footnote w:type="continuationSeparator" w:id="0">
    <w:p w:rsidR="006022F6" w:rsidRDefault="006022F6" w:rsidP="002D1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4905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D17E8" w:rsidRPr="0061108B" w:rsidRDefault="00314A6E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10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D17E8" w:rsidRPr="006110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10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5A6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110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17E8" w:rsidRDefault="002D17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43CB"/>
    <w:rsid w:val="000A1B07"/>
    <w:rsid w:val="000C1AC5"/>
    <w:rsid w:val="000D3078"/>
    <w:rsid w:val="00100AB3"/>
    <w:rsid w:val="00125F8C"/>
    <w:rsid w:val="0013217F"/>
    <w:rsid w:val="00133069"/>
    <w:rsid w:val="002161A9"/>
    <w:rsid w:val="002362C1"/>
    <w:rsid w:val="002D17E8"/>
    <w:rsid w:val="002D4144"/>
    <w:rsid w:val="00314A6E"/>
    <w:rsid w:val="003C35AF"/>
    <w:rsid w:val="003D08FC"/>
    <w:rsid w:val="003E3CF0"/>
    <w:rsid w:val="00404595"/>
    <w:rsid w:val="004A094A"/>
    <w:rsid w:val="004A4C21"/>
    <w:rsid w:val="004F205C"/>
    <w:rsid w:val="004F5792"/>
    <w:rsid w:val="004F75BF"/>
    <w:rsid w:val="00525364"/>
    <w:rsid w:val="005337F3"/>
    <w:rsid w:val="005474CA"/>
    <w:rsid w:val="00554D98"/>
    <w:rsid w:val="00573A02"/>
    <w:rsid w:val="00582A54"/>
    <w:rsid w:val="005943E7"/>
    <w:rsid w:val="005D55F2"/>
    <w:rsid w:val="006022F6"/>
    <w:rsid w:val="0061108B"/>
    <w:rsid w:val="006303DC"/>
    <w:rsid w:val="00637EEC"/>
    <w:rsid w:val="00652606"/>
    <w:rsid w:val="006D6D5E"/>
    <w:rsid w:val="00711271"/>
    <w:rsid w:val="00725C25"/>
    <w:rsid w:val="00732951"/>
    <w:rsid w:val="00736D99"/>
    <w:rsid w:val="007501FF"/>
    <w:rsid w:val="007643CB"/>
    <w:rsid w:val="0077360C"/>
    <w:rsid w:val="0079249D"/>
    <w:rsid w:val="007B146C"/>
    <w:rsid w:val="008047DC"/>
    <w:rsid w:val="00845A64"/>
    <w:rsid w:val="00886843"/>
    <w:rsid w:val="008A60C8"/>
    <w:rsid w:val="008B4D25"/>
    <w:rsid w:val="00967664"/>
    <w:rsid w:val="0099242E"/>
    <w:rsid w:val="009C2DAD"/>
    <w:rsid w:val="00A04E74"/>
    <w:rsid w:val="00A23E7B"/>
    <w:rsid w:val="00A70BFF"/>
    <w:rsid w:val="00AF16CC"/>
    <w:rsid w:val="00B0329D"/>
    <w:rsid w:val="00B2685B"/>
    <w:rsid w:val="00B32276"/>
    <w:rsid w:val="00B471CC"/>
    <w:rsid w:val="00B930CC"/>
    <w:rsid w:val="00C06C79"/>
    <w:rsid w:val="00C17AAB"/>
    <w:rsid w:val="00C17EBD"/>
    <w:rsid w:val="00C72891"/>
    <w:rsid w:val="00CA2D60"/>
    <w:rsid w:val="00CA7878"/>
    <w:rsid w:val="00CF08D6"/>
    <w:rsid w:val="00D30220"/>
    <w:rsid w:val="00D405B1"/>
    <w:rsid w:val="00D9005D"/>
    <w:rsid w:val="00E16C61"/>
    <w:rsid w:val="00E33007"/>
    <w:rsid w:val="00E36D21"/>
    <w:rsid w:val="00E517AE"/>
    <w:rsid w:val="00E70674"/>
    <w:rsid w:val="00E8294F"/>
    <w:rsid w:val="00E913E7"/>
    <w:rsid w:val="00ED02AE"/>
    <w:rsid w:val="00F02A5B"/>
    <w:rsid w:val="00F57A83"/>
    <w:rsid w:val="00F6311A"/>
    <w:rsid w:val="00F64C05"/>
    <w:rsid w:val="00FB14A0"/>
    <w:rsid w:val="00F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4E564"/>
  <w15:docId w15:val="{7733413E-D6C5-4393-889D-9EA3ED12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14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wcot">
    <w:name w:val="cwcot"/>
    <w:basedOn w:val="DefaultParagraphFont"/>
    <w:rsid w:val="00E70674"/>
  </w:style>
  <w:style w:type="paragraph" w:styleId="Header">
    <w:name w:val="header"/>
    <w:basedOn w:val="Normal"/>
    <w:link w:val="HeaderChar"/>
    <w:uiPriority w:val="99"/>
    <w:unhideWhenUsed/>
    <w:rsid w:val="002D1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7E8"/>
  </w:style>
  <w:style w:type="paragraph" w:styleId="Footer">
    <w:name w:val="footer"/>
    <w:basedOn w:val="Normal"/>
    <w:link w:val="FooterChar"/>
    <w:uiPriority w:val="99"/>
    <w:unhideWhenUsed/>
    <w:rsid w:val="002D1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7E8"/>
  </w:style>
  <w:style w:type="paragraph" w:styleId="BalloonText">
    <w:name w:val="Balloon Text"/>
    <w:basedOn w:val="Normal"/>
    <w:link w:val="BalloonTextChar"/>
    <w:uiPriority w:val="99"/>
    <w:semiHidden/>
    <w:unhideWhenUsed/>
    <w:rsid w:val="00992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42E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rsid w:val="002D4144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D4144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9F281-4BD8-4741-9D5D-9B942FD6B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1264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k.klovaite</dc:creator>
  <cp:lastModifiedBy>Nerijus Bitinas</cp:lastModifiedBy>
  <cp:revision>7</cp:revision>
  <cp:lastPrinted>2019-11-22T10:52:00Z</cp:lastPrinted>
  <dcterms:created xsi:type="dcterms:W3CDTF">2020-03-04T09:59:00Z</dcterms:created>
  <dcterms:modified xsi:type="dcterms:W3CDTF">2020-04-01T09:37:00Z</dcterms:modified>
</cp:coreProperties>
</file>