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DCD5" w14:textId="77777777" w:rsidR="00F75338" w:rsidRPr="001A2227" w:rsidRDefault="00F75338" w:rsidP="00F75338">
      <w:pPr>
        <w:rPr>
          <w:b/>
          <w:color w:val="000000"/>
          <w:sz w:val="22"/>
          <w:szCs w:val="22"/>
        </w:rPr>
      </w:pPr>
    </w:p>
    <w:p w14:paraId="77639FC2" w14:textId="4BD00A0F" w:rsidR="00F75338" w:rsidRPr="001A2227" w:rsidRDefault="00F75338" w:rsidP="00F75338">
      <w:pPr>
        <w:jc w:val="center"/>
        <w:rPr>
          <w:b/>
          <w:color w:val="000000"/>
          <w:sz w:val="22"/>
          <w:szCs w:val="22"/>
        </w:rPr>
      </w:pPr>
      <w:r w:rsidRPr="001A2227">
        <w:rPr>
          <w:b/>
          <w:color w:val="000000"/>
          <w:sz w:val="22"/>
          <w:szCs w:val="22"/>
        </w:rPr>
        <w:t>NUMATOMO TEISINIO REGULIAVIMO POVEIKIO VERTINIMO PAŽYM</w:t>
      </w:r>
      <w:r w:rsidR="000A5FF3">
        <w:rPr>
          <w:b/>
          <w:color w:val="000000"/>
          <w:sz w:val="22"/>
          <w:szCs w:val="22"/>
        </w:rPr>
        <w:t>A</w:t>
      </w:r>
    </w:p>
    <w:p w14:paraId="43F4C126" w14:textId="77777777" w:rsidR="00F75338" w:rsidRPr="0082621D" w:rsidRDefault="00F75338" w:rsidP="00F75338">
      <w:pPr>
        <w:rPr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F75338" w:rsidRPr="001A2227" w14:paraId="1DE7EA55" w14:textId="77777777" w:rsidTr="000A5D46">
        <w:tc>
          <w:tcPr>
            <w:tcW w:w="2235" w:type="dxa"/>
            <w:shd w:val="clear" w:color="auto" w:fill="DBE5F1"/>
            <w:hideMark/>
          </w:tcPr>
          <w:p w14:paraId="1FA2A965" w14:textId="77777777" w:rsidR="00F75338" w:rsidRPr="001A2227" w:rsidRDefault="00F75338" w:rsidP="000A5D46">
            <w:pPr>
              <w:rPr>
                <w:sz w:val="22"/>
                <w:szCs w:val="22"/>
                <w:shd w:val="clear" w:color="auto" w:fill="DBE5F1"/>
              </w:rPr>
            </w:pPr>
            <w:r w:rsidRPr="001A2227">
              <w:rPr>
                <w:b/>
                <w:sz w:val="22"/>
                <w:szCs w:val="22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14:paraId="3E495252" w14:textId="34BF2DB2" w:rsidR="00F75338" w:rsidRPr="007A26A9" w:rsidRDefault="007A26A9" w:rsidP="007A26A9">
            <w:pPr>
              <w:jc w:val="both"/>
            </w:pPr>
            <w:r>
              <w:t>L</w:t>
            </w:r>
            <w:r w:rsidR="00CD2F91">
              <w:t>ietuvos Respublikos elektros energetikos įstatymo Nr. VIII-1881 2, 9, 34, 43, 44, 45, 46, 46</w:t>
            </w:r>
            <w:r w:rsidR="00CD2F91" w:rsidRPr="009502D0">
              <w:rPr>
                <w:vertAlign w:val="superscript"/>
              </w:rPr>
              <w:t>1</w:t>
            </w:r>
            <w:r w:rsidR="00CD2F91">
              <w:t>,</w:t>
            </w:r>
            <w:r w:rsidR="00120EB0">
              <w:t xml:space="preserve"> </w:t>
            </w:r>
            <w:r w:rsidR="00CD2F91">
              <w:t xml:space="preserve">47, 49, 51, 52 ir 60 straipsnių pakeitimo ir </w:t>
            </w:r>
            <w:r w:rsidR="00120EB0">
              <w:t>Į</w:t>
            </w:r>
            <w:r w:rsidR="00CD2F91">
              <w:t>statymo papildymo 46</w:t>
            </w:r>
            <w:r w:rsidR="00CD2F91" w:rsidRPr="00CD2F91">
              <w:rPr>
                <w:vertAlign w:val="superscript"/>
              </w:rPr>
              <w:t>2</w:t>
            </w:r>
            <w:r w:rsidR="00CD2F91">
              <w:t xml:space="preserve"> ir 52</w:t>
            </w:r>
            <w:r w:rsidR="00CD2F91" w:rsidRPr="00CD2F91">
              <w:rPr>
                <w:vertAlign w:val="superscript"/>
              </w:rPr>
              <w:t>1</w:t>
            </w:r>
            <w:r w:rsidR="00CD2F91">
              <w:t xml:space="preserve"> straipsniais įstatym</w:t>
            </w:r>
            <w:r w:rsidR="008226D0">
              <w:t>o projektas</w:t>
            </w:r>
            <w:r w:rsidR="00CD2F91">
              <w:t xml:space="preserve"> </w:t>
            </w:r>
            <w:r w:rsidR="00CA4BE3" w:rsidRPr="008570F3">
              <w:t>(toliau</w:t>
            </w:r>
            <w:r>
              <w:t xml:space="preserve"> </w:t>
            </w:r>
            <w:r w:rsidR="00CA4BE3" w:rsidRPr="008570F3">
              <w:t>– Įstatym</w:t>
            </w:r>
            <w:r>
              <w:t>o</w:t>
            </w:r>
            <w:r w:rsidR="00CA4BE3" w:rsidRPr="008570F3">
              <w:t xml:space="preserve"> projekta</w:t>
            </w:r>
            <w:r>
              <w:t>s</w:t>
            </w:r>
            <w:r w:rsidR="00CA4BE3" w:rsidRPr="008570F3">
              <w:t>)</w:t>
            </w:r>
          </w:p>
        </w:tc>
      </w:tr>
    </w:tbl>
    <w:p w14:paraId="651590D9" w14:textId="77777777" w:rsidR="00F75338" w:rsidRPr="001A2227" w:rsidRDefault="00F75338" w:rsidP="00F75338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F75338" w:rsidRPr="001A2227" w14:paraId="544411E7" w14:textId="77777777" w:rsidTr="000A5D46">
        <w:tc>
          <w:tcPr>
            <w:tcW w:w="2235" w:type="dxa"/>
            <w:shd w:val="clear" w:color="auto" w:fill="DBE5F1"/>
            <w:hideMark/>
          </w:tcPr>
          <w:p w14:paraId="0762CA19" w14:textId="77777777" w:rsidR="00F75338" w:rsidRPr="001A2227" w:rsidRDefault="00F75338" w:rsidP="000A5D46">
            <w:pPr>
              <w:rPr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73EFDED2" w14:textId="5C01657C" w:rsidR="00F75338" w:rsidRPr="001A2227" w:rsidRDefault="009A002A" w:rsidP="000A5D46">
            <w:pPr>
              <w:jc w:val="both"/>
              <w:rPr>
                <w:b/>
                <w:sz w:val="22"/>
                <w:szCs w:val="22"/>
              </w:rPr>
            </w:pPr>
            <w:r w:rsidRPr="00AD3937">
              <w:rPr>
                <w:szCs w:val="24"/>
              </w:rPr>
              <w:t>Lietuvos Respublikos energetikos ministerija</w:t>
            </w:r>
          </w:p>
        </w:tc>
      </w:tr>
    </w:tbl>
    <w:p w14:paraId="526FAF3F" w14:textId="77777777" w:rsidR="00F75338" w:rsidRPr="001A2227" w:rsidRDefault="00F75338" w:rsidP="00F75338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F75338" w:rsidRPr="001A2227" w14:paraId="5CB4DFC6" w14:textId="77777777" w:rsidTr="000A5D46">
        <w:tc>
          <w:tcPr>
            <w:tcW w:w="2235" w:type="dxa"/>
            <w:shd w:val="clear" w:color="auto" w:fill="DBE5F1"/>
            <w:hideMark/>
          </w:tcPr>
          <w:p w14:paraId="21A2E60C" w14:textId="77777777" w:rsidR="00F75338" w:rsidRPr="001A2227" w:rsidRDefault="00F75338" w:rsidP="000A5D46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14:paraId="01600BE4" w14:textId="3A387567" w:rsidR="00522325" w:rsidRPr="001162DF" w:rsidRDefault="00AC31E6" w:rsidP="00BF355A">
            <w:pPr>
              <w:pStyle w:val="Style32"/>
              <w:tabs>
                <w:tab w:val="left" w:pos="0"/>
              </w:tabs>
              <w:ind w:firstLine="0"/>
            </w:pPr>
            <w:r>
              <w:rPr>
                <w:bCs/>
              </w:rPr>
              <w:t>Į</w:t>
            </w:r>
            <w:r w:rsidR="00C73495" w:rsidRPr="00E5609F">
              <w:rPr>
                <w:bCs/>
              </w:rPr>
              <w:t>statym</w:t>
            </w:r>
            <w:r w:rsidR="00BF355A">
              <w:rPr>
                <w:bCs/>
              </w:rPr>
              <w:t>o</w:t>
            </w:r>
            <w:r w:rsidR="00C73495" w:rsidRPr="00E5609F">
              <w:rPr>
                <w:bCs/>
              </w:rPr>
              <w:t xml:space="preserve"> </w:t>
            </w:r>
            <w:r w:rsidR="00C73495" w:rsidRPr="00923C52">
              <w:rPr>
                <w:bCs/>
              </w:rPr>
              <w:t>p</w:t>
            </w:r>
            <w:r w:rsidR="00C73495" w:rsidRPr="00923C52">
              <w:t>rojekt</w:t>
            </w:r>
            <w:r w:rsidR="00CD2F91">
              <w:t>u</w:t>
            </w:r>
            <w:r w:rsidR="00C73495" w:rsidRPr="00923C52">
              <w:t xml:space="preserve"> </w:t>
            </w:r>
            <w:r w:rsidR="00C73495" w:rsidRPr="007310A0">
              <w:t xml:space="preserve">siekiama </w:t>
            </w:r>
            <w:r w:rsidR="00BF355A">
              <w:t>užtikrinti tolimesnę šiuo metu jau vykstančio mažmeninės elektros energijos tiekimo namų ūkiams rinkos liberalizavimo proceso sklaidą</w:t>
            </w:r>
            <w:r w:rsidR="00A76398" w:rsidRPr="00A76398">
              <w:t xml:space="preserve"> ir atitinkamai į nacionalinę teisę perkelti reikiamas su tuo susijusias 2019 m. birželio 5 d. Europos Parlamento ir Tarybos direktyvos (ES) 2019/944 dėl elektros energijos vidaus rinkos bendrųjų taisyklių, kuria iš dalies keičiama Direktyva 2012/27/ES (toliau – Direktyva)</w:t>
            </w:r>
            <w:r w:rsidR="00630610">
              <w:t>, nuostatas</w:t>
            </w:r>
            <w:r w:rsidR="001162DF">
              <w:t xml:space="preserve">. </w:t>
            </w:r>
            <w:r w:rsidR="00C92B21">
              <w:t xml:space="preserve">Siekiama įtvirtinti </w:t>
            </w:r>
            <w:r w:rsidR="00522325" w:rsidRPr="00522325">
              <w:rPr>
                <w:bCs/>
              </w:rPr>
              <w:t>Direktyvos nuostatas dėl teisės sudaryti kintamosios elektros energijos kainos sutartį;</w:t>
            </w:r>
            <w:r w:rsidR="001162DF">
              <w:rPr>
                <w:bCs/>
              </w:rPr>
              <w:t xml:space="preserve"> </w:t>
            </w:r>
            <w:r w:rsidR="00522325" w:rsidRPr="00522325">
              <w:rPr>
                <w:bCs/>
              </w:rPr>
              <w:t xml:space="preserve">sudaryti teisines prielaidas ir sąlygas buitiniams vartotojams ir </w:t>
            </w:r>
            <w:r w:rsidR="00D9002E">
              <w:rPr>
                <w:bCs/>
              </w:rPr>
              <w:t xml:space="preserve">labai </w:t>
            </w:r>
            <w:r w:rsidR="00522325" w:rsidRPr="00522325">
              <w:rPr>
                <w:bCs/>
              </w:rPr>
              <w:t xml:space="preserve">mažoms įmonėms </w:t>
            </w:r>
            <w:r w:rsidR="00D9002E">
              <w:rPr>
                <w:bCs/>
              </w:rPr>
              <w:t>neatlygintinai</w:t>
            </w:r>
            <w:r w:rsidR="00F130BC">
              <w:rPr>
                <w:bCs/>
              </w:rPr>
              <w:t xml:space="preserve"> </w:t>
            </w:r>
            <w:r w:rsidR="00522325" w:rsidRPr="00522325">
              <w:rPr>
                <w:bCs/>
              </w:rPr>
              <w:t xml:space="preserve">naudotis </w:t>
            </w:r>
            <w:r w:rsidR="00F130BC">
              <w:rPr>
                <w:bCs/>
              </w:rPr>
              <w:t>nepriklausomų</w:t>
            </w:r>
            <w:r w:rsidR="00522325" w:rsidRPr="00522325">
              <w:rPr>
                <w:bCs/>
              </w:rPr>
              <w:t xml:space="preserve"> tiekėjų pasiūlymų palyginimo priemone</w:t>
            </w:r>
            <w:r w:rsidR="001162DF">
              <w:rPr>
                <w:bCs/>
              </w:rPr>
              <w:t>.</w:t>
            </w:r>
          </w:p>
        </w:tc>
      </w:tr>
    </w:tbl>
    <w:p w14:paraId="21F9A6BE" w14:textId="77777777" w:rsidR="00F75338" w:rsidRPr="001A2227" w:rsidRDefault="00F75338" w:rsidP="00F75338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8"/>
        <w:gridCol w:w="7230"/>
      </w:tblGrid>
      <w:tr w:rsidR="00F75338" w:rsidRPr="001A2227" w14:paraId="0A20B8C5" w14:textId="77777777" w:rsidTr="001F2B40">
        <w:trPr>
          <w:trHeight w:val="415"/>
        </w:trPr>
        <w:tc>
          <w:tcPr>
            <w:tcW w:w="2268" w:type="dxa"/>
            <w:shd w:val="clear" w:color="auto" w:fill="DBE5F1"/>
          </w:tcPr>
          <w:p w14:paraId="017E96FA" w14:textId="77777777" w:rsidR="00F75338" w:rsidRPr="001A2227" w:rsidRDefault="00F75338" w:rsidP="000A5D46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DBE5F1"/>
            <w:hideMark/>
          </w:tcPr>
          <w:p w14:paraId="7072A106" w14:textId="77777777" w:rsidR="00F75338" w:rsidRPr="001A2227" w:rsidRDefault="00F75338" w:rsidP="000A5D46">
            <w:pPr>
              <w:jc w:val="center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Siūlomo projekto poveikio įvertinimas </w:t>
            </w:r>
          </w:p>
          <w:p w14:paraId="789869D3" w14:textId="77777777" w:rsidR="00F75338" w:rsidRPr="001A2227" w:rsidRDefault="00F75338" w:rsidP="000A5D46">
            <w:pPr>
              <w:jc w:val="center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(</w:t>
            </w:r>
            <w:r w:rsidRPr="001A2227">
              <w:rPr>
                <w:b/>
                <w:bCs/>
                <w:sz w:val="22"/>
                <w:szCs w:val="22"/>
              </w:rPr>
              <w:t>teigiamos ir (ar) neigiamos pasekmės)*</w:t>
            </w:r>
          </w:p>
        </w:tc>
      </w:tr>
    </w:tbl>
    <w:p w14:paraId="245D0D73" w14:textId="77777777" w:rsidR="00F75338" w:rsidRPr="001A2227" w:rsidRDefault="00F75338" w:rsidP="00F75338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263"/>
      </w:tblGrid>
      <w:tr w:rsidR="00F75338" w:rsidRPr="001A2227" w14:paraId="32E243F8" w14:textId="77777777" w:rsidTr="00837126">
        <w:tc>
          <w:tcPr>
            <w:tcW w:w="2235" w:type="dxa"/>
            <w:shd w:val="clear" w:color="auto" w:fill="DBE5F1"/>
          </w:tcPr>
          <w:p w14:paraId="20D9AAE1" w14:textId="77777777" w:rsidR="00F75338" w:rsidRPr="001A2227" w:rsidRDefault="00F75338" w:rsidP="000A5D46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atitinkamai </w:t>
            </w:r>
          </w:p>
          <w:p w14:paraId="597D32C2" w14:textId="77777777" w:rsidR="00F75338" w:rsidRPr="001A2227" w:rsidRDefault="00F75338" w:rsidP="000A5D46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sričiai</w:t>
            </w:r>
          </w:p>
        </w:tc>
        <w:tc>
          <w:tcPr>
            <w:tcW w:w="7263" w:type="dxa"/>
          </w:tcPr>
          <w:p w14:paraId="42B425D9" w14:textId="344765F8" w:rsidR="001123FB" w:rsidRPr="00AD3937" w:rsidRDefault="001123FB" w:rsidP="001123FB">
            <w:pPr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Sritis: elektros energetikos sektori</w:t>
            </w:r>
            <w:r w:rsidR="00E77409">
              <w:rPr>
                <w:szCs w:val="24"/>
              </w:rPr>
              <w:t>us</w:t>
            </w:r>
            <w:r w:rsidR="002A3591">
              <w:rPr>
                <w:szCs w:val="24"/>
              </w:rPr>
              <w:t>.</w:t>
            </w:r>
          </w:p>
          <w:p w14:paraId="052D0AC7" w14:textId="2285DAAF" w:rsidR="00BB46DE" w:rsidRDefault="00BB46DE" w:rsidP="00BB46DE">
            <w:pPr>
              <w:pStyle w:val="Style32"/>
              <w:tabs>
                <w:tab w:val="left" w:pos="720"/>
              </w:tabs>
              <w:ind w:firstLine="0"/>
            </w:pPr>
            <w:r>
              <w:t>Įsigaliojus įstatymui ir užtikrinus jo tinkamą įgyvendinimą, vadovaujantis įstatymų ir jų įgyvendinamųjų teisės aktų reikalavimais, bus pasiektos šios naudos:</w:t>
            </w:r>
          </w:p>
          <w:p w14:paraId="25FCF8E3" w14:textId="77777777" w:rsidR="009E37EC" w:rsidRDefault="00933D46" w:rsidP="00D7479A">
            <w:pPr>
              <w:pStyle w:val="Style32"/>
              <w:tabs>
                <w:tab w:val="left" w:pos="720"/>
              </w:tabs>
              <w:ind w:firstLine="0"/>
            </w:pPr>
            <w:r>
              <w:t>- bus užtikrintas energetikos sektoriaus tolesnis vystymasis ir didesnis Lietuvos Respublikos elektros energijos rinkos konkurencingumas, dar intensyvesnė konkurencija tarp elektros energijos nepriklausomų tiekėjų ir daugiau vartotojų galės pasirinkti nepriklausomą tiekėją</w:t>
            </w:r>
            <w:r w:rsidR="00D7479A">
              <w:t>;</w:t>
            </w:r>
          </w:p>
          <w:p w14:paraId="06B475BD" w14:textId="77777777" w:rsidR="00E77CFD" w:rsidRDefault="009E37EC" w:rsidP="009E37EC">
            <w:pPr>
              <w:pStyle w:val="Style32"/>
              <w:tabs>
                <w:tab w:val="left" w:pos="720"/>
              </w:tabs>
              <w:ind w:firstLine="0"/>
            </w:pPr>
            <w:r>
              <w:t xml:space="preserve">- </w:t>
            </w:r>
            <w:r w:rsidR="00D7479A">
              <w:t xml:space="preserve">galimybės nepriklausomiems tiekėjams įgyti </w:t>
            </w:r>
            <w:r>
              <w:t xml:space="preserve">naujų </w:t>
            </w:r>
            <w:r w:rsidR="00D7479A">
              <w:t>klientų, jų tarpusavio santykius reglamentuojant grynai rinkos dėsniams</w:t>
            </w:r>
            <w:r>
              <w:t>;</w:t>
            </w:r>
          </w:p>
          <w:p w14:paraId="33111F15" w14:textId="57924B09" w:rsidR="00F75338" w:rsidRPr="002A3591" w:rsidRDefault="00E77CFD" w:rsidP="009E37EC">
            <w:pPr>
              <w:pStyle w:val="Style32"/>
              <w:tabs>
                <w:tab w:val="left" w:pos="720"/>
              </w:tabs>
              <w:ind w:firstLine="0"/>
            </w:pPr>
            <w:r>
              <w:t xml:space="preserve">- </w:t>
            </w:r>
            <w:r w:rsidR="00BB46DE">
              <w:t>užtikrinta Lietuvos Respublikos nacionalinių teisės aktų atitiktis atitinkamoms Direktyvos nuostatoms, susijusioms su elektros rinkos liberalizavimu</w:t>
            </w:r>
            <w:r w:rsidR="009E37EC">
              <w:t>.</w:t>
            </w:r>
          </w:p>
        </w:tc>
      </w:tr>
    </w:tbl>
    <w:p w14:paraId="2D5644AE" w14:textId="77777777" w:rsidR="00F75338" w:rsidRPr="001A2227" w:rsidRDefault="00F75338" w:rsidP="00F75338">
      <w:pPr>
        <w:rPr>
          <w:sz w:val="22"/>
          <w:szCs w:val="22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2235"/>
        <w:gridCol w:w="7263"/>
      </w:tblGrid>
      <w:tr w:rsidR="00F75338" w:rsidRPr="001A2227" w14:paraId="6F30D83A" w14:textId="77777777" w:rsidTr="00837126">
        <w:tc>
          <w:tcPr>
            <w:tcW w:w="2235" w:type="dxa"/>
            <w:shd w:val="clear" w:color="auto" w:fill="DBE5F1"/>
            <w:hideMark/>
          </w:tcPr>
          <w:p w14:paraId="61959AE7" w14:textId="77777777" w:rsidR="00F75338" w:rsidRPr="001A2227" w:rsidRDefault="00F75338" w:rsidP="000A5D46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</w:t>
            </w:r>
          </w:p>
          <w:p w14:paraId="43648C00" w14:textId="77777777" w:rsidR="00F75338" w:rsidRPr="001A2227" w:rsidRDefault="00F75338" w:rsidP="000A5D46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valstybės finansams</w:t>
            </w:r>
          </w:p>
        </w:tc>
        <w:tc>
          <w:tcPr>
            <w:tcW w:w="7263" w:type="dxa"/>
            <w:hideMark/>
          </w:tcPr>
          <w:p w14:paraId="035BAE0D" w14:textId="27B25AD6" w:rsidR="00E827FF" w:rsidRPr="00DE1E63" w:rsidRDefault="00D75B20" w:rsidP="00973C76">
            <w:pPr>
              <w:jc w:val="both"/>
              <w:rPr>
                <w:rFonts w:eastAsiaTheme="majorEastAsia"/>
              </w:rPr>
            </w:pPr>
            <w:r w:rsidRPr="00CA6D4D">
              <w:rPr>
                <w:color w:val="000000"/>
              </w:rPr>
              <w:t>Įstatym</w:t>
            </w:r>
            <w:r w:rsidR="00117DCC">
              <w:rPr>
                <w:color w:val="000000"/>
              </w:rPr>
              <w:t>o</w:t>
            </w:r>
            <w:r w:rsidRPr="00CA6D4D">
              <w:rPr>
                <w:color w:val="000000"/>
              </w:rPr>
              <w:t xml:space="preserve"> projekt</w:t>
            </w:r>
            <w:r w:rsidR="00117DCC">
              <w:rPr>
                <w:color w:val="000000"/>
              </w:rPr>
              <w:t>as</w:t>
            </w:r>
            <w:r>
              <w:rPr>
                <w:color w:val="000000"/>
              </w:rPr>
              <w:t xml:space="preserve"> </w:t>
            </w:r>
            <w:r w:rsidR="00117DCC">
              <w:rPr>
                <w:color w:val="000000"/>
              </w:rPr>
              <w:t>neturės poveikio valstybės finansams</w:t>
            </w:r>
            <w:r w:rsidR="00576C08">
              <w:rPr>
                <w:color w:val="000000"/>
              </w:rPr>
              <w:t>.</w:t>
            </w:r>
          </w:p>
        </w:tc>
      </w:tr>
    </w:tbl>
    <w:p w14:paraId="3FE4090E" w14:textId="56B41695" w:rsidR="00F75338" w:rsidRDefault="00F75338" w:rsidP="00F7533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230"/>
      </w:tblGrid>
      <w:tr w:rsidR="004D069A" w:rsidRPr="00AD3937" w14:paraId="5A1A25AC" w14:textId="77777777" w:rsidTr="0051757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259A691B" w14:textId="77777777" w:rsidR="004D069A" w:rsidRPr="00AD3937" w:rsidRDefault="004D069A" w:rsidP="000A5D46">
            <w:pPr>
              <w:shd w:val="clear" w:color="auto" w:fill="DBE5F1"/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 xml:space="preserve">Poveikis </w:t>
            </w:r>
            <w:r>
              <w:rPr>
                <w:b/>
                <w:szCs w:val="24"/>
              </w:rPr>
              <w:t>ekonomikai (konkurencijos sąlygoms)</w:t>
            </w:r>
          </w:p>
          <w:p w14:paraId="2FBF009C" w14:textId="77777777" w:rsidR="004D069A" w:rsidRPr="00AD3937" w:rsidRDefault="004D069A" w:rsidP="000A5D46">
            <w:pPr>
              <w:rPr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029AD" w14:textId="38B2398F" w:rsidR="004D069A" w:rsidRDefault="0039378D" w:rsidP="005727B4">
            <w:pPr>
              <w:pStyle w:val="Style32"/>
              <w:tabs>
                <w:tab w:val="left" w:pos="720"/>
              </w:tabs>
              <w:ind w:firstLine="0"/>
            </w:pPr>
            <w:r w:rsidRPr="0035056B">
              <w:t xml:space="preserve">Įsigaliojus </w:t>
            </w:r>
            <w:r w:rsidR="005727B4">
              <w:t>įstatymui</w:t>
            </w:r>
            <w:r w:rsidR="002B56B6">
              <w:t>,</w:t>
            </w:r>
            <w:r w:rsidRPr="0035056B">
              <w:t xml:space="preserve"> </w:t>
            </w:r>
            <w:r w:rsidR="005727B4" w:rsidRPr="005727B4">
              <w:t>bus užtikrintas energetikos sektoriaus tolesnis vystymasis ir didesnis Lietuvos Respublikos elektros energijos rinkos konkurencingumas, dar intensyvesnė konkurencija tarp elektros energijos nepriklausomų tiekėjų ir daugiau vartotojų galės pasirinkti nepriklausomą tiekėją.</w:t>
            </w:r>
            <w:r w:rsidR="00BE7D07">
              <w:t xml:space="preserve"> Nepriklausomų tiekėjų </w:t>
            </w:r>
            <w:r w:rsidR="00B725A3">
              <w:t xml:space="preserve">pasiūlymų </w:t>
            </w:r>
            <w:r w:rsidR="00BE7D07">
              <w:t>palyginimo priemonė</w:t>
            </w:r>
            <w:r w:rsidR="003261CD">
              <w:t xml:space="preserve"> taip pat:</w:t>
            </w:r>
          </w:p>
          <w:p w14:paraId="16D8B184" w14:textId="1F4D8758" w:rsidR="003261CD" w:rsidRPr="003261CD" w:rsidRDefault="00BE7D07" w:rsidP="003261CD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color w:val="000000"/>
              </w:rPr>
            </w:pPr>
            <w:r w:rsidRPr="006B7BA1">
              <w:t xml:space="preserve">sudarys sąlygas vartotojams </w:t>
            </w:r>
            <w:r w:rsidR="00B725A3">
              <w:t>neatlygintinai</w:t>
            </w:r>
            <w:r w:rsidRPr="006B7BA1">
              <w:t xml:space="preserve"> ir objektyviai palyginti </w:t>
            </w:r>
            <w:r w:rsidR="00B725A3">
              <w:t xml:space="preserve">nepriklausomų </w:t>
            </w:r>
            <w:r w:rsidRPr="006B7BA1">
              <w:t>tiekėjų pasiūlymus ir išsirinkti</w:t>
            </w:r>
            <w:r w:rsidRPr="006B7BA1">
              <w:rPr>
                <w:rStyle w:val="normaltextrun"/>
                <w:color w:val="000000"/>
              </w:rPr>
              <w:t xml:space="preserve"> pigiausią </w:t>
            </w:r>
            <w:r w:rsidR="00353DBC">
              <w:rPr>
                <w:rStyle w:val="normaltextrun"/>
                <w:color w:val="000000"/>
              </w:rPr>
              <w:t xml:space="preserve">ir geriausią </w:t>
            </w:r>
            <w:r w:rsidRPr="006B7BA1">
              <w:rPr>
                <w:rStyle w:val="normaltextrun"/>
                <w:color w:val="000000"/>
              </w:rPr>
              <w:t>pasiūlymą rinkoje pagal jo vartojimo pobūdį</w:t>
            </w:r>
            <w:r w:rsidRPr="006B7BA1">
              <w:t>, skatin</w:t>
            </w:r>
            <w:r w:rsidR="0010580D">
              <w:t>s</w:t>
            </w:r>
            <w:r w:rsidRPr="006B7BA1">
              <w:t xml:space="preserve"> pasiūlymų įvairovę</w:t>
            </w:r>
            <w:r w:rsidR="008553FA">
              <w:t>;</w:t>
            </w:r>
          </w:p>
          <w:p w14:paraId="25F9DE86" w14:textId="5784CE26" w:rsidR="00BE7D07" w:rsidRPr="00965EC4" w:rsidRDefault="008553FA" w:rsidP="003261CD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color w:val="000000"/>
              </w:rPr>
            </w:pPr>
            <w:r>
              <w:t>r</w:t>
            </w:r>
            <w:r w:rsidR="00965EC4">
              <w:t xml:space="preserve">eikš </w:t>
            </w:r>
            <w:r w:rsidR="00BE7D07" w:rsidRPr="00C73DDA">
              <w:t xml:space="preserve">daugiau galimybių vartotojams, jų </w:t>
            </w:r>
            <w:r>
              <w:t xml:space="preserve">ir nepriklausomų tiekėjų </w:t>
            </w:r>
            <w:r w:rsidR="00BE7D07" w:rsidRPr="00C73DDA">
              <w:t xml:space="preserve">tarpusavio santykius reglamentuojant </w:t>
            </w:r>
            <w:r w:rsidR="009E463C">
              <w:t xml:space="preserve">pagal </w:t>
            </w:r>
            <w:r w:rsidR="00BE7D07" w:rsidRPr="00C73DDA">
              <w:t>rinkos dėsni</w:t>
            </w:r>
            <w:r w:rsidR="009E463C">
              <w:t>u</w:t>
            </w:r>
            <w:r w:rsidR="00BE7D07" w:rsidRPr="00C73DDA">
              <w:t>s</w:t>
            </w:r>
            <w:r w:rsidR="00965EC4">
              <w:t>.</w:t>
            </w:r>
          </w:p>
          <w:p w14:paraId="54AF09DC" w14:textId="4636B85D" w:rsidR="00BE7D07" w:rsidRPr="00DE1E63" w:rsidRDefault="00D77C0E" w:rsidP="009E0670">
            <w:pPr>
              <w:pStyle w:val="ListParagraph"/>
              <w:tabs>
                <w:tab w:val="left" w:pos="176"/>
              </w:tabs>
              <w:ind w:left="0"/>
              <w:jc w:val="both"/>
            </w:pPr>
            <w:r>
              <w:rPr>
                <w:color w:val="000000"/>
              </w:rPr>
              <w:t xml:space="preserve">Įstatymo projekte reglamentuojant Direktyvos privalomai reikalaujamą </w:t>
            </w:r>
            <w:r w:rsidR="001F0BA1">
              <w:rPr>
                <w:color w:val="000000"/>
              </w:rPr>
              <w:t xml:space="preserve">įgyvendinti </w:t>
            </w:r>
            <w:r>
              <w:rPr>
                <w:color w:val="000000"/>
              </w:rPr>
              <w:t>nepriklausomų tiekėjų</w:t>
            </w:r>
            <w:r w:rsidR="001F0BA1">
              <w:rPr>
                <w:color w:val="000000"/>
              </w:rPr>
              <w:t xml:space="preserve"> </w:t>
            </w:r>
            <w:r w:rsidR="008B133D">
              <w:rPr>
                <w:color w:val="000000"/>
              </w:rPr>
              <w:t xml:space="preserve">pasiūlymų </w:t>
            </w:r>
            <w:r w:rsidR="001F0BA1">
              <w:rPr>
                <w:color w:val="000000"/>
              </w:rPr>
              <w:t>palyginimo priemonę</w:t>
            </w:r>
            <w:r w:rsidR="00B220CD">
              <w:rPr>
                <w:color w:val="000000"/>
              </w:rPr>
              <w:t>,</w:t>
            </w:r>
            <w:r w:rsidR="001F0BA1">
              <w:rPr>
                <w:color w:val="000000"/>
              </w:rPr>
              <w:t xml:space="preserve"> </w:t>
            </w:r>
            <w:r w:rsidR="00B63642">
              <w:rPr>
                <w:color w:val="000000"/>
              </w:rPr>
              <w:t>numatoma, kad</w:t>
            </w:r>
            <w:r w:rsidR="00E70FF2">
              <w:rPr>
                <w:color w:val="000000"/>
              </w:rPr>
              <w:t xml:space="preserve"> </w:t>
            </w:r>
            <w:r w:rsidR="00E70FF2" w:rsidRPr="00E70FF2">
              <w:rPr>
                <w:color w:val="000000"/>
              </w:rPr>
              <w:t xml:space="preserve">iš tiekėjų </w:t>
            </w:r>
            <w:r w:rsidR="00870406">
              <w:rPr>
                <w:color w:val="000000"/>
              </w:rPr>
              <w:t xml:space="preserve">bus </w:t>
            </w:r>
            <w:r w:rsidR="00E70FF2" w:rsidRPr="00E70FF2">
              <w:rPr>
                <w:color w:val="000000"/>
              </w:rPr>
              <w:t xml:space="preserve">reikalaujama </w:t>
            </w:r>
            <w:r w:rsidR="00D97B24">
              <w:rPr>
                <w:color w:val="000000"/>
              </w:rPr>
              <w:t xml:space="preserve">Valstybinės energetikos </w:t>
            </w:r>
            <w:r w:rsidR="00D97B24">
              <w:rPr>
                <w:color w:val="000000"/>
              </w:rPr>
              <w:lastRenderedPageBreak/>
              <w:t>reguliavimo tarybos</w:t>
            </w:r>
            <w:r w:rsidR="00824D40">
              <w:rPr>
                <w:color w:val="000000"/>
              </w:rPr>
              <w:t xml:space="preserve"> (toliau – Taryba)</w:t>
            </w:r>
            <w:r w:rsidR="00D97B24">
              <w:rPr>
                <w:color w:val="000000"/>
              </w:rPr>
              <w:t xml:space="preserve"> </w:t>
            </w:r>
            <w:r w:rsidR="00E70FF2" w:rsidRPr="00E70FF2">
              <w:rPr>
                <w:color w:val="000000"/>
              </w:rPr>
              <w:t>palyginimo priemonei teikti informaciją tik apie pasiūlymus</w:t>
            </w:r>
            <w:r w:rsidR="002F6DF6">
              <w:rPr>
                <w:color w:val="000000"/>
              </w:rPr>
              <w:t>,</w:t>
            </w:r>
            <w:r w:rsidR="00E70FF2" w:rsidRPr="00E70FF2">
              <w:rPr>
                <w:color w:val="000000"/>
              </w:rPr>
              <w:t xml:space="preserve"> skirtus tik daliai </w:t>
            </w:r>
            <w:r w:rsidR="00870406">
              <w:rPr>
                <w:color w:val="000000"/>
              </w:rPr>
              <w:t>vartotojų</w:t>
            </w:r>
            <w:r w:rsidR="00E70FF2" w:rsidRPr="00E70FF2">
              <w:rPr>
                <w:color w:val="000000"/>
              </w:rPr>
              <w:t xml:space="preserve"> – t. y. tik buitiniams vartotojams ir </w:t>
            </w:r>
            <w:r w:rsidR="00AA7D41">
              <w:rPr>
                <w:color w:val="000000"/>
              </w:rPr>
              <w:t xml:space="preserve">labai </w:t>
            </w:r>
            <w:r w:rsidR="00E70FF2" w:rsidRPr="00E70FF2">
              <w:rPr>
                <w:color w:val="000000"/>
              </w:rPr>
              <w:t xml:space="preserve">mažoms įmonėms, kurių </w:t>
            </w:r>
            <w:r w:rsidR="00AA7D41">
              <w:rPr>
                <w:color w:val="000000"/>
              </w:rPr>
              <w:t>kalendorinių</w:t>
            </w:r>
            <w:r w:rsidR="00E70FF2" w:rsidRPr="00E70FF2">
              <w:rPr>
                <w:color w:val="000000"/>
              </w:rPr>
              <w:t xml:space="preserve"> metų vidutinis elektros energijos suvartojimas yra mažesnis kaip </w:t>
            </w:r>
            <w:r w:rsidR="00C86575">
              <w:rPr>
                <w:color w:val="000000"/>
              </w:rPr>
              <w:br/>
            </w:r>
            <w:r w:rsidR="00E70FF2" w:rsidRPr="00E70FF2">
              <w:rPr>
                <w:color w:val="000000"/>
              </w:rPr>
              <w:t>100 000 kWh</w:t>
            </w:r>
            <w:r w:rsidR="00E16C6F">
              <w:rPr>
                <w:color w:val="000000"/>
              </w:rPr>
              <w:t xml:space="preserve">. </w:t>
            </w:r>
            <w:r w:rsidR="00641469" w:rsidRPr="00641469">
              <w:rPr>
                <w:color w:val="000000"/>
              </w:rPr>
              <w:t>Todėl palyginimo priemonėje nepriklausomų tiekėjų pasiūlymai nebus atskleidžiami tokia apimtimi, kuri nelemtų perteklinį elektros rinkos skaidrumą ir mažintų nepriklausomų tiekėjų paskatas konkuruoti tarpusavyje.</w:t>
            </w:r>
          </w:p>
        </w:tc>
      </w:tr>
    </w:tbl>
    <w:p w14:paraId="2B40240F" w14:textId="77777777" w:rsidR="004D069A" w:rsidRPr="001A2227" w:rsidRDefault="004D069A" w:rsidP="00F75338">
      <w:pPr>
        <w:rPr>
          <w:sz w:val="22"/>
          <w:szCs w:val="22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288"/>
      </w:tblGrid>
      <w:tr w:rsidR="00F75338" w:rsidRPr="001A2227" w14:paraId="50560868" w14:textId="77777777" w:rsidTr="00F93F33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2A3C2BCA" w14:textId="77777777" w:rsidR="00F75338" w:rsidRPr="001A2227" w:rsidRDefault="00F75338" w:rsidP="000A5D46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Poveikis administracinei naštai</w:t>
            </w:r>
          </w:p>
          <w:p w14:paraId="6168A5B8" w14:textId="77777777" w:rsidR="00F75338" w:rsidRPr="001A2227" w:rsidRDefault="00F75338" w:rsidP="000A5D46">
            <w:pPr>
              <w:rPr>
                <w:sz w:val="22"/>
                <w:szCs w:val="22"/>
              </w:rPr>
            </w:pP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001C8" w14:textId="5735619A" w:rsidR="005E71E9" w:rsidRDefault="005E71E9" w:rsidP="000A5D46">
            <w:pPr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Įstatymo projekt</w:t>
            </w:r>
            <w:r w:rsidR="00D67C40">
              <w:rPr>
                <w:szCs w:val="24"/>
              </w:rPr>
              <w:t>u</w:t>
            </w:r>
            <w:r w:rsidR="00DD6ADD">
              <w:rPr>
                <w:szCs w:val="24"/>
              </w:rPr>
              <w:t xml:space="preserve"> siūlomo Elektros energetikos įstatymo 52</w:t>
            </w:r>
            <w:r w:rsidR="00DD6ADD" w:rsidRPr="00824D40">
              <w:rPr>
                <w:szCs w:val="24"/>
                <w:vertAlign w:val="superscript"/>
              </w:rPr>
              <w:t>1</w:t>
            </w:r>
            <w:r w:rsidR="00DD6ADD">
              <w:rPr>
                <w:szCs w:val="24"/>
              </w:rPr>
              <w:t xml:space="preserve"> straipsnio</w:t>
            </w:r>
            <w:r w:rsidR="00C43DE9">
              <w:rPr>
                <w:szCs w:val="24"/>
              </w:rPr>
              <w:br/>
            </w:r>
            <w:r w:rsidR="00824D40">
              <w:rPr>
                <w:szCs w:val="24"/>
              </w:rPr>
              <w:t xml:space="preserve"> 9 dalyje numatomas informacinis įpareigojimas nepriklausomiems tiekėjams: n</w:t>
            </w:r>
            <w:r w:rsidR="00824D40" w:rsidRPr="00824D40">
              <w:rPr>
                <w:szCs w:val="24"/>
              </w:rPr>
              <w:t>epriklausomi tiekėjai Tarybos nustatyta tvarka, terminais ir (ar) periodiškumu prival</w:t>
            </w:r>
            <w:r w:rsidR="009976E2">
              <w:rPr>
                <w:szCs w:val="24"/>
              </w:rPr>
              <w:t>ės</w:t>
            </w:r>
            <w:r w:rsidR="00824D40" w:rsidRPr="00824D40">
              <w:rPr>
                <w:szCs w:val="24"/>
              </w:rPr>
              <w:t xml:space="preserve"> pateikti Tarybai, kai ji yra palyginimo priemonę valdantis asmuo, informaciją apie nepriklausomų tiekėjų mažmeninius elektros energijos tiekimo pasiūlymus, įskaitant mažmeninius kintamosios elektros energijos kainos pasiūlymus</w:t>
            </w:r>
            <w:r w:rsidR="009976E2">
              <w:rPr>
                <w:szCs w:val="24"/>
              </w:rPr>
              <w:t xml:space="preserve">, </w:t>
            </w:r>
            <w:r w:rsidR="00824D40" w:rsidRPr="00824D40">
              <w:rPr>
                <w:szCs w:val="24"/>
              </w:rPr>
              <w:t>ir (ar) viešai skelbti nepriklausomų tiekėjų mažmeninius elektros energijos tiekimo pasiūlymus, įskaitant mažmeninius kintamosios elektros energijos kainos pasiūlymus.</w:t>
            </w:r>
          </w:p>
          <w:p w14:paraId="3AE7E691" w14:textId="55E48AB9" w:rsidR="009976E2" w:rsidRDefault="009976E2" w:rsidP="000A5D46">
            <w:pPr>
              <w:jc w:val="both"/>
              <w:rPr>
                <w:sz w:val="22"/>
                <w:szCs w:val="22"/>
              </w:rPr>
            </w:pPr>
            <w:r>
              <w:rPr>
                <w:szCs w:val="22"/>
              </w:rPr>
              <w:t>Pažymėtina, kad palyginimo priemonės turėji</w:t>
            </w:r>
            <w:r w:rsidR="00F031F0">
              <w:rPr>
                <w:szCs w:val="22"/>
              </w:rPr>
              <w:t xml:space="preserve">mo reikalavimas kiekvienoje valstybėje narėje yra privaloma įgyvendinti Direktyvos nuostata, </w:t>
            </w:r>
            <w:r w:rsidR="00EA255D">
              <w:rPr>
                <w:szCs w:val="22"/>
              </w:rPr>
              <w:t>o</w:t>
            </w:r>
            <w:r w:rsidR="00F031F0">
              <w:rPr>
                <w:szCs w:val="22"/>
              </w:rPr>
              <w:t xml:space="preserve"> </w:t>
            </w:r>
            <w:r w:rsidR="00EA255D">
              <w:rPr>
                <w:szCs w:val="22"/>
              </w:rPr>
              <w:t xml:space="preserve">šis palyginimo priemonės turėjimo tikslas negali būti </w:t>
            </w:r>
            <w:r w:rsidR="00CA762E">
              <w:rPr>
                <w:szCs w:val="22"/>
              </w:rPr>
              <w:t>visiškai įgyvendintas, jei nebus nustatytas aukščiau paminėtas informacinis įpareigojimas nepriklausomiems tiekėjams</w:t>
            </w:r>
            <w:r w:rsidR="00767530">
              <w:rPr>
                <w:szCs w:val="22"/>
              </w:rPr>
              <w:t xml:space="preserve"> – jei nebus nustatytas aukščiau paminėtas informacinis įpareigojimas nepriklausomiems tiekėjams, vartotojas nematys aktualių nepriklausomų tiekėjų pasiūlymų palyginimo priemonėje.</w:t>
            </w:r>
          </w:p>
          <w:p w14:paraId="5317BA61" w14:textId="5F17C070" w:rsidR="002B3926" w:rsidRPr="001A2227" w:rsidRDefault="002B3926" w:rsidP="000A5D46">
            <w:pPr>
              <w:jc w:val="both"/>
              <w:rPr>
                <w:sz w:val="22"/>
                <w:szCs w:val="22"/>
              </w:rPr>
            </w:pPr>
          </w:p>
        </w:tc>
      </w:tr>
    </w:tbl>
    <w:p w14:paraId="4024755E" w14:textId="39BAD2BE" w:rsidR="00F75338" w:rsidRDefault="00F75338" w:rsidP="00F75338">
      <w:pPr>
        <w:rPr>
          <w:i/>
          <w:sz w:val="22"/>
          <w:szCs w:val="22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DA04FE" w:rsidRPr="001A2227" w14:paraId="4FB853A5" w14:textId="77777777" w:rsidTr="00DA04FE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5F0C0824" w14:textId="77777777" w:rsidR="00DA04FE" w:rsidRPr="001A2227" w:rsidRDefault="00DA04FE" w:rsidP="00DA04FE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Kita svarbi informacija</w:t>
            </w:r>
          </w:p>
          <w:p w14:paraId="4EA0CB99" w14:textId="6BA12737" w:rsidR="00DA04FE" w:rsidRPr="001A2227" w:rsidRDefault="00DA04FE" w:rsidP="00DA04F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</w:t>
            </w:r>
            <w:r w:rsidRPr="002B3926">
              <w:rPr>
                <w:bCs/>
                <w:sz w:val="22"/>
                <w:szCs w:val="22"/>
              </w:rPr>
              <w:t>ėra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</w:tbl>
    <w:p w14:paraId="4F33A0D5" w14:textId="77777777" w:rsidR="00DA04FE" w:rsidRPr="001A2227" w:rsidRDefault="00DA04FE" w:rsidP="00F75338">
      <w:pPr>
        <w:rPr>
          <w:i/>
          <w:sz w:val="22"/>
          <w:szCs w:val="22"/>
        </w:rPr>
      </w:pPr>
    </w:p>
    <w:p w14:paraId="1B9BC678" w14:textId="77777777" w:rsidR="00F75338" w:rsidRPr="001A2227" w:rsidRDefault="00F75338" w:rsidP="00F75338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1A2227">
        <w:rPr>
          <w:b/>
          <w:sz w:val="22"/>
          <w:szCs w:val="22"/>
        </w:rPr>
        <w:t>Informacija apie asmenį ir instituciją, atsakingą už poveikio vertinimą</w:t>
      </w:r>
    </w:p>
    <w:p w14:paraId="4219A3E3" w14:textId="77777777" w:rsidR="00F75338" w:rsidRPr="001A2227" w:rsidRDefault="00F75338" w:rsidP="00F75338">
      <w:pPr>
        <w:pStyle w:val="ListParagraph1"/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9"/>
        <w:gridCol w:w="6859"/>
      </w:tblGrid>
      <w:tr w:rsidR="0011664B" w:rsidRPr="001A2227" w14:paraId="1D59DF68" w14:textId="77777777" w:rsidTr="000A5D46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CB12171" w14:textId="3361D094" w:rsidR="0011664B" w:rsidRPr="001A2227" w:rsidRDefault="0011664B" w:rsidP="0011664B">
            <w:pPr>
              <w:pStyle w:val="ListParagraph1"/>
              <w:ind w:left="0"/>
              <w:rPr>
                <w:sz w:val="22"/>
                <w:szCs w:val="22"/>
              </w:rPr>
            </w:pPr>
            <w:r w:rsidRPr="00AD3937">
              <w:rPr>
                <w:szCs w:val="24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ECCAB64" w14:textId="405C3267" w:rsidR="00910997" w:rsidRDefault="0069406A" w:rsidP="0011664B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Aušra Grėbl</w:t>
            </w:r>
            <w:r w:rsidR="00FA6541">
              <w:rPr>
                <w:szCs w:val="24"/>
              </w:rPr>
              <w:t>i</w:t>
            </w:r>
            <w:r>
              <w:rPr>
                <w:szCs w:val="24"/>
              </w:rPr>
              <w:t>ūnaitė</w:t>
            </w:r>
          </w:p>
          <w:p w14:paraId="625CCE0E" w14:textId="50B75F81" w:rsidR="0011664B" w:rsidRPr="00910997" w:rsidRDefault="0069406A" w:rsidP="00910997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Kęstutis Šukvietis</w:t>
            </w:r>
          </w:p>
        </w:tc>
      </w:tr>
      <w:tr w:rsidR="0011664B" w:rsidRPr="001A2227" w14:paraId="22AC4D10" w14:textId="77777777" w:rsidTr="000A5D46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BDC56F9" w14:textId="30BEC4B0" w:rsidR="0011664B" w:rsidRPr="001A2227" w:rsidRDefault="0011664B" w:rsidP="0011664B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AD3937">
              <w:rPr>
                <w:szCs w:val="24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0054C7E" w14:textId="25D7AA49" w:rsidR="00910997" w:rsidRDefault="00910997" w:rsidP="0011664B">
            <w:pPr>
              <w:pStyle w:val="ListParagraph1"/>
              <w:ind w:left="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Energetikos konkurencingumo grupė</w:t>
            </w:r>
            <w:r w:rsidR="0069406A">
              <w:rPr>
                <w:szCs w:val="24"/>
              </w:rPr>
              <w:t>s</w:t>
            </w:r>
            <w:r>
              <w:rPr>
                <w:szCs w:val="24"/>
              </w:rPr>
              <w:t xml:space="preserve"> </w:t>
            </w:r>
            <w:r w:rsidRPr="00AD3937">
              <w:rPr>
                <w:szCs w:val="24"/>
              </w:rPr>
              <w:t>patarėja</w:t>
            </w:r>
          </w:p>
          <w:p w14:paraId="6F015F27" w14:textId="25CD9E0F" w:rsidR="0011664B" w:rsidRPr="00910997" w:rsidRDefault="0011664B" w:rsidP="0011664B">
            <w:pPr>
              <w:pStyle w:val="ListParagraph1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Energetikos konkurencingumo grupės </w:t>
            </w:r>
            <w:r w:rsidR="0069406A">
              <w:rPr>
                <w:szCs w:val="24"/>
              </w:rPr>
              <w:t>patarėjas</w:t>
            </w:r>
          </w:p>
        </w:tc>
      </w:tr>
      <w:tr w:rsidR="0011664B" w:rsidRPr="001A2227" w14:paraId="784A65B9" w14:textId="77777777" w:rsidTr="000A5D46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471515E2" w14:textId="7ADAC843" w:rsidR="0011664B" w:rsidRPr="001A2227" w:rsidRDefault="0011664B" w:rsidP="0011664B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AD3937">
              <w:rPr>
                <w:szCs w:val="24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EF56C5A" w14:textId="3641B1A5" w:rsidR="0011664B" w:rsidRPr="001A2227" w:rsidRDefault="0011664B" w:rsidP="0011664B">
            <w:pPr>
              <w:pStyle w:val="ListParagraph1"/>
              <w:ind w:left="0"/>
              <w:jc w:val="both"/>
              <w:rPr>
                <w:b/>
                <w:sz w:val="22"/>
                <w:szCs w:val="22"/>
              </w:rPr>
            </w:pPr>
            <w:r w:rsidRPr="00AD3937">
              <w:rPr>
                <w:szCs w:val="24"/>
              </w:rPr>
              <w:t>Energetikos ministerija</w:t>
            </w:r>
          </w:p>
        </w:tc>
      </w:tr>
      <w:tr w:rsidR="0011664B" w:rsidRPr="001A2227" w14:paraId="70C4C705" w14:textId="77777777" w:rsidTr="000A5D46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592D70C7" w14:textId="31A54432" w:rsidR="0011664B" w:rsidRPr="001A2227" w:rsidRDefault="0011664B" w:rsidP="0011664B">
            <w:pPr>
              <w:pStyle w:val="ListParagraph1"/>
              <w:ind w:left="0"/>
              <w:rPr>
                <w:sz w:val="22"/>
                <w:szCs w:val="22"/>
              </w:rPr>
            </w:pPr>
            <w:r w:rsidRPr="00AD3937">
              <w:rPr>
                <w:szCs w:val="24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4F420F1" w14:textId="235D80A7" w:rsidR="00CE68F4" w:rsidRDefault="00316609" w:rsidP="0011664B">
            <w:pPr>
              <w:pStyle w:val="ListParagraph1"/>
              <w:ind w:left="0"/>
              <w:jc w:val="both"/>
              <w:rPr>
                <w:szCs w:val="24"/>
              </w:rPr>
            </w:pPr>
            <w:r w:rsidRPr="00316609">
              <w:rPr>
                <w:szCs w:val="24"/>
              </w:rPr>
              <w:t xml:space="preserve">tel. (8 5) 203 4474, papild. 3, el. p. </w:t>
            </w:r>
            <w:r w:rsidR="00CE68F4" w:rsidRPr="00CE68F4">
              <w:rPr>
                <w:szCs w:val="24"/>
              </w:rPr>
              <w:t>ausra.grebliunaite@enmin.lt</w:t>
            </w:r>
            <w:r w:rsidR="00CE68F4">
              <w:rPr>
                <w:szCs w:val="24"/>
              </w:rPr>
              <w:t xml:space="preserve"> </w:t>
            </w:r>
          </w:p>
          <w:p w14:paraId="3F4C64D3" w14:textId="65A3F853" w:rsidR="0011664B" w:rsidRPr="001A2227" w:rsidRDefault="008E4E0F" w:rsidP="0011664B">
            <w:pPr>
              <w:pStyle w:val="ListParagraph1"/>
              <w:ind w:left="0"/>
              <w:jc w:val="both"/>
              <w:rPr>
                <w:b/>
                <w:sz w:val="22"/>
                <w:szCs w:val="22"/>
              </w:rPr>
            </w:pPr>
            <w:r w:rsidRPr="008E4E0F">
              <w:rPr>
                <w:szCs w:val="24"/>
              </w:rPr>
              <w:t>tel. (8 5) 203 4473, papild. 3, el. p. kestutis.sukvietis@enmin.lt</w:t>
            </w:r>
          </w:p>
        </w:tc>
      </w:tr>
    </w:tbl>
    <w:p w14:paraId="285D6CA5" w14:textId="4350F812" w:rsidR="00F75338" w:rsidRPr="001A2227" w:rsidRDefault="00F75338" w:rsidP="00DA04FE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 w:val="22"/>
          <w:szCs w:val="22"/>
        </w:rPr>
      </w:pPr>
      <w:r w:rsidRPr="001A2227">
        <w:rPr>
          <w:sz w:val="22"/>
          <w:szCs w:val="22"/>
        </w:rPr>
        <w:t>__________________</w:t>
      </w:r>
    </w:p>
    <w:sectPr w:rsidR="00F75338" w:rsidRPr="001A2227" w:rsidSect="00F75338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5FE46" w14:textId="77777777" w:rsidR="006A5C8F" w:rsidRDefault="006A5C8F" w:rsidP="00F75338">
      <w:r>
        <w:separator/>
      </w:r>
    </w:p>
  </w:endnote>
  <w:endnote w:type="continuationSeparator" w:id="0">
    <w:p w14:paraId="66779665" w14:textId="77777777" w:rsidR="006A5C8F" w:rsidRDefault="006A5C8F" w:rsidP="00F7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9FD0" w14:textId="77777777" w:rsidR="006A5C8F" w:rsidRDefault="006A5C8F" w:rsidP="00F75338">
      <w:r>
        <w:separator/>
      </w:r>
    </w:p>
  </w:footnote>
  <w:footnote w:type="continuationSeparator" w:id="0">
    <w:p w14:paraId="639552CA" w14:textId="77777777" w:rsidR="006A5C8F" w:rsidRDefault="006A5C8F" w:rsidP="00F7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34557"/>
      <w:docPartObj>
        <w:docPartGallery w:val="Page Numbers (Top of Page)"/>
        <w:docPartUnique/>
      </w:docPartObj>
    </w:sdtPr>
    <w:sdtEndPr/>
    <w:sdtContent>
      <w:p w14:paraId="60BB8A31" w14:textId="77777777" w:rsidR="00F75338" w:rsidRDefault="00F7533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B16DA5" w14:textId="77777777" w:rsidR="00F75338" w:rsidRDefault="00F7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742"/>
    <w:multiLevelType w:val="hybridMultilevel"/>
    <w:tmpl w:val="0466346E"/>
    <w:lvl w:ilvl="0" w:tplc="750E0EE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F8F1CCC"/>
    <w:multiLevelType w:val="hybridMultilevel"/>
    <w:tmpl w:val="742C317E"/>
    <w:lvl w:ilvl="0" w:tplc="2F309850">
      <w:start w:val="1"/>
      <w:numFmt w:val="decimal"/>
      <w:lvlText w:val="%1)"/>
      <w:lvlJc w:val="left"/>
      <w:pPr>
        <w:ind w:left="84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560" w:hanging="360"/>
      </w:pPr>
    </w:lvl>
    <w:lvl w:ilvl="2" w:tplc="0427001B">
      <w:start w:val="1"/>
      <w:numFmt w:val="lowerRoman"/>
      <w:lvlText w:val="%3."/>
      <w:lvlJc w:val="right"/>
      <w:pPr>
        <w:ind w:left="2280" w:hanging="180"/>
      </w:pPr>
    </w:lvl>
    <w:lvl w:ilvl="3" w:tplc="0427000F">
      <w:start w:val="1"/>
      <w:numFmt w:val="decimal"/>
      <w:lvlText w:val="%4."/>
      <w:lvlJc w:val="left"/>
      <w:pPr>
        <w:ind w:left="3000" w:hanging="360"/>
      </w:pPr>
    </w:lvl>
    <w:lvl w:ilvl="4" w:tplc="04270019">
      <w:start w:val="1"/>
      <w:numFmt w:val="lowerLetter"/>
      <w:lvlText w:val="%5."/>
      <w:lvlJc w:val="left"/>
      <w:pPr>
        <w:ind w:left="3720" w:hanging="360"/>
      </w:pPr>
    </w:lvl>
    <w:lvl w:ilvl="5" w:tplc="0427001B">
      <w:start w:val="1"/>
      <w:numFmt w:val="lowerRoman"/>
      <w:lvlText w:val="%6."/>
      <w:lvlJc w:val="right"/>
      <w:pPr>
        <w:ind w:left="4440" w:hanging="180"/>
      </w:pPr>
    </w:lvl>
    <w:lvl w:ilvl="6" w:tplc="0427000F">
      <w:start w:val="1"/>
      <w:numFmt w:val="decimal"/>
      <w:lvlText w:val="%7."/>
      <w:lvlJc w:val="left"/>
      <w:pPr>
        <w:ind w:left="5160" w:hanging="360"/>
      </w:pPr>
    </w:lvl>
    <w:lvl w:ilvl="7" w:tplc="04270019">
      <w:start w:val="1"/>
      <w:numFmt w:val="lowerLetter"/>
      <w:lvlText w:val="%8."/>
      <w:lvlJc w:val="left"/>
      <w:pPr>
        <w:ind w:left="5880" w:hanging="360"/>
      </w:pPr>
    </w:lvl>
    <w:lvl w:ilvl="8" w:tplc="0427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38"/>
    <w:rsid w:val="00020C48"/>
    <w:rsid w:val="00025C5D"/>
    <w:rsid w:val="00040060"/>
    <w:rsid w:val="000578AE"/>
    <w:rsid w:val="00087FD9"/>
    <w:rsid w:val="00091DDC"/>
    <w:rsid w:val="000A23A3"/>
    <w:rsid w:val="000A5FF3"/>
    <w:rsid w:val="000D5F5B"/>
    <w:rsid w:val="0010580D"/>
    <w:rsid w:val="001123FB"/>
    <w:rsid w:val="001162DF"/>
    <w:rsid w:val="0011664B"/>
    <w:rsid w:val="00117DCC"/>
    <w:rsid w:val="00120EB0"/>
    <w:rsid w:val="00127AE0"/>
    <w:rsid w:val="00192A60"/>
    <w:rsid w:val="001B1A96"/>
    <w:rsid w:val="001F0BA1"/>
    <w:rsid w:val="001F2B12"/>
    <w:rsid w:val="001F2B40"/>
    <w:rsid w:val="0020145D"/>
    <w:rsid w:val="00241D7D"/>
    <w:rsid w:val="00260AAD"/>
    <w:rsid w:val="00274FAE"/>
    <w:rsid w:val="002771B3"/>
    <w:rsid w:val="002A3591"/>
    <w:rsid w:val="002B3926"/>
    <w:rsid w:val="002B56B6"/>
    <w:rsid w:val="002C70B7"/>
    <w:rsid w:val="002F351D"/>
    <w:rsid w:val="002F6DF6"/>
    <w:rsid w:val="00316609"/>
    <w:rsid w:val="00325FBC"/>
    <w:rsid w:val="003261CD"/>
    <w:rsid w:val="0034312D"/>
    <w:rsid w:val="00344FC6"/>
    <w:rsid w:val="00353DBC"/>
    <w:rsid w:val="0039378D"/>
    <w:rsid w:val="00395B97"/>
    <w:rsid w:val="00397B58"/>
    <w:rsid w:val="003B00A4"/>
    <w:rsid w:val="003B766C"/>
    <w:rsid w:val="003E6F19"/>
    <w:rsid w:val="003F2E1E"/>
    <w:rsid w:val="0045011C"/>
    <w:rsid w:val="00461F93"/>
    <w:rsid w:val="004D069A"/>
    <w:rsid w:val="00517578"/>
    <w:rsid w:val="00522325"/>
    <w:rsid w:val="005727B4"/>
    <w:rsid w:val="00576C08"/>
    <w:rsid w:val="005A3ABF"/>
    <w:rsid w:val="005E71E9"/>
    <w:rsid w:val="00606E90"/>
    <w:rsid w:val="00610157"/>
    <w:rsid w:val="00630610"/>
    <w:rsid w:val="00641469"/>
    <w:rsid w:val="00687C08"/>
    <w:rsid w:val="0069406A"/>
    <w:rsid w:val="006A3339"/>
    <w:rsid w:val="006A5C8F"/>
    <w:rsid w:val="006F0BD0"/>
    <w:rsid w:val="006F240D"/>
    <w:rsid w:val="00712FCB"/>
    <w:rsid w:val="00720871"/>
    <w:rsid w:val="00733EAF"/>
    <w:rsid w:val="00767530"/>
    <w:rsid w:val="00793817"/>
    <w:rsid w:val="007A26A9"/>
    <w:rsid w:val="00806B3A"/>
    <w:rsid w:val="008226D0"/>
    <w:rsid w:val="00824D40"/>
    <w:rsid w:val="0082621D"/>
    <w:rsid w:val="00827E04"/>
    <w:rsid w:val="00837126"/>
    <w:rsid w:val="008553FA"/>
    <w:rsid w:val="0086736E"/>
    <w:rsid w:val="00870406"/>
    <w:rsid w:val="008731A6"/>
    <w:rsid w:val="00882D64"/>
    <w:rsid w:val="00885E5C"/>
    <w:rsid w:val="00887F89"/>
    <w:rsid w:val="008B133D"/>
    <w:rsid w:val="008D0614"/>
    <w:rsid w:val="008E4E0F"/>
    <w:rsid w:val="00910997"/>
    <w:rsid w:val="009216E7"/>
    <w:rsid w:val="00933D46"/>
    <w:rsid w:val="00942115"/>
    <w:rsid w:val="0094792C"/>
    <w:rsid w:val="009502D0"/>
    <w:rsid w:val="00955FA0"/>
    <w:rsid w:val="00965EC4"/>
    <w:rsid w:val="00973C76"/>
    <w:rsid w:val="00986250"/>
    <w:rsid w:val="009976E2"/>
    <w:rsid w:val="00997E40"/>
    <w:rsid w:val="009A002A"/>
    <w:rsid w:val="009A5D83"/>
    <w:rsid w:val="009D7B83"/>
    <w:rsid w:val="009E0670"/>
    <w:rsid w:val="009E37EC"/>
    <w:rsid w:val="009E463C"/>
    <w:rsid w:val="009F0020"/>
    <w:rsid w:val="00A275CC"/>
    <w:rsid w:val="00A363EA"/>
    <w:rsid w:val="00A41502"/>
    <w:rsid w:val="00A76398"/>
    <w:rsid w:val="00A77C01"/>
    <w:rsid w:val="00A839F1"/>
    <w:rsid w:val="00A912B4"/>
    <w:rsid w:val="00AA7D41"/>
    <w:rsid w:val="00AB428F"/>
    <w:rsid w:val="00AB7F25"/>
    <w:rsid w:val="00AC251B"/>
    <w:rsid w:val="00AC31E6"/>
    <w:rsid w:val="00AC6AE9"/>
    <w:rsid w:val="00AC7114"/>
    <w:rsid w:val="00AD04FD"/>
    <w:rsid w:val="00B033E7"/>
    <w:rsid w:val="00B220CD"/>
    <w:rsid w:val="00B32226"/>
    <w:rsid w:val="00B36E54"/>
    <w:rsid w:val="00B45B75"/>
    <w:rsid w:val="00B63642"/>
    <w:rsid w:val="00B725A3"/>
    <w:rsid w:val="00BB46DE"/>
    <w:rsid w:val="00BC39AA"/>
    <w:rsid w:val="00BC6886"/>
    <w:rsid w:val="00BE218C"/>
    <w:rsid w:val="00BE7D07"/>
    <w:rsid w:val="00BF355A"/>
    <w:rsid w:val="00C041FF"/>
    <w:rsid w:val="00C229C4"/>
    <w:rsid w:val="00C43DE9"/>
    <w:rsid w:val="00C73495"/>
    <w:rsid w:val="00C82B0C"/>
    <w:rsid w:val="00C86575"/>
    <w:rsid w:val="00C919A1"/>
    <w:rsid w:val="00C92B21"/>
    <w:rsid w:val="00CA4BE3"/>
    <w:rsid w:val="00CA762E"/>
    <w:rsid w:val="00CC6A5D"/>
    <w:rsid w:val="00CD2F91"/>
    <w:rsid w:val="00CE68F4"/>
    <w:rsid w:val="00CF15C7"/>
    <w:rsid w:val="00D430C8"/>
    <w:rsid w:val="00D67C40"/>
    <w:rsid w:val="00D7479A"/>
    <w:rsid w:val="00D75B20"/>
    <w:rsid w:val="00D77C0E"/>
    <w:rsid w:val="00D9002E"/>
    <w:rsid w:val="00D91E6E"/>
    <w:rsid w:val="00D97B24"/>
    <w:rsid w:val="00DA04FE"/>
    <w:rsid w:val="00DD6ADD"/>
    <w:rsid w:val="00DE1E63"/>
    <w:rsid w:val="00DE2CAF"/>
    <w:rsid w:val="00DF0AF0"/>
    <w:rsid w:val="00E16C6F"/>
    <w:rsid w:val="00E55D69"/>
    <w:rsid w:val="00E70FF2"/>
    <w:rsid w:val="00E713FF"/>
    <w:rsid w:val="00E74E1A"/>
    <w:rsid w:val="00E75123"/>
    <w:rsid w:val="00E77409"/>
    <w:rsid w:val="00E77CFD"/>
    <w:rsid w:val="00E827FF"/>
    <w:rsid w:val="00E92559"/>
    <w:rsid w:val="00EA255D"/>
    <w:rsid w:val="00ED1211"/>
    <w:rsid w:val="00F031F0"/>
    <w:rsid w:val="00F130BC"/>
    <w:rsid w:val="00F477DB"/>
    <w:rsid w:val="00F616D0"/>
    <w:rsid w:val="00F75338"/>
    <w:rsid w:val="00F93F33"/>
    <w:rsid w:val="00FA6541"/>
    <w:rsid w:val="00FD1A40"/>
    <w:rsid w:val="00FD3569"/>
    <w:rsid w:val="00FD5774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5F1760"/>
  <w15:chartTrackingRefBased/>
  <w15:docId w15:val="{D04DF7EB-FD37-4B9C-A917-22F0EF22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DDC"/>
    <w:pPr>
      <w:keepNext/>
      <w:keepLines/>
      <w:jc w:val="both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DDC"/>
    <w:pPr>
      <w:jc w:val="both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DD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1DDC"/>
    <w:rPr>
      <w:rFonts w:ascii="Times New Roman" w:eastAsiaTheme="majorEastAsia" w:hAnsi="Times New Roman" w:cstheme="majorBidi"/>
      <w:b/>
      <w:sz w:val="24"/>
      <w:szCs w:val="26"/>
    </w:rPr>
  </w:style>
  <w:style w:type="paragraph" w:styleId="Header">
    <w:name w:val="header"/>
    <w:aliases w:val="Char,Diagrama"/>
    <w:basedOn w:val="Normal"/>
    <w:link w:val="HeaderChar"/>
    <w:uiPriority w:val="99"/>
    <w:rsid w:val="00F7533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F7533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F75338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F75338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qFormat/>
    <w:rsid w:val="00F75338"/>
    <w:pPr>
      <w:ind w:left="1296"/>
    </w:pPr>
  </w:style>
  <w:style w:type="paragraph" w:styleId="Footer">
    <w:name w:val="footer"/>
    <w:basedOn w:val="Normal"/>
    <w:link w:val="FooterChar"/>
    <w:uiPriority w:val="99"/>
    <w:unhideWhenUsed/>
    <w:rsid w:val="00F753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33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FF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7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5C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5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5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53">
    <w:name w:val="Font Style53"/>
    <w:rsid w:val="00397B58"/>
    <w:rPr>
      <w:rFonts w:ascii="Times New Roman" w:hAnsi="Times New Roman" w:cs="Times New Roman" w:hint="default"/>
      <w:b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C73495"/>
    <w:pPr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349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73495"/>
    <w:rPr>
      <w:vertAlign w:val="superscript"/>
    </w:rPr>
  </w:style>
  <w:style w:type="paragraph" w:customStyle="1" w:styleId="Style32">
    <w:name w:val="Style32"/>
    <w:basedOn w:val="Normal"/>
    <w:rsid w:val="00C73495"/>
    <w:pPr>
      <w:widowControl w:val="0"/>
      <w:autoSpaceDE w:val="0"/>
      <w:autoSpaceDN w:val="0"/>
      <w:adjustRightInd w:val="0"/>
      <w:spacing w:line="274" w:lineRule="exact"/>
      <w:ind w:firstLine="566"/>
      <w:jc w:val="both"/>
    </w:pPr>
    <w:rPr>
      <w:szCs w:val="24"/>
      <w:lang w:eastAsia="lt-LT"/>
    </w:rPr>
  </w:style>
  <w:style w:type="paragraph" w:styleId="ListParagraph">
    <w:name w:val="List Paragraph"/>
    <w:basedOn w:val="Normal"/>
    <w:link w:val="ListParagraphChar"/>
    <w:uiPriority w:val="34"/>
    <w:qFormat/>
    <w:rsid w:val="001123FB"/>
    <w:pPr>
      <w:ind w:left="720"/>
      <w:contextualSpacing/>
    </w:pPr>
  </w:style>
  <w:style w:type="paragraph" w:customStyle="1" w:styleId="Default">
    <w:name w:val="Default"/>
    <w:rsid w:val="00112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op">
    <w:name w:val="eop"/>
    <w:basedOn w:val="DefaultParagraphFont"/>
    <w:rsid w:val="009F0020"/>
  </w:style>
  <w:style w:type="character" w:styleId="UnresolvedMention">
    <w:name w:val="Unresolved Mention"/>
    <w:basedOn w:val="DefaultParagraphFont"/>
    <w:uiPriority w:val="99"/>
    <w:semiHidden/>
    <w:unhideWhenUsed/>
    <w:rsid w:val="002F351D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E68F4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7D07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BE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4CB4324E2615444A8F1EE174F35E694" ma:contentTypeVersion="12" ma:contentTypeDescription="Kurkite naują dokumentą." ma:contentTypeScope="" ma:versionID="8464a287e3a91881813eaee464318ecb">
  <xsd:schema xmlns:xsd="http://www.w3.org/2001/XMLSchema" xmlns:xs="http://www.w3.org/2001/XMLSchema" xmlns:p="http://schemas.microsoft.com/office/2006/metadata/properties" xmlns:ns3="7dd3e4c4-106f-4ec6-95f6-f5681a9f55c1" xmlns:ns4="8fc55a6a-6f91-4a7f-aee2-6982bb404b33" targetNamespace="http://schemas.microsoft.com/office/2006/metadata/properties" ma:root="true" ma:fieldsID="50afca5c7a2bdb35feb0ad56aca92a1a" ns3:_="" ns4:_="">
    <xsd:import namespace="7dd3e4c4-106f-4ec6-95f6-f5681a9f55c1"/>
    <xsd:import namespace="8fc55a6a-6f91-4a7f-aee2-6982bb404b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3e4c4-106f-4ec6-95f6-f5681a9f5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55a6a-6f91-4a7f-aee2-6982bb404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393A3-1ABB-448F-8F60-0665A0100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3e4c4-106f-4ec6-95f6-f5681a9f55c1"/>
    <ds:schemaRef ds:uri="8fc55a6a-6f91-4a7f-aee2-6982bb404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0FF32-36B8-4703-88C8-6A753CB18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89B08-5A25-4CDC-BADE-FF247B4B04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3297</Words>
  <Characters>1880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Mačiulaitytė</dc:creator>
  <cp:keywords/>
  <dc:description/>
  <cp:lastModifiedBy>Ausra Grebliunaite</cp:lastModifiedBy>
  <cp:revision>94</cp:revision>
  <dcterms:created xsi:type="dcterms:W3CDTF">2021-03-05T06:44:00Z</dcterms:created>
  <dcterms:modified xsi:type="dcterms:W3CDTF">2021-06-01T09:29:00Z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0x01010024CB4324E2615444A8F1EE174F35E694</vt:lpwstr>
  </property>
</Properties>
</file>