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7685" w14:textId="370F9170" w:rsidR="004A105B" w:rsidRPr="001A2227" w:rsidRDefault="004A105B" w:rsidP="004A105B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</w:t>
      </w:r>
      <w:r w:rsidR="00216DEA">
        <w:rPr>
          <w:b/>
          <w:color w:val="000000"/>
          <w:sz w:val="22"/>
          <w:szCs w:val="22"/>
        </w:rPr>
        <w:t>A</w:t>
      </w:r>
      <w:r w:rsidRPr="001A2227">
        <w:rPr>
          <w:b/>
          <w:color w:val="000000"/>
          <w:sz w:val="22"/>
          <w:szCs w:val="22"/>
        </w:rPr>
        <w:t xml:space="preserve"> </w:t>
      </w:r>
    </w:p>
    <w:p w14:paraId="05157686" w14:textId="77777777" w:rsidR="004A105B" w:rsidRPr="001A2227" w:rsidRDefault="004A105B" w:rsidP="004A105B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4A105B" w:rsidRPr="001A2227" w14:paraId="0515768B" w14:textId="77777777" w:rsidTr="00A47CC5">
        <w:tc>
          <w:tcPr>
            <w:tcW w:w="2235" w:type="dxa"/>
            <w:shd w:val="clear" w:color="auto" w:fill="DBE5F1"/>
            <w:hideMark/>
          </w:tcPr>
          <w:p w14:paraId="05157687" w14:textId="77777777" w:rsidR="004A105B" w:rsidRPr="001A2227" w:rsidRDefault="004A105B" w:rsidP="00A47CC5">
            <w:pPr>
              <w:rPr>
                <w:szCs w:val="22"/>
                <w:shd w:val="clear" w:color="auto" w:fill="DBE5F1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05157688" w14:textId="5553248F" w:rsidR="005D468A" w:rsidRPr="00495552" w:rsidRDefault="00612B23" w:rsidP="005D468A">
            <w:pPr>
              <w:jc w:val="both"/>
              <w:rPr>
                <w:szCs w:val="22"/>
              </w:rPr>
            </w:pPr>
            <w:r w:rsidRPr="001C5CC2">
              <w:rPr>
                <w:bCs/>
              </w:rPr>
              <w:t xml:space="preserve">Lietuvos </w:t>
            </w:r>
            <w:r w:rsidRPr="00495552">
              <w:rPr>
                <w:bCs/>
                <w:sz w:val="22"/>
                <w:szCs w:val="22"/>
              </w:rPr>
              <w:t>Respublikos k</w:t>
            </w:r>
            <w:r w:rsidR="004A105B" w:rsidRPr="00495552">
              <w:rPr>
                <w:sz w:val="22"/>
                <w:szCs w:val="22"/>
              </w:rPr>
              <w:t xml:space="preserve">ibernetinio saugumo įstatymo Nr. XII-1428 </w:t>
            </w:r>
            <w:r w:rsidRPr="00495552">
              <w:rPr>
                <w:sz w:val="22"/>
                <w:szCs w:val="22"/>
              </w:rPr>
              <w:t xml:space="preserve">1, 2, 6, 8, </w:t>
            </w:r>
            <w:r w:rsidR="00D026C7">
              <w:rPr>
                <w:sz w:val="22"/>
                <w:szCs w:val="22"/>
              </w:rPr>
              <w:t xml:space="preserve">9, </w:t>
            </w:r>
            <w:r w:rsidRPr="00495552">
              <w:rPr>
                <w:sz w:val="22"/>
                <w:szCs w:val="22"/>
              </w:rPr>
              <w:t>13 straipsnių</w:t>
            </w:r>
            <w:r w:rsidR="00D026C7">
              <w:rPr>
                <w:sz w:val="22"/>
                <w:szCs w:val="22"/>
              </w:rPr>
              <w:t>, V skyriaus pavadinimo,</w:t>
            </w:r>
            <w:r w:rsidR="00495552" w:rsidRPr="00495552">
              <w:rPr>
                <w:sz w:val="22"/>
                <w:szCs w:val="22"/>
              </w:rPr>
              <w:t xml:space="preserve"> priedo </w:t>
            </w:r>
            <w:r w:rsidR="004A105B" w:rsidRPr="00495552">
              <w:rPr>
                <w:sz w:val="22"/>
                <w:szCs w:val="22"/>
              </w:rPr>
              <w:t xml:space="preserve">pakeitimo </w:t>
            </w:r>
            <w:r w:rsidR="0060791C" w:rsidRPr="00495552">
              <w:rPr>
                <w:sz w:val="22"/>
                <w:szCs w:val="22"/>
              </w:rPr>
              <w:t xml:space="preserve">ir </w:t>
            </w:r>
            <w:r w:rsidR="00D026C7">
              <w:rPr>
                <w:sz w:val="22"/>
                <w:szCs w:val="22"/>
              </w:rPr>
              <w:t xml:space="preserve">įstatymo </w:t>
            </w:r>
            <w:r w:rsidR="0060791C" w:rsidRPr="00495552">
              <w:rPr>
                <w:sz w:val="22"/>
                <w:szCs w:val="22"/>
              </w:rPr>
              <w:t>papildymo</w:t>
            </w:r>
            <w:r w:rsidR="00D026C7">
              <w:rPr>
                <w:sz w:val="22"/>
                <w:szCs w:val="22"/>
              </w:rPr>
              <w:t xml:space="preserve"> 17 straipsniu ir VI</w:t>
            </w:r>
            <w:r w:rsidR="00495552">
              <w:rPr>
                <w:sz w:val="22"/>
                <w:szCs w:val="22"/>
              </w:rPr>
              <w:t xml:space="preserve"> skyriumi </w:t>
            </w:r>
            <w:r w:rsidR="004A105B" w:rsidRPr="00495552">
              <w:rPr>
                <w:sz w:val="22"/>
                <w:szCs w:val="22"/>
              </w:rPr>
              <w:t>įstatymo</w:t>
            </w:r>
            <w:r w:rsidR="0060791C" w:rsidRPr="00495552">
              <w:rPr>
                <w:sz w:val="22"/>
                <w:szCs w:val="22"/>
              </w:rPr>
              <w:t xml:space="preserve"> projektas</w:t>
            </w:r>
            <w:r w:rsidR="004A105B" w:rsidRPr="00495552">
              <w:rPr>
                <w:sz w:val="22"/>
                <w:szCs w:val="22"/>
              </w:rPr>
              <w:t xml:space="preserve"> ir Lietuvos Respublikos administracinių nusižengimų kodekso papildymo 480</w:t>
            </w:r>
            <w:r w:rsidR="004A105B" w:rsidRPr="00495552">
              <w:rPr>
                <w:sz w:val="22"/>
                <w:szCs w:val="22"/>
                <w:vertAlign w:val="superscript"/>
              </w:rPr>
              <w:t xml:space="preserve">1 </w:t>
            </w:r>
            <w:r w:rsidR="004A105B" w:rsidRPr="00495552">
              <w:rPr>
                <w:sz w:val="22"/>
                <w:szCs w:val="22"/>
              </w:rPr>
              <w:t xml:space="preserve"> straipsniu</w:t>
            </w:r>
            <w:r w:rsidR="00495552">
              <w:rPr>
                <w:sz w:val="22"/>
                <w:szCs w:val="22"/>
              </w:rPr>
              <w:t xml:space="preserve"> </w:t>
            </w:r>
            <w:r w:rsidR="004A105B" w:rsidRPr="00495552">
              <w:rPr>
                <w:sz w:val="22"/>
                <w:szCs w:val="22"/>
              </w:rPr>
              <w:t xml:space="preserve">ir </w:t>
            </w:r>
            <w:r w:rsidR="004A105B" w:rsidRPr="00495552">
              <w:rPr>
                <w:caps/>
                <w:sz w:val="22"/>
                <w:szCs w:val="22"/>
              </w:rPr>
              <w:t>589</w:t>
            </w:r>
            <w:r w:rsidR="004A105B" w:rsidRPr="00495552">
              <w:rPr>
                <w:sz w:val="22"/>
                <w:szCs w:val="22"/>
              </w:rPr>
              <w:t xml:space="preserve"> straipsnio bei priedo pakeitimo įstatymo </w:t>
            </w:r>
            <w:r w:rsidR="004A105B" w:rsidRPr="00495552">
              <w:rPr>
                <w:bCs/>
                <w:sz w:val="22"/>
                <w:szCs w:val="22"/>
              </w:rPr>
              <w:t>pakeitimo</w:t>
            </w:r>
            <w:r w:rsidR="004A105B" w:rsidRPr="00495552">
              <w:rPr>
                <w:sz w:val="22"/>
                <w:szCs w:val="22"/>
              </w:rPr>
              <w:t xml:space="preserve"> projektas</w:t>
            </w:r>
            <w:r w:rsidR="002217DF">
              <w:rPr>
                <w:sz w:val="22"/>
                <w:szCs w:val="22"/>
              </w:rPr>
              <w:t>.</w:t>
            </w:r>
          </w:p>
          <w:p w14:paraId="05157689" w14:textId="77777777" w:rsidR="005D468A" w:rsidRPr="00495552" w:rsidRDefault="005D468A" w:rsidP="005D468A">
            <w:pPr>
              <w:rPr>
                <w:szCs w:val="22"/>
              </w:rPr>
            </w:pPr>
          </w:p>
          <w:p w14:paraId="0515768A" w14:textId="7FBC62CB" w:rsidR="004A105B" w:rsidRPr="005D468A" w:rsidRDefault="005D468A" w:rsidP="00D026C7">
            <w:pPr>
              <w:jc w:val="both"/>
              <w:rPr>
                <w:szCs w:val="22"/>
              </w:rPr>
            </w:pPr>
            <w:r w:rsidRPr="00495552">
              <w:rPr>
                <w:sz w:val="22"/>
                <w:szCs w:val="22"/>
              </w:rPr>
              <w:t xml:space="preserve">Numatomo teisinio reguliavimo poveikio vertinimas atliktas tik </w:t>
            </w:r>
            <w:r w:rsidR="002217DF">
              <w:rPr>
                <w:sz w:val="22"/>
                <w:szCs w:val="22"/>
              </w:rPr>
              <w:t xml:space="preserve">dėl </w:t>
            </w:r>
            <w:r w:rsidRPr="00495552">
              <w:rPr>
                <w:sz w:val="22"/>
                <w:szCs w:val="22"/>
              </w:rPr>
              <w:t>Lietuvos Respublikos kibernetinio saugumo įstatymo pakeitim</w:t>
            </w:r>
            <w:r w:rsidR="002217DF">
              <w:rPr>
                <w:sz w:val="22"/>
                <w:szCs w:val="22"/>
              </w:rPr>
              <w:t>o</w:t>
            </w:r>
            <w:r w:rsidR="00D5571A">
              <w:rPr>
                <w:sz w:val="22"/>
                <w:szCs w:val="22"/>
              </w:rPr>
              <w:t>, susijusio su</w:t>
            </w:r>
            <w:r w:rsidRPr="00495552">
              <w:rPr>
                <w:sz w:val="22"/>
                <w:szCs w:val="22"/>
              </w:rPr>
              <w:t xml:space="preserve"> </w:t>
            </w:r>
            <w:r w:rsidR="00D026C7">
              <w:rPr>
                <w:sz w:val="22"/>
                <w:szCs w:val="22"/>
              </w:rPr>
              <w:t>ryšių ir informacinių sistemų spragų</w:t>
            </w:r>
            <w:r w:rsidR="009C2B40">
              <w:rPr>
                <w:sz w:val="22"/>
                <w:szCs w:val="22"/>
              </w:rPr>
              <w:t xml:space="preserve"> (toliau – spragų)</w:t>
            </w:r>
            <w:r w:rsidR="00495552">
              <w:rPr>
                <w:sz w:val="22"/>
                <w:szCs w:val="22"/>
              </w:rPr>
              <w:t xml:space="preserve"> atskleidimo</w:t>
            </w:r>
            <w:r w:rsidRPr="00495552">
              <w:rPr>
                <w:sz w:val="22"/>
                <w:szCs w:val="22"/>
              </w:rPr>
              <w:t xml:space="preserve"> reglamentavim</w:t>
            </w:r>
            <w:r w:rsidR="00D5571A">
              <w:rPr>
                <w:sz w:val="22"/>
                <w:szCs w:val="22"/>
              </w:rPr>
              <w:t>u</w:t>
            </w:r>
            <w:r w:rsidR="002217DF">
              <w:rPr>
                <w:sz w:val="22"/>
                <w:szCs w:val="22"/>
              </w:rPr>
              <w:t>.</w:t>
            </w:r>
          </w:p>
        </w:tc>
      </w:tr>
    </w:tbl>
    <w:p w14:paraId="0515768C" w14:textId="77777777" w:rsidR="004A105B" w:rsidRPr="001A2227" w:rsidRDefault="004A105B" w:rsidP="004A105B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4A105B" w:rsidRPr="001A2227" w14:paraId="0515768F" w14:textId="77777777" w:rsidTr="00A47CC5">
        <w:tc>
          <w:tcPr>
            <w:tcW w:w="2235" w:type="dxa"/>
            <w:shd w:val="clear" w:color="auto" w:fill="DBE5F1"/>
            <w:hideMark/>
          </w:tcPr>
          <w:p w14:paraId="0515768D" w14:textId="77777777" w:rsidR="004A105B" w:rsidRPr="001A2227" w:rsidRDefault="004A105B" w:rsidP="00A47CC5">
            <w:pPr>
              <w:rPr>
                <w:szCs w:val="22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0515768E" w14:textId="77777777" w:rsidR="004A105B" w:rsidRPr="001A2227" w:rsidRDefault="004A105B" w:rsidP="00A47CC5">
            <w:pPr>
              <w:jc w:val="both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Krašto apsaugos ministerija</w:t>
            </w:r>
          </w:p>
        </w:tc>
      </w:tr>
    </w:tbl>
    <w:p w14:paraId="05157690" w14:textId="77777777" w:rsidR="004A105B" w:rsidRPr="001A2227" w:rsidRDefault="004A105B" w:rsidP="004A105B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4A105B" w:rsidRPr="001A2227" w14:paraId="05157694" w14:textId="77777777" w:rsidTr="00A47CC5">
        <w:tc>
          <w:tcPr>
            <w:tcW w:w="2235" w:type="dxa"/>
            <w:shd w:val="clear" w:color="auto" w:fill="DBE5F1"/>
            <w:hideMark/>
          </w:tcPr>
          <w:p w14:paraId="05157691" w14:textId="77777777" w:rsidR="004A105B" w:rsidRPr="001A2227" w:rsidRDefault="004A105B" w:rsidP="00A47CC5">
            <w:pPr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05157692" w14:textId="7926F443" w:rsidR="00AF04AB" w:rsidRPr="00495552" w:rsidRDefault="00DF0CF5" w:rsidP="00DF0CF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Tikslas – </w:t>
            </w:r>
            <w:r w:rsidR="00D808B1" w:rsidRPr="00D808B1">
              <w:rPr>
                <w:sz w:val="22"/>
                <w:szCs w:val="22"/>
              </w:rPr>
              <w:t xml:space="preserve">reglamentuoti </w:t>
            </w:r>
            <w:r w:rsidR="009C2B40">
              <w:rPr>
                <w:sz w:val="22"/>
                <w:szCs w:val="22"/>
              </w:rPr>
              <w:t xml:space="preserve">spragų </w:t>
            </w:r>
            <w:r w:rsidR="00D808B1" w:rsidRPr="00D808B1">
              <w:rPr>
                <w:sz w:val="22"/>
                <w:szCs w:val="22"/>
              </w:rPr>
              <w:t>atskleidimo tvarką</w:t>
            </w:r>
            <w:r w:rsidR="00D808B1">
              <w:rPr>
                <w:sz w:val="22"/>
                <w:szCs w:val="22"/>
              </w:rPr>
              <w:t>.</w:t>
            </w:r>
          </w:p>
          <w:p w14:paraId="05157693" w14:textId="604A5172" w:rsidR="004A105B" w:rsidRPr="001A2227" w:rsidRDefault="00DF0CF5" w:rsidP="009C2B40">
            <w:pPr>
              <w:jc w:val="both"/>
              <w:rPr>
                <w:b/>
                <w:szCs w:val="22"/>
              </w:rPr>
            </w:pPr>
            <w:r w:rsidRPr="00495552">
              <w:rPr>
                <w:sz w:val="22"/>
                <w:szCs w:val="22"/>
              </w:rPr>
              <w:t xml:space="preserve">Šiuo metu Lietuvoje </w:t>
            </w:r>
            <w:r w:rsidR="00495552">
              <w:rPr>
                <w:sz w:val="22"/>
                <w:szCs w:val="22"/>
              </w:rPr>
              <w:t>nacionaliniu lygiu</w:t>
            </w:r>
            <w:r w:rsidR="00495552" w:rsidRPr="00495552">
              <w:rPr>
                <w:sz w:val="22"/>
                <w:szCs w:val="22"/>
              </w:rPr>
              <w:t xml:space="preserve"> </w:t>
            </w:r>
            <w:r w:rsidRPr="00495552">
              <w:rPr>
                <w:sz w:val="22"/>
                <w:szCs w:val="22"/>
              </w:rPr>
              <w:t>nėra</w:t>
            </w:r>
            <w:r w:rsidRPr="00DF0CF5">
              <w:rPr>
                <w:sz w:val="22"/>
                <w:szCs w:val="22"/>
              </w:rPr>
              <w:t xml:space="preserve"> įteisintos </w:t>
            </w:r>
            <w:r w:rsidR="009C2B40">
              <w:rPr>
                <w:sz w:val="22"/>
                <w:szCs w:val="22"/>
              </w:rPr>
              <w:t xml:space="preserve">spragų </w:t>
            </w:r>
            <w:r w:rsidRPr="00DF0CF5">
              <w:rPr>
                <w:sz w:val="22"/>
                <w:szCs w:val="22"/>
              </w:rPr>
              <w:t xml:space="preserve">atskleidimo praktikos. Tai reiškia, kad </w:t>
            </w:r>
            <w:r w:rsidR="009C2B40">
              <w:rPr>
                <w:sz w:val="22"/>
                <w:szCs w:val="22"/>
              </w:rPr>
              <w:t>spragą</w:t>
            </w:r>
            <w:r w:rsidR="00495552">
              <w:rPr>
                <w:sz w:val="22"/>
                <w:szCs w:val="22"/>
              </w:rPr>
              <w:t xml:space="preserve"> suradusiam ir jo pašalinimu suinteresuotam</w:t>
            </w:r>
            <w:r w:rsidRPr="00DF0CF5">
              <w:rPr>
                <w:sz w:val="22"/>
                <w:szCs w:val="22"/>
              </w:rPr>
              <w:t xml:space="preserve"> asmeniui nėra </w:t>
            </w:r>
            <w:r w:rsidR="0001200C">
              <w:rPr>
                <w:sz w:val="22"/>
                <w:szCs w:val="22"/>
              </w:rPr>
              <w:t xml:space="preserve">aišku, kaip </w:t>
            </w:r>
            <w:r w:rsidRPr="00DF0CF5">
              <w:rPr>
                <w:sz w:val="22"/>
                <w:szCs w:val="22"/>
              </w:rPr>
              <w:t>bendradarbiauti su kibernetinio saugumo subjekt</w:t>
            </w:r>
            <w:r w:rsidR="009C2B40">
              <w:rPr>
                <w:sz w:val="22"/>
                <w:szCs w:val="22"/>
              </w:rPr>
              <w:t>u</w:t>
            </w:r>
            <w:r w:rsidRPr="00DF0CF5">
              <w:rPr>
                <w:sz w:val="22"/>
                <w:szCs w:val="22"/>
              </w:rPr>
              <w:t>, kuri</w:t>
            </w:r>
            <w:r w:rsidR="009C2B40">
              <w:rPr>
                <w:sz w:val="22"/>
                <w:szCs w:val="22"/>
              </w:rPr>
              <w:t>o ryšių ir informacinėje sistemoje</w:t>
            </w:r>
            <w:r w:rsidRPr="00DF0CF5">
              <w:rPr>
                <w:sz w:val="22"/>
                <w:szCs w:val="22"/>
              </w:rPr>
              <w:t xml:space="preserve"> </w:t>
            </w:r>
            <w:r w:rsidR="009C2B40">
              <w:rPr>
                <w:sz w:val="22"/>
                <w:szCs w:val="22"/>
              </w:rPr>
              <w:t xml:space="preserve">spraga </w:t>
            </w:r>
            <w:r w:rsidRPr="00DF0CF5">
              <w:rPr>
                <w:sz w:val="22"/>
                <w:szCs w:val="22"/>
              </w:rPr>
              <w:t xml:space="preserve">buvo </w:t>
            </w:r>
            <w:r w:rsidR="00495552">
              <w:rPr>
                <w:sz w:val="22"/>
                <w:szCs w:val="22"/>
              </w:rPr>
              <w:t>identifikuota</w:t>
            </w:r>
            <w:r w:rsidRPr="00DF0CF5">
              <w:rPr>
                <w:sz w:val="22"/>
                <w:szCs w:val="22"/>
              </w:rPr>
              <w:t xml:space="preserve">. Dėl </w:t>
            </w:r>
            <w:r w:rsidR="009C2B40">
              <w:rPr>
                <w:sz w:val="22"/>
                <w:szCs w:val="22"/>
              </w:rPr>
              <w:t xml:space="preserve">spragų </w:t>
            </w:r>
            <w:r w:rsidR="0001200C">
              <w:rPr>
                <w:sz w:val="22"/>
                <w:szCs w:val="22"/>
              </w:rPr>
              <w:t xml:space="preserve">atskleidimo reglamentavimo </w:t>
            </w:r>
            <w:r w:rsidRPr="00DF0CF5">
              <w:rPr>
                <w:sz w:val="22"/>
                <w:szCs w:val="22"/>
              </w:rPr>
              <w:t>trūkumo identifikuot</w:t>
            </w:r>
            <w:r w:rsidR="009C2B40">
              <w:rPr>
                <w:sz w:val="22"/>
                <w:szCs w:val="22"/>
              </w:rPr>
              <w:t xml:space="preserve">os spragos </w:t>
            </w:r>
            <w:r w:rsidRPr="00DF0CF5">
              <w:rPr>
                <w:sz w:val="22"/>
                <w:szCs w:val="22"/>
              </w:rPr>
              <w:t>neretai lieka neatskleist</w:t>
            </w:r>
            <w:r w:rsidR="009C2B40">
              <w:rPr>
                <w:sz w:val="22"/>
                <w:szCs w:val="22"/>
              </w:rPr>
              <w:t>os</w:t>
            </w:r>
            <w:r w:rsidRPr="00DF0CF5">
              <w:rPr>
                <w:sz w:val="22"/>
                <w:szCs w:val="22"/>
              </w:rPr>
              <w:t>, o j</w:t>
            </w:r>
            <w:r w:rsidR="00C01775">
              <w:rPr>
                <w:sz w:val="22"/>
                <w:szCs w:val="22"/>
              </w:rPr>
              <w:t>uos</w:t>
            </w:r>
            <w:r w:rsidRPr="00DF0CF5">
              <w:rPr>
                <w:sz w:val="22"/>
                <w:szCs w:val="22"/>
              </w:rPr>
              <w:t xml:space="preserve"> suradę kibernetinio saugumo tyrėjai rizikuoja užsitraukti administracinę arba baudžiamąją atsakomybę. </w:t>
            </w:r>
            <w:r w:rsidR="002217DF">
              <w:rPr>
                <w:sz w:val="22"/>
                <w:szCs w:val="22"/>
              </w:rPr>
              <w:t xml:space="preserve">Nustatyta </w:t>
            </w:r>
            <w:r w:rsidR="009C2B40">
              <w:rPr>
                <w:sz w:val="22"/>
                <w:szCs w:val="22"/>
              </w:rPr>
              <w:t xml:space="preserve">spragų </w:t>
            </w:r>
            <w:r w:rsidRPr="00DF0CF5">
              <w:rPr>
                <w:sz w:val="22"/>
                <w:szCs w:val="22"/>
              </w:rPr>
              <w:t>atskleidimo tvark</w:t>
            </w:r>
            <w:r w:rsidR="002217DF">
              <w:rPr>
                <w:sz w:val="22"/>
                <w:szCs w:val="22"/>
              </w:rPr>
              <w:t>a</w:t>
            </w:r>
            <w:r w:rsidRPr="00DF0CF5">
              <w:rPr>
                <w:sz w:val="22"/>
                <w:szCs w:val="22"/>
              </w:rPr>
              <w:t xml:space="preserve"> ne tik apsaugotų kibernetinio saugumo subjektus nuo </w:t>
            </w:r>
            <w:r w:rsidR="00F2079A" w:rsidRPr="00DF0CF5">
              <w:rPr>
                <w:sz w:val="22"/>
                <w:szCs w:val="22"/>
              </w:rPr>
              <w:t xml:space="preserve">galimos </w:t>
            </w:r>
            <w:r w:rsidRPr="00DF0CF5">
              <w:rPr>
                <w:sz w:val="22"/>
                <w:szCs w:val="22"/>
              </w:rPr>
              <w:t xml:space="preserve">kibernetinių incidentų žalos arba ją </w:t>
            </w:r>
            <w:r w:rsidR="002217DF">
              <w:rPr>
                <w:sz w:val="22"/>
                <w:szCs w:val="22"/>
              </w:rPr>
              <w:t>labai</w:t>
            </w:r>
            <w:r w:rsidR="002217DF" w:rsidRPr="00DF0CF5">
              <w:rPr>
                <w:sz w:val="22"/>
                <w:szCs w:val="22"/>
              </w:rPr>
              <w:t xml:space="preserve"> </w:t>
            </w:r>
            <w:r w:rsidRPr="00DF0CF5">
              <w:rPr>
                <w:sz w:val="22"/>
                <w:szCs w:val="22"/>
              </w:rPr>
              <w:t>sumažintų, bet ir prisidėtų prie visapusės kibernetinio saugumo brandos augimo Lietuvoje.</w:t>
            </w:r>
          </w:p>
        </w:tc>
      </w:tr>
    </w:tbl>
    <w:p w14:paraId="05157695" w14:textId="77777777" w:rsidR="004A105B" w:rsidRPr="001A2227" w:rsidRDefault="004A105B" w:rsidP="004A105B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4A105B" w:rsidRPr="001A2227" w14:paraId="05157699" w14:textId="77777777" w:rsidTr="00A47CC5">
        <w:trPr>
          <w:trHeight w:val="415"/>
        </w:trPr>
        <w:tc>
          <w:tcPr>
            <w:tcW w:w="2164" w:type="dxa"/>
            <w:shd w:val="clear" w:color="auto" w:fill="DBE5F1"/>
          </w:tcPr>
          <w:p w14:paraId="05157696" w14:textId="77777777" w:rsidR="004A105B" w:rsidRPr="001A2227" w:rsidRDefault="004A105B" w:rsidP="00A47CC5">
            <w:pPr>
              <w:rPr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05157697" w14:textId="77777777" w:rsidR="004A105B" w:rsidRPr="001A2227" w:rsidRDefault="004A105B" w:rsidP="00A47CC5">
            <w:pPr>
              <w:jc w:val="center"/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14:paraId="05157698" w14:textId="77777777" w:rsidR="004A105B" w:rsidRPr="001A2227" w:rsidRDefault="004A105B" w:rsidP="00A47CC5">
            <w:pPr>
              <w:jc w:val="center"/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(</w:t>
            </w:r>
            <w:r w:rsidRPr="001A2227">
              <w:rPr>
                <w:b/>
                <w:bCs/>
                <w:sz w:val="22"/>
                <w:szCs w:val="22"/>
              </w:rPr>
              <w:t>teigiamos ir (ar) neigiamos pasekmės)*</w:t>
            </w:r>
          </w:p>
        </w:tc>
      </w:tr>
    </w:tbl>
    <w:p w14:paraId="0515769A" w14:textId="77777777" w:rsidR="004A105B" w:rsidRPr="001A2227" w:rsidRDefault="004A105B" w:rsidP="004A105B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4A105B" w:rsidRPr="001A2227" w14:paraId="051576A2" w14:textId="77777777" w:rsidTr="00A47CC5">
        <w:tc>
          <w:tcPr>
            <w:tcW w:w="2235" w:type="dxa"/>
            <w:shd w:val="clear" w:color="auto" w:fill="DBE5F1"/>
          </w:tcPr>
          <w:p w14:paraId="0515769B" w14:textId="77777777" w:rsidR="004A105B" w:rsidRPr="001A2227" w:rsidRDefault="004A105B" w:rsidP="00A47CC5">
            <w:pPr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atitinkamai </w:t>
            </w:r>
          </w:p>
          <w:p w14:paraId="0515769C" w14:textId="77777777" w:rsidR="004A105B" w:rsidRPr="001A2227" w:rsidRDefault="004A105B" w:rsidP="00A47CC5">
            <w:pPr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14:paraId="0515769D" w14:textId="2D4E2372" w:rsidR="00DF0CF5" w:rsidRPr="00DF0CF5" w:rsidRDefault="00DF0CF5" w:rsidP="00DF0CF5">
            <w:pPr>
              <w:jc w:val="both"/>
              <w:rPr>
                <w:szCs w:val="22"/>
              </w:rPr>
            </w:pPr>
            <w:r w:rsidRPr="00DF0CF5">
              <w:rPr>
                <w:sz w:val="22"/>
                <w:szCs w:val="22"/>
              </w:rPr>
              <w:t xml:space="preserve">Subjektai: fiziniai asmenys (ne tik Lietuvos piliečiai), organizacijos ir įmonės (ne tik registruotos ar veikiančios Lietuvoje), kurios atskleis </w:t>
            </w:r>
            <w:r w:rsidR="009C2B40">
              <w:rPr>
                <w:sz w:val="22"/>
                <w:szCs w:val="22"/>
              </w:rPr>
              <w:t>spragas</w:t>
            </w:r>
            <w:r w:rsidRPr="00DF0CF5">
              <w:rPr>
                <w:sz w:val="22"/>
                <w:szCs w:val="22"/>
              </w:rPr>
              <w:t xml:space="preserve">, bei įvairūs juridiniai asmenys, valdantys ir tvarkantys </w:t>
            </w:r>
            <w:r w:rsidR="0001200C">
              <w:rPr>
                <w:sz w:val="22"/>
                <w:szCs w:val="22"/>
              </w:rPr>
              <w:t>ryšių ir informacines sistemas</w:t>
            </w:r>
            <w:r w:rsidRPr="00DF0CF5">
              <w:rPr>
                <w:sz w:val="22"/>
                <w:szCs w:val="22"/>
              </w:rPr>
              <w:t>.</w:t>
            </w:r>
          </w:p>
          <w:p w14:paraId="0515769E" w14:textId="624F92C6" w:rsidR="00DF0CF5" w:rsidRPr="00D5571A" w:rsidRDefault="00DF0CF5" w:rsidP="00DF0CF5">
            <w:pPr>
              <w:jc w:val="both"/>
              <w:rPr>
                <w:sz w:val="22"/>
                <w:szCs w:val="22"/>
              </w:rPr>
            </w:pPr>
            <w:r w:rsidRPr="00DF0CF5">
              <w:rPr>
                <w:sz w:val="22"/>
                <w:szCs w:val="22"/>
              </w:rPr>
              <w:t>Teigiamos pasekmės: subjektai, vadovaudamiesi patvirtint</w:t>
            </w:r>
            <w:r w:rsidR="00F2079A">
              <w:rPr>
                <w:sz w:val="22"/>
                <w:szCs w:val="22"/>
              </w:rPr>
              <w:t>u</w:t>
            </w:r>
            <w:r w:rsidRPr="00DF0CF5">
              <w:rPr>
                <w:sz w:val="22"/>
                <w:szCs w:val="22"/>
              </w:rPr>
              <w:t xml:space="preserve"> </w:t>
            </w:r>
            <w:r w:rsidR="0001200C">
              <w:rPr>
                <w:sz w:val="22"/>
                <w:szCs w:val="22"/>
              </w:rPr>
              <w:t>nacionalin</w:t>
            </w:r>
            <w:r w:rsidR="00AD73BD">
              <w:rPr>
                <w:sz w:val="22"/>
                <w:szCs w:val="22"/>
              </w:rPr>
              <w:t>ės</w:t>
            </w:r>
            <w:r w:rsidR="0001200C">
              <w:rPr>
                <w:sz w:val="22"/>
                <w:szCs w:val="22"/>
              </w:rPr>
              <w:t xml:space="preserve"> </w:t>
            </w:r>
            <w:r w:rsidR="009C2B40">
              <w:rPr>
                <w:sz w:val="22"/>
                <w:szCs w:val="22"/>
              </w:rPr>
              <w:t>spragų</w:t>
            </w:r>
            <w:r w:rsidR="0001200C">
              <w:rPr>
                <w:sz w:val="22"/>
                <w:szCs w:val="22"/>
              </w:rPr>
              <w:t xml:space="preserve"> </w:t>
            </w:r>
            <w:r w:rsidRPr="00DF0CF5">
              <w:rPr>
                <w:sz w:val="22"/>
                <w:szCs w:val="22"/>
              </w:rPr>
              <w:t>atskleidimo tvark</w:t>
            </w:r>
            <w:r w:rsidR="00F2079A">
              <w:rPr>
                <w:sz w:val="22"/>
                <w:szCs w:val="22"/>
              </w:rPr>
              <w:t xml:space="preserve">os aprašu </w:t>
            </w:r>
            <w:r w:rsidRPr="00DF0CF5">
              <w:rPr>
                <w:sz w:val="22"/>
                <w:szCs w:val="22"/>
              </w:rPr>
              <w:t>ir Kibernetinio saugumo įstatym</w:t>
            </w:r>
            <w:r w:rsidR="00F2079A">
              <w:rPr>
                <w:sz w:val="22"/>
                <w:szCs w:val="22"/>
              </w:rPr>
              <w:t>o</w:t>
            </w:r>
            <w:r w:rsidRPr="00DF0CF5">
              <w:rPr>
                <w:sz w:val="22"/>
                <w:szCs w:val="22"/>
              </w:rPr>
              <w:t xml:space="preserve"> reikalavimais, galės be neigiamų pasekmių ieškoti </w:t>
            </w:r>
            <w:r w:rsidR="009C2B40">
              <w:rPr>
                <w:sz w:val="22"/>
                <w:szCs w:val="22"/>
              </w:rPr>
              <w:t>spragų</w:t>
            </w:r>
            <w:r w:rsidR="005A3BDC">
              <w:rPr>
                <w:sz w:val="22"/>
                <w:szCs w:val="22"/>
              </w:rPr>
              <w:t xml:space="preserve"> </w:t>
            </w:r>
            <w:r w:rsidRPr="00DF0CF5">
              <w:rPr>
                <w:sz w:val="22"/>
                <w:szCs w:val="22"/>
              </w:rPr>
              <w:t>ir apie j</w:t>
            </w:r>
            <w:r w:rsidR="009C2B40">
              <w:rPr>
                <w:sz w:val="22"/>
                <w:szCs w:val="22"/>
              </w:rPr>
              <w:t>a</w:t>
            </w:r>
            <w:r w:rsidRPr="00DF0CF5">
              <w:rPr>
                <w:sz w:val="22"/>
                <w:szCs w:val="22"/>
              </w:rPr>
              <w:t xml:space="preserve">s pranešti juridiniams asmenims, valdantiems ir tvarkantiems </w:t>
            </w:r>
            <w:r w:rsidR="005A3BDC">
              <w:rPr>
                <w:sz w:val="22"/>
                <w:szCs w:val="22"/>
              </w:rPr>
              <w:t>ryšių ir informacines sistemas</w:t>
            </w:r>
            <w:r w:rsidRPr="00DF0CF5">
              <w:rPr>
                <w:sz w:val="22"/>
                <w:szCs w:val="22"/>
              </w:rPr>
              <w:t xml:space="preserve">. Juridiniai asmenys, valdantys ir tvarkantys </w:t>
            </w:r>
            <w:r w:rsidR="005A3BDC">
              <w:rPr>
                <w:sz w:val="22"/>
                <w:szCs w:val="22"/>
              </w:rPr>
              <w:t>ryšių ir informacines sistemas</w:t>
            </w:r>
            <w:r w:rsidRPr="00DF0CF5">
              <w:rPr>
                <w:sz w:val="22"/>
                <w:szCs w:val="22"/>
              </w:rPr>
              <w:t xml:space="preserve">, anksčiau galės identifikuoti </w:t>
            </w:r>
            <w:r w:rsidR="009C2B40">
              <w:rPr>
                <w:sz w:val="22"/>
                <w:szCs w:val="22"/>
              </w:rPr>
              <w:t>spragas</w:t>
            </w:r>
            <w:r w:rsidRPr="00DF0CF5">
              <w:rPr>
                <w:sz w:val="22"/>
                <w:szCs w:val="22"/>
              </w:rPr>
              <w:t xml:space="preserve"> ir greičiau suvaldyti rizikas.</w:t>
            </w:r>
            <w:r w:rsidR="005A3BDC">
              <w:rPr>
                <w:sz w:val="22"/>
                <w:szCs w:val="22"/>
              </w:rPr>
              <w:t xml:space="preserve"> </w:t>
            </w:r>
            <w:r w:rsidR="00D5571A" w:rsidRPr="00D5571A">
              <w:rPr>
                <w:sz w:val="22"/>
                <w:szCs w:val="22"/>
              </w:rPr>
              <w:t xml:space="preserve">Neigiamų pasekmių tikimybė </w:t>
            </w:r>
            <w:r w:rsidRPr="00DF0CF5">
              <w:rPr>
                <w:sz w:val="22"/>
                <w:szCs w:val="22"/>
              </w:rPr>
              <w:t>sumažėja.</w:t>
            </w:r>
          </w:p>
          <w:p w14:paraId="0515769F" w14:textId="22C5E585" w:rsidR="004A105B" w:rsidRDefault="00DF0CF5" w:rsidP="00DF0CF5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Bendra</w:t>
            </w:r>
            <w:r w:rsidR="00F2079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vertin</w:t>
            </w:r>
            <w:r w:rsidR="00F2079A">
              <w:rPr>
                <w:sz w:val="22"/>
                <w:szCs w:val="22"/>
              </w:rPr>
              <w:t>imas</w:t>
            </w:r>
            <w:r w:rsidRPr="00DF0CF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bus </w:t>
            </w:r>
            <w:r w:rsidRPr="00DF0CF5">
              <w:rPr>
                <w:sz w:val="22"/>
                <w:szCs w:val="22"/>
              </w:rPr>
              <w:t xml:space="preserve">daugiau nustatyta ir pašalinta </w:t>
            </w:r>
            <w:r w:rsidR="009C2B40">
              <w:rPr>
                <w:sz w:val="22"/>
                <w:szCs w:val="22"/>
              </w:rPr>
              <w:t>spragų</w:t>
            </w:r>
            <w:r>
              <w:rPr>
                <w:sz w:val="22"/>
                <w:szCs w:val="22"/>
              </w:rPr>
              <w:t>,</w:t>
            </w:r>
            <w:r w:rsidR="005A3B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padidės </w:t>
            </w:r>
            <w:r w:rsidRPr="00DF0CF5">
              <w:rPr>
                <w:sz w:val="22"/>
                <w:szCs w:val="22"/>
              </w:rPr>
              <w:t>bendr</w:t>
            </w:r>
            <w:r>
              <w:rPr>
                <w:sz w:val="22"/>
                <w:szCs w:val="22"/>
              </w:rPr>
              <w:t>as</w:t>
            </w:r>
            <w:r w:rsidRPr="00DF0CF5">
              <w:rPr>
                <w:sz w:val="22"/>
                <w:szCs w:val="22"/>
              </w:rPr>
              <w:t xml:space="preserve"> kibernetinio saugumo lygi</w:t>
            </w:r>
            <w:r>
              <w:rPr>
                <w:sz w:val="22"/>
                <w:szCs w:val="22"/>
              </w:rPr>
              <w:t>s</w:t>
            </w:r>
            <w:r w:rsidRPr="00DF0CF5">
              <w:rPr>
                <w:sz w:val="22"/>
                <w:szCs w:val="22"/>
              </w:rPr>
              <w:t xml:space="preserve"> šalyje</w:t>
            </w:r>
            <w:r w:rsidR="00F2079A">
              <w:rPr>
                <w:sz w:val="22"/>
                <w:szCs w:val="22"/>
              </w:rPr>
              <w:t>,</w:t>
            </w:r>
            <w:r w:rsidRPr="00DF0C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padidės</w:t>
            </w:r>
            <w:r w:rsidR="005A3B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subjektų </w:t>
            </w:r>
            <w:r w:rsidRPr="00DF0CF5">
              <w:rPr>
                <w:sz w:val="22"/>
                <w:szCs w:val="22"/>
              </w:rPr>
              <w:t>pasitikėjim</w:t>
            </w:r>
            <w:r>
              <w:rPr>
                <w:sz w:val="22"/>
                <w:szCs w:val="22"/>
              </w:rPr>
              <w:t>as</w:t>
            </w:r>
            <w:r w:rsidRPr="00DF0CF5">
              <w:rPr>
                <w:sz w:val="22"/>
                <w:szCs w:val="22"/>
              </w:rPr>
              <w:t xml:space="preserve"> vienas kitu</w:t>
            </w:r>
            <w:r w:rsidR="00F2079A">
              <w:rPr>
                <w:sz w:val="22"/>
                <w:szCs w:val="22"/>
              </w:rPr>
              <w:t>,</w:t>
            </w:r>
            <w:r w:rsidRPr="00DF0C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bus pritaikyt</w:t>
            </w:r>
            <w:r w:rsidR="002369C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DF0CF5">
              <w:rPr>
                <w:sz w:val="22"/>
                <w:szCs w:val="22"/>
              </w:rPr>
              <w:t>kitų šalių gero</w:t>
            </w:r>
            <w:r w:rsidR="00F2079A">
              <w:rPr>
                <w:sz w:val="22"/>
                <w:szCs w:val="22"/>
              </w:rPr>
              <w:t>ji</w:t>
            </w:r>
            <w:r w:rsidRPr="00DF0CF5">
              <w:rPr>
                <w:sz w:val="22"/>
                <w:szCs w:val="22"/>
              </w:rPr>
              <w:t xml:space="preserve"> praktik</w:t>
            </w:r>
            <w:r w:rsidR="00F2079A">
              <w:rPr>
                <w:sz w:val="22"/>
                <w:szCs w:val="22"/>
              </w:rPr>
              <w:t>a,</w:t>
            </w:r>
            <w:r w:rsidRPr="00DF0C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ugdoma </w:t>
            </w:r>
            <w:r w:rsidRPr="00DF0CF5">
              <w:rPr>
                <w:sz w:val="22"/>
                <w:szCs w:val="22"/>
              </w:rPr>
              <w:t>pozityvi</w:t>
            </w:r>
            <w:r>
              <w:rPr>
                <w:sz w:val="22"/>
                <w:szCs w:val="22"/>
              </w:rPr>
              <w:t xml:space="preserve"> kiber</w:t>
            </w:r>
            <w:r w:rsidRPr="00DF0CF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 w:rsidRPr="00DF0CF5">
              <w:rPr>
                <w:sz w:val="22"/>
                <w:szCs w:val="22"/>
              </w:rPr>
              <w:t>tinė kultūr</w:t>
            </w:r>
            <w:r>
              <w:rPr>
                <w:sz w:val="22"/>
                <w:szCs w:val="22"/>
              </w:rPr>
              <w:t>a</w:t>
            </w:r>
            <w:r w:rsidRPr="00DF0CF5">
              <w:rPr>
                <w:sz w:val="22"/>
                <w:szCs w:val="22"/>
              </w:rPr>
              <w:t xml:space="preserve"> šalyje.  </w:t>
            </w:r>
          </w:p>
          <w:p w14:paraId="3EA3FCD5" w14:textId="77777777" w:rsidR="009C2B40" w:rsidRDefault="00DF0CF5" w:rsidP="009C2B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Reikalingos priemonės</w:t>
            </w:r>
            <w:r w:rsidR="00F2079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F2079A">
              <w:rPr>
                <w:sz w:val="22"/>
                <w:szCs w:val="22"/>
              </w:rPr>
              <w:t>a</w:t>
            </w:r>
            <w:r w:rsidRPr="00DF0CF5">
              <w:rPr>
                <w:sz w:val="22"/>
                <w:szCs w:val="22"/>
              </w:rPr>
              <w:t xml:space="preserve">dministracinės </w:t>
            </w:r>
            <w:r w:rsidR="00F2079A">
              <w:rPr>
                <w:sz w:val="22"/>
                <w:szCs w:val="22"/>
              </w:rPr>
              <w:t>–</w:t>
            </w:r>
            <w:r w:rsidRPr="00DF0CF5">
              <w:rPr>
                <w:sz w:val="22"/>
                <w:szCs w:val="22"/>
              </w:rPr>
              <w:t xml:space="preserve"> naujos funkcijos priskyrimas Nacionaliniam kibernetinio saugumo centrui</w:t>
            </w:r>
            <w:r w:rsidR="005A3BDC">
              <w:rPr>
                <w:sz w:val="22"/>
                <w:szCs w:val="22"/>
              </w:rPr>
              <w:t xml:space="preserve"> prie Krašto apsaugos ministerijos (toliau – NKSC)</w:t>
            </w:r>
            <w:r w:rsidR="00F207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2079A">
              <w:rPr>
                <w:sz w:val="22"/>
                <w:szCs w:val="22"/>
              </w:rPr>
              <w:t>f</w:t>
            </w:r>
            <w:r w:rsidRPr="00DF0CF5">
              <w:rPr>
                <w:sz w:val="22"/>
                <w:szCs w:val="22"/>
              </w:rPr>
              <w:t xml:space="preserve">inansinės </w:t>
            </w:r>
            <w:r w:rsidR="00F2079A">
              <w:rPr>
                <w:sz w:val="22"/>
                <w:szCs w:val="22"/>
              </w:rPr>
              <w:t xml:space="preserve">– </w:t>
            </w:r>
            <w:r w:rsidRPr="00DF0CF5">
              <w:rPr>
                <w:sz w:val="22"/>
                <w:szCs w:val="22"/>
              </w:rPr>
              <w:t xml:space="preserve"> nauj</w:t>
            </w:r>
            <w:r w:rsidR="00F2079A">
              <w:rPr>
                <w:sz w:val="22"/>
                <w:szCs w:val="22"/>
              </w:rPr>
              <w:t>ai</w:t>
            </w:r>
            <w:r w:rsidRPr="00DF0CF5">
              <w:rPr>
                <w:sz w:val="22"/>
                <w:szCs w:val="22"/>
              </w:rPr>
              <w:t xml:space="preserve"> funkcij</w:t>
            </w:r>
            <w:r w:rsidR="00F2079A">
              <w:rPr>
                <w:sz w:val="22"/>
                <w:szCs w:val="22"/>
              </w:rPr>
              <w:t>ai</w:t>
            </w:r>
            <w:r w:rsidRPr="00DF0CF5">
              <w:rPr>
                <w:sz w:val="22"/>
                <w:szCs w:val="22"/>
              </w:rPr>
              <w:t xml:space="preserve"> vykdy</w:t>
            </w:r>
            <w:r w:rsidR="00F2079A">
              <w:rPr>
                <w:sz w:val="22"/>
                <w:szCs w:val="22"/>
              </w:rPr>
              <w:t>t</w:t>
            </w:r>
            <w:r w:rsidRPr="00DF0CF5">
              <w:rPr>
                <w:sz w:val="22"/>
                <w:szCs w:val="22"/>
              </w:rPr>
              <w:t xml:space="preserve">i </w:t>
            </w:r>
            <w:r w:rsidR="005A3BDC">
              <w:rPr>
                <w:sz w:val="22"/>
                <w:szCs w:val="22"/>
              </w:rPr>
              <w:t xml:space="preserve">NKSC </w:t>
            </w:r>
            <w:r w:rsidRPr="00DF0CF5">
              <w:rPr>
                <w:sz w:val="22"/>
                <w:szCs w:val="22"/>
              </w:rPr>
              <w:t>reikalingi resursai.</w:t>
            </w:r>
            <w:r w:rsidR="005A3BDC">
              <w:rPr>
                <w:sz w:val="22"/>
                <w:szCs w:val="22"/>
              </w:rPr>
              <w:t xml:space="preserve"> </w:t>
            </w:r>
          </w:p>
          <w:p w14:paraId="051576A1" w14:textId="13785ED6" w:rsidR="00DF0CF5" w:rsidRPr="001A2227" w:rsidRDefault="00D5571A" w:rsidP="009C2B40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Nesiimant veiksmų</w:t>
            </w:r>
            <w:r w:rsidR="002369CA">
              <w:rPr>
                <w:sz w:val="22"/>
                <w:szCs w:val="22"/>
              </w:rPr>
              <w:t>,</w:t>
            </w:r>
            <w:r w:rsidR="00DF0CF5" w:rsidRPr="00DF0CF5">
              <w:rPr>
                <w:sz w:val="22"/>
                <w:szCs w:val="22"/>
              </w:rPr>
              <w:t xml:space="preserve"> </w:t>
            </w:r>
            <w:r w:rsidR="009C2B40">
              <w:rPr>
                <w:sz w:val="22"/>
                <w:szCs w:val="22"/>
              </w:rPr>
              <w:t>spragos</w:t>
            </w:r>
            <w:r w:rsidR="005A3BDC">
              <w:rPr>
                <w:sz w:val="22"/>
                <w:szCs w:val="22"/>
              </w:rPr>
              <w:t xml:space="preserve"> </w:t>
            </w:r>
            <w:r w:rsidR="00DF0CF5" w:rsidRPr="00DF0CF5">
              <w:rPr>
                <w:sz w:val="22"/>
                <w:szCs w:val="22"/>
              </w:rPr>
              <w:t>visuomen</w:t>
            </w:r>
            <w:r w:rsidR="005A3BDC">
              <w:rPr>
                <w:sz w:val="22"/>
                <w:szCs w:val="22"/>
              </w:rPr>
              <w:t>ės iniciatyva bus atskleidžiam</w:t>
            </w:r>
            <w:r w:rsidR="009C2B40">
              <w:rPr>
                <w:sz w:val="22"/>
                <w:szCs w:val="22"/>
              </w:rPr>
              <w:t>os</w:t>
            </w:r>
            <w:r w:rsidR="00DF0CF5" w:rsidRPr="00DF0CF5">
              <w:rPr>
                <w:sz w:val="22"/>
                <w:szCs w:val="22"/>
              </w:rPr>
              <w:t xml:space="preserve"> retai. Šiuos </w:t>
            </w:r>
            <w:r w:rsidR="00DF0CF5">
              <w:rPr>
                <w:sz w:val="22"/>
                <w:szCs w:val="22"/>
              </w:rPr>
              <w:t xml:space="preserve">veiksmus atliekantys subjektai, </w:t>
            </w:r>
            <w:r w:rsidR="00DF0CF5" w:rsidRPr="00DF0CF5">
              <w:rPr>
                <w:sz w:val="22"/>
                <w:szCs w:val="22"/>
              </w:rPr>
              <w:t xml:space="preserve">rizikuodami užsitraukti administracinę arba baudžiamąją atsakomybę, vengs pateikti informaciją. Dėl šios priežasties </w:t>
            </w:r>
            <w:r w:rsidR="009C2B40">
              <w:rPr>
                <w:sz w:val="22"/>
                <w:szCs w:val="22"/>
              </w:rPr>
              <w:t>spragos</w:t>
            </w:r>
            <w:r w:rsidR="00C01775">
              <w:rPr>
                <w:sz w:val="22"/>
                <w:szCs w:val="22"/>
              </w:rPr>
              <w:t xml:space="preserve"> </w:t>
            </w:r>
            <w:r w:rsidR="00DF0CF5" w:rsidRPr="00DF0CF5">
              <w:rPr>
                <w:sz w:val="22"/>
                <w:szCs w:val="22"/>
              </w:rPr>
              <w:t>nebus pašalinam</w:t>
            </w:r>
            <w:r w:rsidR="009C2B40">
              <w:rPr>
                <w:sz w:val="22"/>
                <w:szCs w:val="22"/>
              </w:rPr>
              <w:t>os</w:t>
            </w:r>
            <w:r w:rsidR="00DF0CF5" w:rsidRPr="00DF0CF5">
              <w:rPr>
                <w:sz w:val="22"/>
                <w:szCs w:val="22"/>
              </w:rPr>
              <w:t xml:space="preserve"> arba jų pašalinimas užtruks, </w:t>
            </w:r>
            <w:r w:rsidR="00F2079A">
              <w:rPr>
                <w:sz w:val="22"/>
                <w:szCs w:val="22"/>
              </w:rPr>
              <w:t>tai</w:t>
            </w:r>
            <w:r w:rsidR="00F2079A" w:rsidRPr="00DF0CF5">
              <w:rPr>
                <w:sz w:val="22"/>
                <w:szCs w:val="22"/>
              </w:rPr>
              <w:t xml:space="preserve"> </w:t>
            </w:r>
            <w:r w:rsidR="00DF0CF5" w:rsidRPr="00DF0CF5">
              <w:rPr>
                <w:sz w:val="22"/>
                <w:szCs w:val="22"/>
              </w:rPr>
              <w:t xml:space="preserve">sudarys galimybes </w:t>
            </w:r>
            <w:proofErr w:type="spellStart"/>
            <w:r w:rsidR="00DF0CF5" w:rsidRPr="00DF0CF5">
              <w:rPr>
                <w:sz w:val="22"/>
                <w:szCs w:val="22"/>
              </w:rPr>
              <w:t>kenkėjiška</w:t>
            </w:r>
            <w:proofErr w:type="spellEnd"/>
            <w:r w:rsidR="00DF0CF5" w:rsidRPr="00DF0CF5">
              <w:rPr>
                <w:sz w:val="22"/>
                <w:szCs w:val="22"/>
              </w:rPr>
              <w:t xml:space="preserve"> veikla užsiimantiems subjektams išnaudoti </w:t>
            </w:r>
            <w:r w:rsidR="009C2B40">
              <w:rPr>
                <w:sz w:val="22"/>
                <w:szCs w:val="22"/>
              </w:rPr>
              <w:t>spragas</w:t>
            </w:r>
            <w:r w:rsidR="00DF0CF5" w:rsidRPr="00DF0CF5">
              <w:rPr>
                <w:sz w:val="22"/>
                <w:szCs w:val="22"/>
              </w:rPr>
              <w:t xml:space="preserve"> ir sukelti įvairaus lyg</w:t>
            </w:r>
            <w:r w:rsidR="006C5AF3">
              <w:rPr>
                <w:sz w:val="22"/>
                <w:szCs w:val="22"/>
              </w:rPr>
              <w:t>io</w:t>
            </w:r>
            <w:r w:rsidR="00DF0CF5" w:rsidRPr="00DF0CF5">
              <w:rPr>
                <w:sz w:val="22"/>
                <w:szCs w:val="22"/>
              </w:rPr>
              <w:t xml:space="preserve"> ir tipo žalą </w:t>
            </w:r>
            <w:r w:rsidR="005A3BDC">
              <w:rPr>
                <w:sz w:val="22"/>
                <w:szCs w:val="22"/>
              </w:rPr>
              <w:t>ryšių ir informacines sistemas</w:t>
            </w:r>
            <w:r w:rsidR="00DF0CF5" w:rsidRPr="00DF0CF5">
              <w:rPr>
                <w:sz w:val="22"/>
                <w:szCs w:val="22"/>
              </w:rPr>
              <w:t xml:space="preserve"> valdantiems ar tvarkantiems subjektams ir jų informaciniam ar materiali</w:t>
            </w:r>
            <w:r w:rsidR="00137DFC">
              <w:rPr>
                <w:sz w:val="22"/>
                <w:szCs w:val="22"/>
              </w:rPr>
              <w:t>ni</w:t>
            </w:r>
            <w:r w:rsidR="00DF0CF5" w:rsidRPr="00DF0CF5">
              <w:rPr>
                <w:sz w:val="22"/>
                <w:szCs w:val="22"/>
              </w:rPr>
              <w:t>am turtui.</w:t>
            </w:r>
          </w:p>
        </w:tc>
      </w:tr>
    </w:tbl>
    <w:p w14:paraId="051576A3" w14:textId="77777777" w:rsidR="004A105B" w:rsidRPr="001A2227" w:rsidRDefault="004A105B" w:rsidP="004A105B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4A105B" w:rsidRPr="001A2227" w14:paraId="051576A9" w14:textId="77777777" w:rsidTr="00A47CC5">
        <w:tc>
          <w:tcPr>
            <w:tcW w:w="2235" w:type="dxa"/>
            <w:shd w:val="clear" w:color="auto" w:fill="DBE5F1"/>
            <w:hideMark/>
          </w:tcPr>
          <w:p w14:paraId="051576A4" w14:textId="77777777" w:rsidR="004A105B" w:rsidRPr="001A2227" w:rsidRDefault="004A105B" w:rsidP="00A47CC5">
            <w:pPr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lastRenderedPageBreak/>
              <w:t xml:space="preserve">Poveikis </w:t>
            </w:r>
          </w:p>
          <w:p w14:paraId="051576A5" w14:textId="77777777" w:rsidR="004A105B" w:rsidRPr="001A2227" w:rsidRDefault="004A105B" w:rsidP="00A47CC5">
            <w:pPr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14:paraId="051576A6" w14:textId="77777777" w:rsidR="004A105B" w:rsidRDefault="005A3BDC" w:rsidP="005A3BDC">
            <w:pPr>
              <w:ind w:right="175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NKSC</w:t>
            </w:r>
            <w:r w:rsidR="00392FF1">
              <w:rPr>
                <w:sz w:val="22"/>
                <w:szCs w:val="22"/>
              </w:rPr>
              <w:t xml:space="preserve"> pavedus vykdyti naujas funkcijas, bus reikalingi žmogiškieji resursai, t. y. </w:t>
            </w:r>
            <w:r w:rsidR="008A1960">
              <w:rPr>
                <w:sz w:val="22"/>
                <w:szCs w:val="22"/>
              </w:rPr>
              <w:t>2 </w:t>
            </w:r>
            <w:r w:rsidR="00392FF1">
              <w:rPr>
                <w:sz w:val="22"/>
                <w:szCs w:val="22"/>
              </w:rPr>
              <w:t>papildom</w:t>
            </w:r>
            <w:r w:rsidR="008A1960">
              <w:rPr>
                <w:sz w:val="22"/>
                <w:szCs w:val="22"/>
              </w:rPr>
              <w:t>i</w:t>
            </w:r>
            <w:r w:rsidR="00392FF1">
              <w:rPr>
                <w:sz w:val="22"/>
                <w:szCs w:val="22"/>
              </w:rPr>
              <w:t xml:space="preserve"> etata</w:t>
            </w:r>
            <w:r w:rsidR="008A1960">
              <w:rPr>
                <w:sz w:val="22"/>
                <w:szCs w:val="22"/>
              </w:rPr>
              <w:t>i</w:t>
            </w:r>
            <w:r w:rsidR="00392FF1">
              <w:rPr>
                <w:sz w:val="22"/>
                <w:szCs w:val="22"/>
              </w:rPr>
              <w:t>.</w:t>
            </w:r>
          </w:p>
          <w:p w14:paraId="051576A7" w14:textId="77777777" w:rsidR="0034794E" w:rsidRDefault="0034794E" w:rsidP="005A3BDC">
            <w:pPr>
              <w:ind w:right="175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Valstybės biudžeto išlaidos ir </w:t>
            </w:r>
            <w:r w:rsidRPr="0034794E">
              <w:rPr>
                <w:sz w:val="22"/>
                <w:szCs w:val="22"/>
              </w:rPr>
              <w:t>socialinės apsaugos ir nebiudžetini</w:t>
            </w:r>
            <w:r>
              <w:rPr>
                <w:sz w:val="22"/>
                <w:szCs w:val="22"/>
              </w:rPr>
              <w:t>ų</w:t>
            </w:r>
            <w:r w:rsidRPr="0034794E">
              <w:rPr>
                <w:sz w:val="22"/>
                <w:szCs w:val="22"/>
              </w:rPr>
              <w:t xml:space="preserve"> fond</w:t>
            </w:r>
            <w:r>
              <w:rPr>
                <w:sz w:val="22"/>
                <w:szCs w:val="22"/>
              </w:rPr>
              <w:t>ų pajamos turėtų pad</w:t>
            </w:r>
            <w:r w:rsidR="00137DFC"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>ėti.</w:t>
            </w:r>
          </w:p>
          <w:p w14:paraId="051576A8" w14:textId="77777777" w:rsidR="00392FF1" w:rsidRPr="001A2227" w:rsidRDefault="00392FF1" w:rsidP="00392FF1">
            <w:pPr>
              <w:jc w:val="both"/>
              <w:rPr>
                <w:szCs w:val="22"/>
              </w:rPr>
            </w:pPr>
          </w:p>
        </w:tc>
      </w:tr>
    </w:tbl>
    <w:p w14:paraId="051576AA" w14:textId="77777777" w:rsidR="004A105B" w:rsidRPr="001A2227" w:rsidRDefault="004A105B" w:rsidP="004A105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4A105B" w:rsidRPr="001A2227" w14:paraId="051576B4" w14:textId="77777777" w:rsidTr="00A47CC5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051576AB" w14:textId="77777777" w:rsidR="004A105B" w:rsidRPr="001A2227" w:rsidRDefault="004A105B" w:rsidP="00A47CC5">
            <w:pPr>
              <w:shd w:val="clear" w:color="auto" w:fill="DBE5F1"/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Poveikis administracinei naštai</w:t>
            </w:r>
          </w:p>
          <w:p w14:paraId="051576AC" w14:textId="77777777" w:rsidR="004A105B" w:rsidRPr="001A2227" w:rsidRDefault="004A105B" w:rsidP="00A47CC5">
            <w:pPr>
              <w:rPr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576AD" w14:textId="1878D58A" w:rsidR="004A105B" w:rsidRDefault="005A3BDC" w:rsidP="005A3BDC">
            <w:pPr>
              <w:ind w:right="14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NKSC</w:t>
            </w:r>
            <w:r w:rsidR="00AF04AB">
              <w:rPr>
                <w:sz w:val="22"/>
                <w:szCs w:val="22"/>
              </w:rPr>
              <w:t xml:space="preserve"> </w:t>
            </w:r>
            <w:r w:rsidR="00AF04AB" w:rsidRPr="00AF04AB">
              <w:rPr>
                <w:sz w:val="22"/>
                <w:szCs w:val="22"/>
              </w:rPr>
              <w:t>gauna naujas funkcijas:</w:t>
            </w:r>
            <w:r w:rsidRPr="003F5733">
              <w:rPr>
                <w:sz w:val="22"/>
                <w:szCs w:val="22"/>
              </w:rPr>
              <w:t xml:space="preserve"> analiz</w:t>
            </w:r>
            <w:r w:rsidRPr="005A3BDC">
              <w:rPr>
                <w:sz w:val="22"/>
                <w:szCs w:val="22"/>
              </w:rPr>
              <w:t xml:space="preserve">uoti informaciją apie </w:t>
            </w:r>
            <w:r w:rsidR="009C2B40">
              <w:rPr>
                <w:sz w:val="22"/>
                <w:szCs w:val="22"/>
              </w:rPr>
              <w:t>spragas</w:t>
            </w:r>
            <w:r w:rsidRPr="005A3BDC">
              <w:rPr>
                <w:sz w:val="22"/>
                <w:szCs w:val="22"/>
              </w:rPr>
              <w:t xml:space="preserve">, duoti nurodymus dėl </w:t>
            </w:r>
            <w:r w:rsidR="009C2B40">
              <w:rPr>
                <w:sz w:val="22"/>
                <w:szCs w:val="22"/>
              </w:rPr>
              <w:t>spragų</w:t>
            </w:r>
            <w:r w:rsidRPr="005A3BDC">
              <w:rPr>
                <w:sz w:val="22"/>
                <w:szCs w:val="22"/>
              </w:rPr>
              <w:t xml:space="preserve"> patvir</w:t>
            </w:r>
            <w:r w:rsidR="003F5733">
              <w:rPr>
                <w:sz w:val="22"/>
                <w:szCs w:val="22"/>
              </w:rPr>
              <w:t xml:space="preserve">tinimo </w:t>
            </w:r>
            <w:r w:rsidR="009C2B40">
              <w:rPr>
                <w:sz w:val="22"/>
                <w:szCs w:val="22"/>
              </w:rPr>
              <w:t>ir informavimo apie jas</w:t>
            </w:r>
            <w:r w:rsidR="00AF04AB" w:rsidRPr="005A3BDC">
              <w:rPr>
                <w:sz w:val="22"/>
                <w:szCs w:val="22"/>
              </w:rPr>
              <w:t>.</w:t>
            </w:r>
          </w:p>
          <w:p w14:paraId="051576AE" w14:textId="77777777" w:rsidR="005A3BDC" w:rsidRPr="005A3BDC" w:rsidRDefault="005A3BDC" w:rsidP="005A3BDC">
            <w:pPr>
              <w:ind w:right="140"/>
              <w:jc w:val="both"/>
              <w:rPr>
                <w:szCs w:val="22"/>
              </w:rPr>
            </w:pPr>
          </w:p>
          <w:p w14:paraId="051576AF" w14:textId="70A50016" w:rsidR="00AF04AB" w:rsidRDefault="00AF04AB" w:rsidP="005A3BDC">
            <w:pPr>
              <w:ind w:right="14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Vykdant šias veiklas </w:t>
            </w:r>
            <w:r w:rsidRPr="00AF04AB">
              <w:rPr>
                <w:sz w:val="22"/>
                <w:szCs w:val="22"/>
              </w:rPr>
              <w:t>gali</w:t>
            </w:r>
            <w:r>
              <w:rPr>
                <w:sz w:val="22"/>
                <w:szCs w:val="22"/>
              </w:rPr>
              <w:t xml:space="preserve"> būti</w:t>
            </w:r>
            <w:r w:rsidRPr="00AF04AB">
              <w:rPr>
                <w:sz w:val="22"/>
                <w:szCs w:val="22"/>
              </w:rPr>
              <w:t xml:space="preserve"> praš</w:t>
            </w:r>
            <w:r>
              <w:rPr>
                <w:sz w:val="22"/>
                <w:szCs w:val="22"/>
              </w:rPr>
              <w:t>oma</w:t>
            </w:r>
            <w:r w:rsidRPr="00AF04AB">
              <w:rPr>
                <w:sz w:val="22"/>
                <w:szCs w:val="22"/>
              </w:rPr>
              <w:t xml:space="preserve"> papildomos informacijos iš subjektų, kaip jie apibrėžti </w:t>
            </w:r>
            <w:r w:rsidR="006C5AF3">
              <w:rPr>
                <w:sz w:val="22"/>
                <w:szCs w:val="22"/>
              </w:rPr>
              <w:t xml:space="preserve">dalyje </w:t>
            </w:r>
            <w:r>
              <w:rPr>
                <w:sz w:val="22"/>
                <w:szCs w:val="22"/>
              </w:rPr>
              <w:t>„Poveikio atitinkamos srities vertinimui“</w:t>
            </w:r>
            <w:r w:rsidR="002369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A3BDC">
              <w:rPr>
                <w:sz w:val="22"/>
                <w:szCs w:val="22"/>
              </w:rPr>
              <w:t>bei duodami nurodymai.</w:t>
            </w:r>
          </w:p>
          <w:p w14:paraId="051576B0" w14:textId="0F4AA79C" w:rsidR="00AF04AB" w:rsidRDefault="00AF04AB" w:rsidP="005A3BDC">
            <w:pPr>
              <w:ind w:right="14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Naudojamos priemonės</w:t>
            </w:r>
            <w:r w:rsidR="006C5AF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6C5AF3">
              <w:rPr>
                <w:sz w:val="22"/>
                <w:szCs w:val="22"/>
              </w:rPr>
              <w:t>t</w:t>
            </w:r>
            <w:r w:rsidRPr="00AF04AB">
              <w:rPr>
                <w:sz w:val="22"/>
                <w:szCs w:val="22"/>
              </w:rPr>
              <w:t>urėtų būti naudojamas el. paštas, telefoninis ryšys, kitos duomenų mainų priemonės.</w:t>
            </w:r>
          </w:p>
          <w:p w14:paraId="051576B1" w14:textId="77777777" w:rsidR="00B456DD" w:rsidRDefault="00B456DD" w:rsidP="005A3BDC">
            <w:pPr>
              <w:ind w:right="140"/>
              <w:jc w:val="both"/>
              <w:rPr>
                <w:szCs w:val="22"/>
              </w:rPr>
            </w:pPr>
          </w:p>
          <w:p w14:paraId="051576B2" w14:textId="5B1B0AC3" w:rsidR="00B456DD" w:rsidRPr="005A3BDC" w:rsidRDefault="00B456DD" w:rsidP="005A3BDC">
            <w:pPr>
              <w:ind w:right="14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Krašto apsaugos </w:t>
            </w:r>
            <w:r w:rsidR="00D5571A" w:rsidRPr="00D5571A">
              <w:rPr>
                <w:sz w:val="22"/>
                <w:szCs w:val="22"/>
              </w:rPr>
              <w:t>ministerijai skiriama funkcija</w:t>
            </w:r>
            <w:r w:rsidR="00D5571A" w:rsidDel="00D5571A">
              <w:rPr>
                <w:sz w:val="22"/>
                <w:szCs w:val="22"/>
              </w:rPr>
              <w:t xml:space="preserve"> </w:t>
            </w:r>
            <w:r w:rsidRPr="005A3BDC">
              <w:rPr>
                <w:sz w:val="22"/>
                <w:szCs w:val="22"/>
              </w:rPr>
              <w:t xml:space="preserve">tvirtinti </w:t>
            </w:r>
            <w:r w:rsidR="00577399" w:rsidRPr="00297F82">
              <w:rPr>
                <w:sz w:val="22"/>
                <w:szCs w:val="22"/>
              </w:rPr>
              <w:t>nacionalin</w:t>
            </w:r>
            <w:r w:rsidR="00297F82">
              <w:rPr>
                <w:sz w:val="22"/>
                <w:szCs w:val="22"/>
              </w:rPr>
              <w:t>ės</w:t>
            </w:r>
            <w:r w:rsidR="00577399" w:rsidRPr="00297F82">
              <w:rPr>
                <w:sz w:val="22"/>
                <w:szCs w:val="22"/>
              </w:rPr>
              <w:t xml:space="preserve"> </w:t>
            </w:r>
            <w:r w:rsidR="009C2B40" w:rsidRPr="00297F82">
              <w:rPr>
                <w:sz w:val="22"/>
                <w:szCs w:val="22"/>
              </w:rPr>
              <w:t>spragų</w:t>
            </w:r>
            <w:r w:rsidR="001C5D56" w:rsidRPr="00297F82">
              <w:rPr>
                <w:sz w:val="22"/>
                <w:szCs w:val="22"/>
              </w:rPr>
              <w:t xml:space="preserve"> </w:t>
            </w:r>
            <w:r w:rsidRPr="00297F82">
              <w:rPr>
                <w:sz w:val="22"/>
                <w:szCs w:val="22"/>
              </w:rPr>
              <w:t>atskleidimo tvark</w:t>
            </w:r>
            <w:r w:rsidR="00297F82">
              <w:rPr>
                <w:sz w:val="22"/>
                <w:szCs w:val="22"/>
              </w:rPr>
              <w:t>os aprašą</w:t>
            </w:r>
            <w:r w:rsidRPr="00297F82">
              <w:rPr>
                <w:sz w:val="22"/>
                <w:szCs w:val="22"/>
              </w:rPr>
              <w:t>.</w:t>
            </w:r>
          </w:p>
          <w:p w14:paraId="051576B3" w14:textId="77777777" w:rsidR="00B456DD" w:rsidRPr="001A2227" w:rsidRDefault="00B456DD" w:rsidP="00AF04AB">
            <w:pPr>
              <w:jc w:val="both"/>
              <w:rPr>
                <w:szCs w:val="22"/>
              </w:rPr>
            </w:pPr>
          </w:p>
        </w:tc>
      </w:tr>
    </w:tbl>
    <w:p w14:paraId="051576B5" w14:textId="77777777" w:rsidR="004A105B" w:rsidRPr="001A2227" w:rsidRDefault="004A105B" w:rsidP="004A105B">
      <w:pPr>
        <w:rPr>
          <w:i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</w:tblGrid>
      <w:tr w:rsidR="004A105B" w:rsidRPr="001A2227" w14:paraId="051576BC" w14:textId="77777777" w:rsidTr="00A47CC5">
        <w:trPr>
          <w:trHeight w:val="396"/>
        </w:trPr>
        <w:tc>
          <w:tcPr>
            <w:tcW w:w="9606" w:type="dxa"/>
            <w:vMerge w:val="restart"/>
            <w:shd w:val="clear" w:color="auto" w:fill="DBE5F1"/>
            <w:hideMark/>
          </w:tcPr>
          <w:p w14:paraId="051576B6" w14:textId="77777777" w:rsidR="004A105B" w:rsidRDefault="004A105B" w:rsidP="00A47CC5">
            <w:pPr>
              <w:rPr>
                <w:b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Kita svarbi informacija</w:t>
            </w:r>
          </w:p>
          <w:p w14:paraId="051576B7" w14:textId="5C972E33" w:rsidR="00D72CE1" w:rsidRDefault="00396090" w:rsidP="007E5545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Pagal p</w:t>
            </w:r>
            <w:r w:rsidR="00AF04AB" w:rsidRPr="007E5545">
              <w:rPr>
                <w:sz w:val="22"/>
                <w:szCs w:val="22"/>
              </w:rPr>
              <w:t>rogram</w:t>
            </w:r>
            <w:r>
              <w:rPr>
                <w:sz w:val="22"/>
                <w:szCs w:val="22"/>
              </w:rPr>
              <w:t>ą</w:t>
            </w:r>
            <w:r w:rsidR="00AF04AB" w:rsidRPr="007E5545">
              <w:rPr>
                <w:sz w:val="22"/>
                <w:szCs w:val="22"/>
              </w:rPr>
              <w:t xml:space="preserve"> „Kurk Lietuvai“ 2019 m. kovo–rugsėjo mėn.</w:t>
            </w:r>
            <w:r w:rsidR="00D72CE1">
              <w:rPr>
                <w:sz w:val="22"/>
                <w:szCs w:val="22"/>
              </w:rPr>
              <w:t xml:space="preserve"> buvo:</w:t>
            </w:r>
            <w:bookmarkStart w:id="0" w:name="_GoBack"/>
            <w:bookmarkEnd w:id="0"/>
          </w:p>
          <w:p w14:paraId="051576B8" w14:textId="7D54FBCA" w:rsidR="00D72CE1" w:rsidRPr="00D72CE1" w:rsidRDefault="00D72CE1" w:rsidP="00D72CE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D72CE1">
              <w:rPr>
                <w:sz w:val="22"/>
                <w:szCs w:val="22"/>
              </w:rPr>
              <w:t xml:space="preserve">atlikta gerosios užsienio šalių praktikos analizė, </w:t>
            </w:r>
            <w:r w:rsidR="00D5571A" w:rsidRPr="00D5571A">
              <w:rPr>
                <w:sz w:val="22"/>
                <w:szCs w:val="22"/>
              </w:rPr>
              <w:t>siekiant identifikuoti</w:t>
            </w:r>
            <w:r w:rsidR="00D5571A" w:rsidRPr="00D72CE1" w:rsidDel="00D5571A">
              <w:rPr>
                <w:sz w:val="22"/>
                <w:szCs w:val="22"/>
              </w:rPr>
              <w:t xml:space="preserve"> </w:t>
            </w:r>
            <w:r w:rsidRPr="00D72CE1">
              <w:rPr>
                <w:sz w:val="22"/>
                <w:szCs w:val="22"/>
              </w:rPr>
              <w:t xml:space="preserve">sėkmingus atsakingo </w:t>
            </w:r>
            <w:r w:rsidR="009C2B40">
              <w:rPr>
                <w:sz w:val="22"/>
                <w:szCs w:val="22"/>
              </w:rPr>
              <w:t>spragų</w:t>
            </w:r>
            <w:r w:rsidR="005A3BDC">
              <w:rPr>
                <w:sz w:val="22"/>
                <w:szCs w:val="22"/>
              </w:rPr>
              <w:t xml:space="preserve"> </w:t>
            </w:r>
            <w:r w:rsidRPr="00D72CE1">
              <w:rPr>
                <w:sz w:val="22"/>
                <w:szCs w:val="22"/>
              </w:rPr>
              <w:t>atskleidimo tvarkos taikymo atvejus viešajame ir privačiame sektoriuose (</w:t>
            </w:r>
            <w:hyperlink r:id="rId8" w:history="1">
              <w:r w:rsidRPr="00D72CE1">
                <w:rPr>
                  <w:rStyle w:val="Hyperlink"/>
                  <w:sz w:val="22"/>
                  <w:szCs w:val="22"/>
                </w:rPr>
                <w:t>http://kurklt.lt/wp-content/uploads/2019/03/Užsienio-praktikų-dokumentas-.pdf</w:t>
              </w:r>
            </w:hyperlink>
            <w:r w:rsidRPr="00D72CE1">
              <w:rPr>
                <w:sz w:val="22"/>
                <w:szCs w:val="22"/>
              </w:rPr>
              <w:t>)</w:t>
            </w:r>
            <w:r w:rsidR="00BD2B0F">
              <w:rPr>
                <w:sz w:val="22"/>
                <w:szCs w:val="22"/>
              </w:rPr>
              <w:t>;</w:t>
            </w:r>
          </w:p>
          <w:p w14:paraId="051576B9" w14:textId="722C7424" w:rsidR="00D72CE1" w:rsidRDefault="00BD2B0F" w:rsidP="007E5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nustatyta</w:t>
            </w:r>
            <w:r w:rsidRPr="00D72CE1">
              <w:rPr>
                <w:sz w:val="22"/>
                <w:szCs w:val="22"/>
              </w:rPr>
              <w:t xml:space="preserve"> </w:t>
            </w:r>
            <w:r w:rsidR="009C2B40">
              <w:rPr>
                <w:sz w:val="22"/>
                <w:szCs w:val="22"/>
              </w:rPr>
              <w:t>spragų</w:t>
            </w:r>
            <w:r w:rsidR="005A3BDC">
              <w:rPr>
                <w:sz w:val="22"/>
                <w:szCs w:val="22"/>
              </w:rPr>
              <w:t xml:space="preserve"> </w:t>
            </w:r>
            <w:r w:rsidR="00095419" w:rsidRPr="00D72CE1">
              <w:rPr>
                <w:sz w:val="22"/>
                <w:szCs w:val="22"/>
              </w:rPr>
              <w:t>atskleidimo tvarka</w:t>
            </w:r>
            <w:r w:rsidR="00095419">
              <w:rPr>
                <w:sz w:val="22"/>
                <w:szCs w:val="22"/>
              </w:rPr>
              <w:t>,</w:t>
            </w:r>
            <w:r w:rsidR="005A3BDC">
              <w:rPr>
                <w:sz w:val="22"/>
                <w:szCs w:val="22"/>
              </w:rPr>
              <w:t xml:space="preserve"> </w:t>
            </w:r>
            <w:r w:rsidR="00095419">
              <w:rPr>
                <w:sz w:val="22"/>
                <w:szCs w:val="22"/>
              </w:rPr>
              <w:t>r</w:t>
            </w:r>
            <w:r w:rsidR="00D72CE1" w:rsidRPr="00D72CE1">
              <w:rPr>
                <w:sz w:val="22"/>
                <w:szCs w:val="22"/>
              </w:rPr>
              <w:t>emiantis esamos teisinės bazės ir situacijos analize bei ger</w:t>
            </w:r>
            <w:r>
              <w:rPr>
                <w:sz w:val="22"/>
                <w:szCs w:val="22"/>
              </w:rPr>
              <w:t>ąja</w:t>
            </w:r>
            <w:r w:rsidR="00D72CE1" w:rsidRPr="00D72CE1">
              <w:rPr>
                <w:sz w:val="22"/>
                <w:szCs w:val="22"/>
              </w:rPr>
              <w:t xml:space="preserve"> užsienio šalių praktik</w:t>
            </w:r>
            <w:r>
              <w:rPr>
                <w:sz w:val="22"/>
                <w:szCs w:val="22"/>
              </w:rPr>
              <w:t>a</w:t>
            </w:r>
            <w:r w:rsidR="00D72CE1" w:rsidRPr="00D72CE1">
              <w:rPr>
                <w:sz w:val="22"/>
                <w:szCs w:val="22"/>
              </w:rPr>
              <w:t xml:space="preserve"> </w:t>
            </w:r>
            <w:r w:rsidR="00D72CE1">
              <w:rPr>
                <w:sz w:val="22"/>
                <w:szCs w:val="22"/>
              </w:rPr>
              <w:t>(</w:t>
            </w:r>
            <w:hyperlink r:id="rId9" w:history="1">
              <w:r w:rsidR="00D72CE1" w:rsidRPr="006C7EE3">
                <w:rPr>
                  <w:rStyle w:val="Hyperlink"/>
                  <w:sz w:val="22"/>
                  <w:szCs w:val="22"/>
                </w:rPr>
                <w:t>http://kurklt.lt/wp-content/uploads/2019/03/Atsakingo-atskleidimo-tvarka.pdf</w:t>
              </w:r>
            </w:hyperlink>
            <w:r w:rsidR="00D72CE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  <w:r w:rsidR="00D72CE1">
              <w:rPr>
                <w:sz w:val="22"/>
                <w:szCs w:val="22"/>
              </w:rPr>
              <w:t xml:space="preserve"> </w:t>
            </w:r>
          </w:p>
          <w:p w14:paraId="051576BA" w14:textId="363157B0" w:rsidR="00095419" w:rsidRPr="00095419" w:rsidRDefault="00AF04AB" w:rsidP="00703E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 w:rsidRPr="00095419">
              <w:rPr>
                <w:sz w:val="22"/>
                <w:szCs w:val="22"/>
              </w:rPr>
              <w:t>buvo įgyvendinta</w:t>
            </w:r>
            <w:r w:rsidR="005A3BDC">
              <w:rPr>
                <w:sz w:val="22"/>
                <w:szCs w:val="22"/>
              </w:rPr>
              <w:t xml:space="preserve"> </w:t>
            </w:r>
            <w:r w:rsidRPr="00095419">
              <w:rPr>
                <w:sz w:val="22"/>
                <w:szCs w:val="22"/>
              </w:rPr>
              <w:t xml:space="preserve">viešoji konsultacija, kurios tikslas – išsiaiškinti atsakingo </w:t>
            </w:r>
            <w:r w:rsidR="009C2B40">
              <w:rPr>
                <w:sz w:val="22"/>
                <w:szCs w:val="22"/>
              </w:rPr>
              <w:t>spragų</w:t>
            </w:r>
            <w:r w:rsidR="005A3BDC">
              <w:rPr>
                <w:sz w:val="22"/>
                <w:szCs w:val="22"/>
              </w:rPr>
              <w:t xml:space="preserve"> </w:t>
            </w:r>
            <w:r w:rsidRPr="00095419">
              <w:rPr>
                <w:sz w:val="22"/>
                <w:szCs w:val="22"/>
              </w:rPr>
              <w:t>atskleidimo</w:t>
            </w:r>
            <w:r w:rsidR="005A3BDC">
              <w:rPr>
                <w:sz w:val="22"/>
                <w:szCs w:val="22"/>
              </w:rPr>
              <w:t xml:space="preserve"> </w:t>
            </w:r>
            <w:r w:rsidRPr="00095419">
              <w:rPr>
                <w:sz w:val="22"/>
                <w:szCs w:val="22"/>
              </w:rPr>
              <w:t xml:space="preserve">įteisinimo poreikį Lietuvoje ir </w:t>
            </w:r>
            <w:r w:rsidR="003105E0">
              <w:rPr>
                <w:sz w:val="22"/>
                <w:szCs w:val="22"/>
              </w:rPr>
              <w:t>nustatyti</w:t>
            </w:r>
            <w:r w:rsidR="003105E0" w:rsidRPr="00095419">
              <w:rPr>
                <w:sz w:val="22"/>
                <w:szCs w:val="22"/>
              </w:rPr>
              <w:t xml:space="preserve"> </w:t>
            </w:r>
            <w:r w:rsidRPr="00095419">
              <w:rPr>
                <w:sz w:val="22"/>
                <w:szCs w:val="22"/>
              </w:rPr>
              <w:t xml:space="preserve">atsakingo </w:t>
            </w:r>
            <w:r w:rsidR="009C2B40">
              <w:rPr>
                <w:sz w:val="22"/>
                <w:szCs w:val="22"/>
              </w:rPr>
              <w:t>spragų</w:t>
            </w:r>
            <w:r w:rsidR="00F22CF9">
              <w:rPr>
                <w:sz w:val="22"/>
                <w:szCs w:val="22"/>
              </w:rPr>
              <w:t xml:space="preserve"> </w:t>
            </w:r>
            <w:r w:rsidRPr="00095419">
              <w:rPr>
                <w:sz w:val="22"/>
                <w:szCs w:val="22"/>
              </w:rPr>
              <w:t>atskleidimo</w:t>
            </w:r>
            <w:r w:rsidR="00F22CF9">
              <w:rPr>
                <w:sz w:val="22"/>
                <w:szCs w:val="22"/>
              </w:rPr>
              <w:t xml:space="preserve"> </w:t>
            </w:r>
            <w:r w:rsidRPr="00095419">
              <w:rPr>
                <w:sz w:val="22"/>
                <w:szCs w:val="22"/>
              </w:rPr>
              <w:t>praktikos principus, tvarką, sąlygas ir ribas</w:t>
            </w:r>
            <w:r w:rsidR="00095419">
              <w:rPr>
                <w:sz w:val="22"/>
                <w:szCs w:val="22"/>
              </w:rPr>
              <w:t xml:space="preserve"> (</w:t>
            </w:r>
            <w:hyperlink r:id="rId10" w:history="1">
              <w:r w:rsidR="007E5545" w:rsidRPr="00095419">
                <w:rPr>
                  <w:rStyle w:val="Hyperlink"/>
                  <w:rFonts w:ascii="Calibri" w:eastAsiaTheme="minorHAnsi" w:hAnsi="Calibri" w:cs="Calibri"/>
                  <w:sz w:val="20"/>
                </w:rPr>
                <w:t>http://kurklt.lt/wp-content/uploads/2019/03/Viešosios-konsultacijos-ataskaita-atsakingas-kibernetinio-saugumo-spragų-atskleidimas-1.pdf</w:t>
              </w:r>
            </w:hyperlink>
            <w:r w:rsidR="00095419">
              <w:rPr>
                <w:rFonts w:ascii="Calibri" w:eastAsiaTheme="minorHAnsi" w:hAnsi="Calibri" w:cs="Calibri"/>
                <w:sz w:val="20"/>
              </w:rPr>
              <w:t>)</w:t>
            </w:r>
            <w:r w:rsidR="003105E0">
              <w:rPr>
                <w:rFonts w:ascii="Calibri" w:eastAsiaTheme="minorHAnsi" w:hAnsi="Calibri" w:cs="Calibri"/>
                <w:sz w:val="20"/>
              </w:rPr>
              <w:t>;</w:t>
            </w:r>
          </w:p>
          <w:p w14:paraId="051576BB" w14:textId="68CAA905" w:rsidR="004A105B" w:rsidRPr="007E584B" w:rsidRDefault="00095419" w:rsidP="009C2B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95419">
              <w:rPr>
                <w:sz w:val="22"/>
                <w:szCs w:val="22"/>
              </w:rPr>
              <w:t xml:space="preserve">arengtas reglamentuoto atsakingo </w:t>
            </w:r>
            <w:r w:rsidR="009C2B40">
              <w:rPr>
                <w:sz w:val="22"/>
                <w:szCs w:val="22"/>
              </w:rPr>
              <w:t>spragų</w:t>
            </w:r>
            <w:r w:rsidR="00F22CF9">
              <w:rPr>
                <w:sz w:val="22"/>
                <w:szCs w:val="22"/>
              </w:rPr>
              <w:t xml:space="preserve"> </w:t>
            </w:r>
            <w:r w:rsidRPr="00095419">
              <w:rPr>
                <w:sz w:val="22"/>
                <w:szCs w:val="22"/>
              </w:rPr>
              <w:t>atskleidimo proceso veikimo modelis</w:t>
            </w:r>
            <w:r w:rsidR="003105E0">
              <w:rPr>
                <w:sz w:val="22"/>
                <w:szCs w:val="22"/>
              </w:rPr>
              <w:t xml:space="preserve"> </w:t>
            </w:r>
            <w:r w:rsidR="007E584B">
              <w:rPr>
                <w:rFonts w:ascii="Calibri" w:eastAsiaTheme="minorHAnsi" w:hAnsi="Calibri" w:cs="Calibri"/>
                <w:sz w:val="20"/>
              </w:rPr>
              <w:t>(</w:t>
            </w:r>
            <w:hyperlink r:id="rId11" w:history="1">
              <w:r w:rsidRPr="006C7EE3">
                <w:rPr>
                  <w:rStyle w:val="Hyperlink"/>
                  <w:rFonts w:ascii="Calibri" w:eastAsiaTheme="minorHAnsi" w:hAnsi="Calibri" w:cs="Calibri"/>
                  <w:sz w:val="20"/>
                </w:rPr>
                <w:t>http://kurklt.lt/wp-content/uploads/2019/03/Reglamentuoto-atsakingo-kibernetinio-saugumo-spragų-atskleidimo-proceso-veikimo-modelis.pdf</w:t>
              </w:r>
            </w:hyperlink>
            <w:r w:rsidR="007E584B">
              <w:rPr>
                <w:rFonts w:ascii="Calibri" w:eastAsiaTheme="minorHAnsi" w:hAnsi="Calibri" w:cs="Calibri"/>
                <w:sz w:val="20"/>
              </w:rPr>
              <w:t>).</w:t>
            </w:r>
          </w:p>
        </w:tc>
      </w:tr>
      <w:tr w:rsidR="004A105B" w:rsidRPr="001A2227" w14:paraId="051576BE" w14:textId="77777777" w:rsidTr="00A47CC5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051576BD" w14:textId="77777777" w:rsidR="004A105B" w:rsidRPr="001A2227" w:rsidRDefault="004A105B" w:rsidP="00A47CC5">
            <w:pPr>
              <w:rPr>
                <w:b/>
                <w:szCs w:val="22"/>
              </w:rPr>
            </w:pPr>
          </w:p>
        </w:tc>
      </w:tr>
      <w:tr w:rsidR="004A105B" w:rsidRPr="001A2227" w14:paraId="051576C0" w14:textId="77777777" w:rsidTr="00A47CC5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051576BF" w14:textId="77777777" w:rsidR="004A105B" w:rsidRPr="001A2227" w:rsidRDefault="004A105B" w:rsidP="00A47CC5">
            <w:pPr>
              <w:rPr>
                <w:b/>
                <w:szCs w:val="22"/>
              </w:rPr>
            </w:pPr>
          </w:p>
        </w:tc>
      </w:tr>
    </w:tbl>
    <w:p w14:paraId="051576C1" w14:textId="77777777" w:rsidR="004A105B" w:rsidRPr="001A2227" w:rsidRDefault="004A105B" w:rsidP="004A105B">
      <w:pPr>
        <w:spacing w:before="120" w:after="120"/>
        <w:rPr>
          <w:sz w:val="22"/>
          <w:szCs w:val="22"/>
        </w:rPr>
      </w:pPr>
      <w:r w:rsidRPr="001A2227">
        <w:rPr>
          <w:sz w:val="22"/>
          <w:szCs w:val="22"/>
        </w:rPr>
        <w:t>* Jeigu buvo atlikta siūlomo projekto sąnaudų ir naudos ar sąnaudų efektyvumo analizė, nurodykite ir pateikite sąnaudų ir naudos ar sąnaudų efektyvumo analizės išvadas, pagrindžiančias siūlomą projektą.</w:t>
      </w:r>
    </w:p>
    <w:p w14:paraId="051576C2" w14:textId="77777777" w:rsidR="004A105B" w:rsidRPr="001A2227" w:rsidRDefault="004A105B" w:rsidP="004A105B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p w14:paraId="051576C3" w14:textId="77777777" w:rsidR="004A105B" w:rsidRPr="001A2227" w:rsidRDefault="004A105B" w:rsidP="004A105B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6859"/>
      </w:tblGrid>
      <w:tr w:rsidR="004A105B" w:rsidRPr="001A2227" w14:paraId="051576C6" w14:textId="77777777" w:rsidTr="00A47CC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51576C4" w14:textId="77777777" w:rsidR="004A105B" w:rsidRPr="001A2227" w:rsidRDefault="004A105B" w:rsidP="00A47CC5">
            <w:pPr>
              <w:pStyle w:val="ListParagraph1"/>
              <w:ind w:left="0"/>
              <w:rPr>
                <w:szCs w:val="22"/>
              </w:rPr>
            </w:pPr>
            <w:r w:rsidRPr="001A2227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1576C5" w14:textId="77777777" w:rsidR="004A105B" w:rsidRPr="00986C00" w:rsidRDefault="00986C00" w:rsidP="00986C00">
            <w:pPr>
              <w:pStyle w:val="ListParagraph1"/>
              <w:ind w:left="0"/>
              <w:rPr>
                <w:szCs w:val="22"/>
              </w:rPr>
            </w:pPr>
            <w:r w:rsidRPr="00986C00">
              <w:rPr>
                <w:sz w:val="22"/>
                <w:szCs w:val="22"/>
              </w:rPr>
              <w:t>Sigita Laurinčiukaitė</w:t>
            </w:r>
          </w:p>
        </w:tc>
      </w:tr>
      <w:tr w:rsidR="004A105B" w:rsidRPr="001A2227" w14:paraId="051576C9" w14:textId="77777777" w:rsidTr="00A47CC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51576C7" w14:textId="77777777" w:rsidR="004A105B" w:rsidRPr="001A2227" w:rsidRDefault="004A105B" w:rsidP="00A47CC5">
            <w:pPr>
              <w:pStyle w:val="ListParagraph1"/>
              <w:ind w:left="0"/>
              <w:rPr>
                <w:b/>
                <w:szCs w:val="22"/>
              </w:rPr>
            </w:pPr>
            <w:r w:rsidRPr="001A2227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1576C8" w14:textId="77777777" w:rsidR="004A105B" w:rsidRPr="00986C00" w:rsidRDefault="00986C00" w:rsidP="00986C00">
            <w:pPr>
              <w:pStyle w:val="ListParagraph1"/>
              <w:ind w:left="0"/>
              <w:rPr>
                <w:szCs w:val="22"/>
              </w:rPr>
            </w:pPr>
            <w:r w:rsidRPr="00986C00">
              <w:rPr>
                <w:sz w:val="22"/>
                <w:szCs w:val="22"/>
              </w:rPr>
              <w:t>patarėja</w:t>
            </w:r>
          </w:p>
        </w:tc>
      </w:tr>
      <w:tr w:rsidR="004A105B" w:rsidRPr="001A2227" w14:paraId="051576CC" w14:textId="77777777" w:rsidTr="00A47CC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51576CA" w14:textId="77777777" w:rsidR="004A105B" w:rsidRPr="001A2227" w:rsidRDefault="004A105B" w:rsidP="00A47CC5">
            <w:pPr>
              <w:pStyle w:val="ListParagraph1"/>
              <w:ind w:left="0"/>
              <w:rPr>
                <w:b/>
                <w:szCs w:val="22"/>
              </w:rPr>
            </w:pPr>
            <w:r w:rsidRPr="001A2227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1576CB" w14:textId="77777777" w:rsidR="004A105B" w:rsidRPr="00986C00" w:rsidRDefault="00986C00" w:rsidP="00986C00">
            <w:pPr>
              <w:pStyle w:val="ListParagraph1"/>
              <w:ind w:left="0"/>
              <w:jc w:val="both"/>
              <w:rPr>
                <w:szCs w:val="22"/>
              </w:rPr>
            </w:pPr>
            <w:r w:rsidRPr="00986C00">
              <w:rPr>
                <w:sz w:val="22"/>
                <w:szCs w:val="22"/>
              </w:rPr>
              <w:t>Krašto apsaugos ministerija, Kibernet</w:t>
            </w:r>
            <w:r>
              <w:rPr>
                <w:sz w:val="22"/>
                <w:szCs w:val="22"/>
              </w:rPr>
              <w:t>i</w:t>
            </w:r>
            <w:r w:rsidRPr="00986C00">
              <w:rPr>
                <w:sz w:val="22"/>
                <w:szCs w:val="22"/>
              </w:rPr>
              <w:t>nio saugumo ir info</w:t>
            </w:r>
            <w:r>
              <w:rPr>
                <w:sz w:val="22"/>
                <w:szCs w:val="22"/>
              </w:rPr>
              <w:t>r</w:t>
            </w:r>
            <w:r w:rsidRPr="00986C00">
              <w:rPr>
                <w:sz w:val="22"/>
                <w:szCs w:val="22"/>
              </w:rPr>
              <w:t>macinių technologijų politikos grupė</w:t>
            </w:r>
          </w:p>
        </w:tc>
      </w:tr>
      <w:tr w:rsidR="004A105B" w:rsidRPr="001A2227" w14:paraId="051576D0" w14:textId="77777777" w:rsidTr="00A47CC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51576CD" w14:textId="77777777" w:rsidR="004A105B" w:rsidRPr="001A2227" w:rsidRDefault="004A105B" w:rsidP="00A47CC5">
            <w:pPr>
              <w:pStyle w:val="ListParagraph1"/>
              <w:ind w:left="0"/>
              <w:rPr>
                <w:szCs w:val="22"/>
              </w:rPr>
            </w:pPr>
            <w:r w:rsidRPr="001A2227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1576CE" w14:textId="59990E7F" w:rsidR="00986C00" w:rsidRPr="00495552" w:rsidRDefault="00986C00" w:rsidP="00986C00">
            <w:pPr>
              <w:autoSpaceDE w:val="0"/>
              <w:autoSpaceDN w:val="0"/>
              <w:spacing w:line="276" w:lineRule="auto"/>
              <w:rPr>
                <w:rFonts w:eastAsiaTheme="minorEastAsia"/>
                <w:noProof/>
                <w:color w:val="000000"/>
                <w:sz w:val="20"/>
                <w:lang w:val="es-ES" w:eastAsia="lt-LT"/>
              </w:rPr>
            </w:pPr>
            <w:r w:rsidRPr="00986C00">
              <w:rPr>
                <w:sz w:val="22"/>
                <w:szCs w:val="22"/>
              </w:rPr>
              <w:t>Tel. +370 706 80 804, el. paštas</w:t>
            </w:r>
            <w:r w:rsidRPr="00495552">
              <w:rPr>
                <w:rFonts w:eastAsiaTheme="minorEastAsia"/>
                <w:noProof/>
                <w:color w:val="000000"/>
                <w:sz w:val="20"/>
                <w:lang w:val="es-ES" w:eastAsia="lt-LT"/>
              </w:rPr>
              <w:t xml:space="preserve"> </w:t>
            </w:r>
            <w:hyperlink r:id="rId12" w:history="1">
              <w:r w:rsidRPr="00495552">
                <w:rPr>
                  <w:rStyle w:val="Hyperlink"/>
                  <w:rFonts w:eastAsiaTheme="minorEastAsia"/>
                  <w:noProof/>
                  <w:color w:val="0000FF"/>
                  <w:sz w:val="20"/>
                  <w:lang w:val="es-ES" w:eastAsia="lt-LT"/>
                </w:rPr>
                <w:t>Sigita.Laurinciukaite@kam.lt</w:t>
              </w:r>
            </w:hyperlink>
          </w:p>
          <w:p w14:paraId="051576CF" w14:textId="77777777" w:rsidR="004A105B" w:rsidRPr="00986C00" w:rsidRDefault="004A105B" w:rsidP="00986C00">
            <w:pPr>
              <w:pStyle w:val="ListParagraph1"/>
              <w:ind w:left="0"/>
              <w:rPr>
                <w:szCs w:val="22"/>
              </w:rPr>
            </w:pPr>
          </w:p>
        </w:tc>
      </w:tr>
    </w:tbl>
    <w:p w14:paraId="051576D1" w14:textId="77777777" w:rsidR="004A105B" w:rsidRDefault="004A105B" w:rsidP="004A105B">
      <w:pPr>
        <w:jc w:val="both"/>
        <w:rPr>
          <w:sz w:val="22"/>
          <w:szCs w:val="22"/>
        </w:rPr>
      </w:pPr>
    </w:p>
    <w:p w14:paraId="051576D4" w14:textId="77777777" w:rsidR="004A105B" w:rsidRPr="001A2227" w:rsidRDefault="004A105B" w:rsidP="004A105B">
      <w:pPr>
        <w:jc w:val="both"/>
        <w:rPr>
          <w:sz w:val="22"/>
          <w:szCs w:val="22"/>
        </w:rPr>
      </w:pPr>
    </w:p>
    <w:p w14:paraId="051576D5" w14:textId="77777777" w:rsidR="00517240" w:rsidRDefault="00517240"/>
    <w:sectPr w:rsidR="00517240" w:rsidSect="00D5571A">
      <w:headerReference w:type="default" r:id="rId13"/>
      <w:pgSz w:w="11906" w:h="16838"/>
      <w:pgMar w:top="1134" w:right="567" w:bottom="1134" w:left="1701" w:header="96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8EDC1" w14:textId="77777777" w:rsidR="00073756" w:rsidRDefault="00073756" w:rsidP="00984F7A">
      <w:r>
        <w:separator/>
      </w:r>
    </w:p>
  </w:endnote>
  <w:endnote w:type="continuationSeparator" w:id="0">
    <w:p w14:paraId="57C35F72" w14:textId="77777777" w:rsidR="00073756" w:rsidRDefault="00073756" w:rsidP="0098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C9B50" w14:textId="77777777" w:rsidR="00073756" w:rsidRDefault="00073756" w:rsidP="00984F7A">
      <w:r>
        <w:separator/>
      </w:r>
    </w:p>
  </w:footnote>
  <w:footnote w:type="continuationSeparator" w:id="0">
    <w:p w14:paraId="3CED5FF6" w14:textId="77777777" w:rsidR="00073756" w:rsidRDefault="00073756" w:rsidP="0098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206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1576DA" w14:textId="0DF45C74" w:rsidR="00984F7A" w:rsidRDefault="00FF46A8">
        <w:pPr>
          <w:pStyle w:val="Header"/>
          <w:jc w:val="center"/>
        </w:pPr>
        <w:r>
          <w:fldChar w:fldCharType="begin"/>
        </w:r>
        <w:r w:rsidR="00984F7A">
          <w:instrText xml:space="preserve"> PAGE   \* MERGEFORMAT </w:instrText>
        </w:r>
        <w:r>
          <w:fldChar w:fldCharType="separate"/>
        </w:r>
        <w:r w:rsidR="005452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1576DB" w14:textId="77777777" w:rsidR="00984F7A" w:rsidRDefault="00984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63C"/>
    <w:multiLevelType w:val="hybridMultilevel"/>
    <w:tmpl w:val="BE30B3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6F74"/>
    <w:multiLevelType w:val="hybridMultilevel"/>
    <w:tmpl w:val="E252FB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505E4"/>
    <w:multiLevelType w:val="hybridMultilevel"/>
    <w:tmpl w:val="D43A4208"/>
    <w:lvl w:ilvl="0" w:tplc="B63A4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5B"/>
    <w:rsid w:val="00011557"/>
    <w:rsid w:val="0001200C"/>
    <w:rsid w:val="00073756"/>
    <w:rsid w:val="00095419"/>
    <w:rsid w:val="00137DFC"/>
    <w:rsid w:val="001864F7"/>
    <w:rsid w:val="001C5D56"/>
    <w:rsid w:val="00216DEA"/>
    <w:rsid w:val="002217DF"/>
    <w:rsid w:val="002369CA"/>
    <w:rsid w:val="00297F82"/>
    <w:rsid w:val="003105E0"/>
    <w:rsid w:val="0034794E"/>
    <w:rsid w:val="0037440F"/>
    <w:rsid w:val="00392FF1"/>
    <w:rsid w:val="00396090"/>
    <w:rsid w:val="003F5733"/>
    <w:rsid w:val="00495552"/>
    <w:rsid w:val="004A105B"/>
    <w:rsid w:val="004B2C03"/>
    <w:rsid w:val="00517240"/>
    <w:rsid w:val="00545219"/>
    <w:rsid w:val="00577399"/>
    <w:rsid w:val="005A3BDC"/>
    <w:rsid w:val="005D468A"/>
    <w:rsid w:val="0060791C"/>
    <w:rsid w:val="00612B23"/>
    <w:rsid w:val="006C5AF3"/>
    <w:rsid w:val="006E6CD9"/>
    <w:rsid w:val="007745EA"/>
    <w:rsid w:val="007E5545"/>
    <w:rsid w:val="007E584B"/>
    <w:rsid w:val="008473A0"/>
    <w:rsid w:val="00872150"/>
    <w:rsid w:val="0089684E"/>
    <w:rsid w:val="008A1960"/>
    <w:rsid w:val="00984F7A"/>
    <w:rsid w:val="00986C00"/>
    <w:rsid w:val="009B64DD"/>
    <w:rsid w:val="009C2B40"/>
    <w:rsid w:val="00A87529"/>
    <w:rsid w:val="00AC6D9E"/>
    <w:rsid w:val="00AD73BD"/>
    <w:rsid w:val="00AF04AB"/>
    <w:rsid w:val="00AF3350"/>
    <w:rsid w:val="00B456DD"/>
    <w:rsid w:val="00BD2B0F"/>
    <w:rsid w:val="00C01775"/>
    <w:rsid w:val="00C116FA"/>
    <w:rsid w:val="00C61C66"/>
    <w:rsid w:val="00C76483"/>
    <w:rsid w:val="00CA3464"/>
    <w:rsid w:val="00CC5360"/>
    <w:rsid w:val="00D026C7"/>
    <w:rsid w:val="00D54159"/>
    <w:rsid w:val="00D5571A"/>
    <w:rsid w:val="00D72CE1"/>
    <w:rsid w:val="00D808B1"/>
    <w:rsid w:val="00DF0CF5"/>
    <w:rsid w:val="00E0420A"/>
    <w:rsid w:val="00E8409C"/>
    <w:rsid w:val="00ED7960"/>
    <w:rsid w:val="00F02BC7"/>
    <w:rsid w:val="00F2079A"/>
    <w:rsid w:val="00F22CF9"/>
    <w:rsid w:val="00FF4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57683"/>
  <w15:docId w15:val="{A4431584-7D6C-4CEC-BB8E-D06BB3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0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A105B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4A105B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qFormat/>
    <w:rsid w:val="004A105B"/>
    <w:pPr>
      <w:ind w:left="1296"/>
    </w:pPr>
  </w:style>
  <w:style w:type="character" w:customStyle="1" w:styleId="FontStyle53">
    <w:name w:val="Font Style53"/>
    <w:rsid w:val="004A105B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E55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C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54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4F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F7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84F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F7A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6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4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4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4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://kurklt.lt/wp-content/uploads/2019/03/Vie&#353;osios-konsultacijos-ataskaita-atsakingas-kibernetinio-saugumo-sprag&#371;-atskleidimas-1.pdf"
                 TargetMode="External"
                 Type="http://schemas.openxmlformats.org/officeDocument/2006/relationships/hyperlink"/>
   <Relationship Id="rId11"
                 Target="http://kurklt.lt/wp-content/uploads/2019/03/Reglamentuoto-atsakingo-kibernetinio-saugumo-sprag&#371;-atskleidimo-proceso-veikimo-modelis.pdf"
                 TargetMode="External"
                 Type="http://schemas.openxmlformats.org/officeDocument/2006/relationships/hyperlink"/>
   <Relationship Id="rId12" Target="mailto:Sigita.Laurinciukaite@ka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://kurklt.lt/wp-content/uploads/2019/03/U&#382;sienio-praktik&#371;-dokumentas-.pdf"
                 TargetMode="External"
                 Type="http://schemas.openxmlformats.org/officeDocument/2006/relationships/hyperlink"/>
   <Relationship Id="rId9"
                 Target="http://kurklt.lt/wp-content/uploads/2019/03/Atsakingo-atskleidimo-tvarka.pdf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470A-FDBE-45CC-8E15-03FAD98A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2021-03-05T08:28:00Z</dcterms:created>
  <dc:creator>Sigita Laurinčiukaitė</dc:creator>
  <cp:lastModifiedBy>Sigita Laurinčiukaitė</cp:lastModifiedBy>
  <dcterms:modified xsi:type="dcterms:W3CDTF">2021-03-05T09:44:00Z</dcterms:modified>
  <cp:revision>3</cp:revision>
</cp:coreProperties>
</file>