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9"/>
        <w:gridCol w:w="7206"/>
      </w:tblGrid>
      <w:tr w:rsidR="0013092D" w:rsidRPr="00CB0BF9" w14:paraId="32126154" w14:textId="77777777" w:rsidTr="00AC24B0">
        <w:trPr>
          <w:trHeight w:val="832"/>
        </w:trPr>
        <w:tc>
          <w:tcPr>
            <w:tcW w:w="2399" w:type="dxa"/>
          </w:tcPr>
          <w:p w14:paraId="268ECD88" w14:textId="77777777" w:rsidR="0013092D" w:rsidRPr="00CB0BF9" w:rsidRDefault="0013092D" w:rsidP="0013092D">
            <w:pPr>
              <w:pStyle w:val="Betarp"/>
              <w:spacing w:line="240" w:lineRule="atLeast"/>
              <w:ind w:left="-107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CB0BF9">
              <w:rPr>
                <w:rFonts w:ascii="Tahoma" w:hAnsi="Tahoma" w:cs="Tahoma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38A50523" wp14:editId="2DC2F35F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40103</wp:posOffset>
                  </wp:positionV>
                  <wp:extent cx="1299600" cy="450000"/>
                  <wp:effectExtent l="0" t="0" r="0" b="762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gistru centras_logotipas_-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600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6" w:type="dxa"/>
          </w:tcPr>
          <w:p w14:paraId="4F6FB179" w14:textId="77777777" w:rsidR="0013092D" w:rsidRPr="00CB0BF9" w:rsidRDefault="0013092D" w:rsidP="00C52B41">
            <w:pPr>
              <w:spacing w:after="120"/>
              <w:jc w:val="center"/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</w:pPr>
            <w:r w:rsidRPr="00CB0BF9">
              <w:rPr>
                <w:rFonts w:ascii="Tahoma" w:hAnsi="Tahoma" w:cs="Tahoma"/>
                <w:b/>
                <w:color w:val="5A5A5A"/>
                <w:sz w:val="22"/>
                <w:szCs w:val="22"/>
                <w:lang w:val="lt-LT"/>
              </w:rPr>
              <w:t>VALSTYBĖS ĮMONĖ REGISTRŲ CENTRAS</w:t>
            </w:r>
          </w:p>
          <w:p w14:paraId="0AF84B59" w14:textId="77777777" w:rsidR="0013092D" w:rsidRPr="00CB0BF9" w:rsidRDefault="0013092D" w:rsidP="0013092D">
            <w:pPr>
              <w:jc w:val="center"/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</w:pPr>
            <w:r w:rsidRPr="00CB0BF9">
              <w:rPr>
                <w:rFonts w:ascii="Tahoma" w:hAnsi="Tahoma" w:cs="Tahoma"/>
                <w:color w:val="5A5A5A"/>
                <w:sz w:val="18"/>
                <w:szCs w:val="18"/>
                <w:lang w:val="lt-LT"/>
              </w:rPr>
              <w:t xml:space="preserve">Lvovo g. 25-101, 09320 Vilnius, tel. (8 5) 268 8262, el. p. </w:t>
            </w:r>
            <w:hyperlink r:id="rId10" w:history="1">
              <w:r w:rsidRPr="00CB0BF9">
                <w:rPr>
                  <w:rStyle w:val="Hipersaitas"/>
                  <w:rFonts w:ascii="Tahoma" w:hAnsi="Tahoma" w:cs="Tahoma"/>
                  <w:color w:val="5A5A5A"/>
                  <w:sz w:val="18"/>
                  <w:szCs w:val="18"/>
                  <w:u w:val="none"/>
                  <w:lang w:val="lt-LT"/>
                </w:rPr>
                <w:t>info@registrucentras.lt</w:t>
              </w:r>
            </w:hyperlink>
          </w:p>
          <w:p w14:paraId="726F4762" w14:textId="77777777" w:rsidR="0013092D" w:rsidRPr="00CB0BF9" w:rsidRDefault="0013092D" w:rsidP="0013092D">
            <w:pPr>
              <w:pStyle w:val="Betarp"/>
              <w:spacing w:line="240" w:lineRule="atLeast"/>
              <w:ind w:right="450" w:firstLine="463"/>
              <w:jc w:val="center"/>
              <w:rPr>
                <w:rFonts w:ascii="Tahoma" w:hAnsi="Tahoma" w:cs="Tahoma"/>
                <w:sz w:val="20"/>
                <w:szCs w:val="20"/>
                <w:lang w:eastAsia="lt-LT"/>
              </w:rPr>
            </w:pPr>
            <w:r w:rsidRPr="00CB0BF9">
              <w:rPr>
                <w:rFonts w:ascii="Tahoma" w:hAnsi="Tahoma" w:cs="Tahoma"/>
                <w:color w:val="5A5A5A"/>
                <w:sz w:val="18"/>
                <w:szCs w:val="18"/>
              </w:rPr>
              <w:t>Duomenys kaupiami ir saugomi Juridinių asmenų registre, kodas 124110246</w:t>
            </w:r>
          </w:p>
        </w:tc>
      </w:tr>
    </w:tbl>
    <w:p w14:paraId="062CAE8F" w14:textId="77777777" w:rsidR="0066216A" w:rsidRPr="00CB0BF9" w:rsidRDefault="0066216A">
      <w:pPr>
        <w:rPr>
          <w:rFonts w:ascii="Tahoma" w:hAnsi="Tahoma" w:cs="Tahoma"/>
          <w:sz w:val="24"/>
          <w:lang w:val="lt-LT"/>
        </w:rPr>
      </w:pPr>
    </w:p>
    <w:tbl>
      <w:tblPr>
        <w:tblStyle w:val="Lentelstinklelis"/>
        <w:tblpPr w:leftFromText="180" w:rightFromText="180" w:vertAnchor="text" w:horzAnchor="margin" w:tblpX="-5" w:tblpY="19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565"/>
        <w:gridCol w:w="2971"/>
      </w:tblGrid>
      <w:tr w:rsidR="004A4B9A" w:rsidRPr="00CB0BF9" w14:paraId="2F23DA13" w14:textId="77777777" w:rsidTr="000760BB">
        <w:tc>
          <w:tcPr>
            <w:tcW w:w="5103" w:type="dxa"/>
            <w:hideMark/>
          </w:tcPr>
          <w:p w14:paraId="2D307693" w14:textId="3F5DBECE" w:rsidR="000A0B8C" w:rsidRDefault="00BD7F55" w:rsidP="00F37C2C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Lietuvos </w:t>
            </w:r>
            <w:r w:rsidR="00F37C2C">
              <w:rPr>
                <w:rFonts w:ascii="Tahoma" w:hAnsi="Tahoma" w:cs="Tahoma"/>
                <w:sz w:val="22"/>
                <w:szCs w:val="22"/>
              </w:rPr>
              <w:t xml:space="preserve">Respublikos </w:t>
            </w:r>
            <w:r w:rsidR="000760BB">
              <w:rPr>
                <w:rFonts w:ascii="Tahoma" w:hAnsi="Tahoma" w:cs="Tahoma"/>
                <w:sz w:val="22"/>
                <w:szCs w:val="22"/>
              </w:rPr>
              <w:t xml:space="preserve">finansų </w:t>
            </w:r>
            <w:r w:rsidR="00F37C2C">
              <w:rPr>
                <w:rFonts w:ascii="Tahoma" w:hAnsi="Tahoma" w:cs="Tahoma"/>
                <w:sz w:val="22"/>
                <w:szCs w:val="22"/>
              </w:rPr>
              <w:t>ministerijai</w:t>
            </w:r>
          </w:p>
          <w:p w14:paraId="3741B9B3" w14:textId="2D41BB27" w:rsidR="00F37C2C" w:rsidRDefault="00F37C2C" w:rsidP="00F37C2C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Siunčiama per E. </w:t>
            </w:r>
            <w:r w:rsidR="000760BB"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ristatymo sistemą</w:t>
            </w:r>
          </w:p>
          <w:p w14:paraId="6F7DC8C3" w14:textId="77777777" w:rsidR="00F37C2C" w:rsidRPr="00CB0BF9" w:rsidRDefault="00F37C2C" w:rsidP="00F37C2C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5" w:type="dxa"/>
          </w:tcPr>
          <w:p w14:paraId="478BDEA5" w14:textId="77777777" w:rsidR="004A4B9A" w:rsidRPr="00CB0BF9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</w:p>
          <w:p w14:paraId="5BE938E1" w14:textId="2B1BC0B2" w:rsidR="001969EA" w:rsidRPr="00CB0BF9" w:rsidRDefault="000760BB" w:rsidP="000A0B8C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Į 2020-09-11</w:t>
            </w:r>
          </w:p>
        </w:tc>
        <w:tc>
          <w:tcPr>
            <w:tcW w:w="2971" w:type="dxa"/>
            <w:hideMark/>
          </w:tcPr>
          <w:p w14:paraId="1D3800E2" w14:textId="77777777" w:rsidR="004A4B9A" w:rsidRPr="00CB0BF9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 w:rsidRPr="00CB0BF9">
              <w:rPr>
                <w:rFonts w:ascii="Tahoma" w:hAnsi="Tahoma" w:cs="Tahoma"/>
                <w:sz w:val="22"/>
                <w:szCs w:val="22"/>
              </w:rPr>
              <w:t>Nr.</w:t>
            </w:r>
          </w:p>
          <w:p w14:paraId="08869C39" w14:textId="392C8370" w:rsidR="001969EA" w:rsidRPr="00CB0BF9" w:rsidRDefault="000760BB" w:rsidP="00F42D1A">
            <w:pPr>
              <w:pStyle w:val="Pagrindinistekstas3"/>
              <w:spacing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Nr. </w:t>
            </w:r>
            <w:r w:rsidRPr="000760BB">
              <w:rPr>
                <w:rFonts w:ascii="Tahoma" w:hAnsi="Tahoma" w:cs="Tahoma"/>
                <w:sz w:val="22"/>
                <w:szCs w:val="22"/>
              </w:rPr>
              <w:t>(6.3E-01)-6K-2005164</w:t>
            </w:r>
          </w:p>
        </w:tc>
      </w:tr>
      <w:tr w:rsidR="004A4B9A" w:rsidRPr="00CB0BF9" w14:paraId="442A87BC" w14:textId="77777777" w:rsidTr="000760BB">
        <w:tc>
          <w:tcPr>
            <w:tcW w:w="5103" w:type="dxa"/>
          </w:tcPr>
          <w:p w14:paraId="0D71DA8E" w14:textId="77777777" w:rsidR="00681BFE" w:rsidRDefault="00681BFE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  <w:p w14:paraId="63DA3048" w14:textId="77777777" w:rsidR="009A1137" w:rsidRPr="00CB0BF9" w:rsidRDefault="009A1137">
            <w:pPr>
              <w:pStyle w:val="Pagrindinistekstas3"/>
              <w:spacing w:line="240" w:lineRule="auto"/>
              <w:ind w:left="-10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447B2AEC" w14:textId="77777777" w:rsidR="004A4B9A" w:rsidRPr="00CB0BF9" w:rsidRDefault="004A4B9A">
            <w:pPr>
              <w:pStyle w:val="Pagrindinistekstas3"/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2EA615A2" w14:textId="261DFB71" w:rsidR="000779BE" w:rsidRPr="00CB0BF9" w:rsidRDefault="00B36DC2" w:rsidP="000779BE">
      <w:pPr>
        <w:pStyle w:val="Antra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DĖL</w:t>
      </w:r>
      <w:r w:rsidR="000760BB">
        <w:rPr>
          <w:rFonts w:ascii="Tahoma" w:hAnsi="Tahoma" w:cs="Tahoma"/>
          <w:sz w:val="22"/>
          <w:szCs w:val="22"/>
        </w:rPr>
        <w:t xml:space="preserve"> LIETUVOS RESPUBLIKOS VYRIAUSYBĖS NUTARIMO PROJEKTO</w:t>
      </w:r>
    </w:p>
    <w:p w14:paraId="3498B5A1" w14:textId="77777777" w:rsidR="0066216A" w:rsidRPr="00CB0BF9" w:rsidRDefault="0066216A" w:rsidP="00BC79D9">
      <w:pPr>
        <w:pStyle w:val="Pagrindinistekstas3"/>
        <w:spacing w:line="240" w:lineRule="auto"/>
        <w:rPr>
          <w:rFonts w:ascii="Tahoma" w:hAnsi="Tahoma" w:cs="Tahoma"/>
        </w:rPr>
      </w:pPr>
    </w:p>
    <w:p w14:paraId="617CA9CB" w14:textId="470FD8C7" w:rsidR="00AE5795" w:rsidRPr="00FD3883" w:rsidRDefault="001969EA" w:rsidP="00304601">
      <w:pPr>
        <w:pStyle w:val="Antrat"/>
        <w:ind w:firstLine="709"/>
        <w:jc w:val="both"/>
        <w:rPr>
          <w:rFonts w:ascii="Tahoma" w:hAnsi="Tahoma" w:cs="Tahoma"/>
          <w:b w:val="0"/>
          <w:sz w:val="22"/>
          <w:szCs w:val="22"/>
        </w:rPr>
      </w:pPr>
      <w:r w:rsidRPr="00766621">
        <w:rPr>
          <w:rFonts w:ascii="Tahoma" w:hAnsi="Tahoma" w:cs="Tahoma"/>
          <w:b w:val="0"/>
          <w:sz w:val="22"/>
          <w:szCs w:val="22"/>
        </w:rPr>
        <w:t>Valstybės įmonė Registrų cen</w:t>
      </w:r>
      <w:r w:rsidR="00235D8C" w:rsidRPr="00766621">
        <w:rPr>
          <w:rFonts w:ascii="Tahoma" w:hAnsi="Tahoma" w:cs="Tahoma"/>
          <w:b w:val="0"/>
          <w:sz w:val="22"/>
          <w:szCs w:val="22"/>
        </w:rPr>
        <w:t>tras</w:t>
      </w:r>
      <w:r w:rsidR="00A54F21">
        <w:rPr>
          <w:rFonts w:ascii="Tahoma" w:hAnsi="Tahoma" w:cs="Tahoma"/>
          <w:b w:val="0"/>
          <w:sz w:val="22"/>
          <w:szCs w:val="22"/>
        </w:rPr>
        <w:t xml:space="preserve"> (toliau – Registrų centras)</w:t>
      </w:r>
      <w:r w:rsidR="00F37C2C">
        <w:rPr>
          <w:rFonts w:ascii="Tahoma" w:hAnsi="Tahoma" w:cs="Tahoma"/>
          <w:b w:val="0"/>
          <w:sz w:val="22"/>
          <w:szCs w:val="22"/>
        </w:rPr>
        <w:t>,</w:t>
      </w:r>
      <w:r w:rsidR="001530FA" w:rsidRPr="00766621">
        <w:rPr>
          <w:rFonts w:ascii="Tahoma" w:hAnsi="Tahoma" w:cs="Tahoma"/>
          <w:sz w:val="22"/>
          <w:szCs w:val="22"/>
        </w:rPr>
        <w:t xml:space="preserve"> </w:t>
      </w:r>
      <w:r w:rsidR="00F37C2C">
        <w:rPr>
          <w:rFonts w:ascii="Tahoma" w:hAnsi="Tahoma" w:cs="Tahoma"/>
          <w:b w:val="0"/>
          <w:sz w:val="22"/>
          <w:szCs w:val="22"/>
        </w:rPr>
        <w:t xml:space="preserve">išnagrinėjusi Lietuvos Respublikos </w:t>
      </w:r>
      <w:r w:rsidR="000760BB">
        <w:rPr>
          <w:rFonts w:ascii="Tahoma" w:hAnsi="Tahoma" w:cs="Tahoma"/>
          <w:b w:val="0"/>
          <w:sz w:val="22"/>
          <w:szCs w:val="22"/>
        </w:rPr>
        <w:t>finansų ministerijos parengtą ir derinti pateiktą</w:t>
      </w:r>
      <w:r w:rsidR="00F37C2C">
        <w:rPr>
          <w:rFonts w:ascii="Tahoma" w:hAnsi="Tahoma" w:cs="Tahoma"/>
          <w:b w:val="0"/>
          <w:sz w:val="22"/>
          <w:szCs w:val="22"/>
        </w:rPr>
        <w:t xml:space="preserve"> </w:t>
      </w:r>
      <w:r w:rsidR="00F37C2C" w:rsidRPr="00F37C2C">
        <w:rPr>
          <w:rFonts w:ascii="Tahoma" w:hAnsi="Tahoma" w:cs="Tahoma"/>
          <w:b w:val="0"/>
          <w:sz w:val="22"/>
          <w:szCs w:val="22"/>
        </w:rPr>
        <w:t xml:space="preserve">Lietuvos Respublikos </w:t>
      </w:r>
      <w:r w:rsidR="000760BB">
        <w:rPr>
          <w:rFonts w:ascii="Tahoma" w:hAnsi="Tahoma" w:cs="Tahoma"/>
          <w:b w:val="0"/>
          <w:sz w:val="22"/>
          <w:szCs w:val="22"/>
        </w:rPr>
        <w:t xml:space="preserve">Vyriausybės nutarimo „Dėl Lietuvos Respublikos Vyriausybės 2003 m. lapkričio 12 d. nutarimo Nr. 1407 „Dėl Juridinių asmenų registro nuostatų patvirtinimo“ pakeitimo“ projektą (toliau – projektas) </w:t>
      </w:r>
      <w:r w:rsidR="001D03EE">
        <w:rPr>
          <w:rFonts w:ascii="Tahoma" w:hAnsi="Tahoma" w:cs="Tahoma"/>
          <w:b w:val="0"/>
          <w:sz w:val="22"/>
          <w:szCs w:val="22"/>
        </w:rPr>
        <w:t>(</w:t>
      </w:r>
      <w:proofErr w:type="spellStart"/>
      <w:r w:rsidR="001D03EE">
        <w:rPr>
          <w:rFonts w:ascii="Tahoma" w:hAnsi="Tahoma" w:cs="Tahoma"/>
          <w:b w:val="0"/>
          <w:sz w:val="22"/>
          <w:szCs w:val="22"/>
        </w:rPr>
        <w:t>Reg</w:t>
      </w:r>
      <w:proofErr w:type="spellEnd"/>
      <w:r w:rsidR="001D03EE">
        <w:rPr>
          <w:rFonts w:ascii="Tahoma" w:hAnsi="Tahoma" w:cs="Tahoma"/>
          <w:b w:val="0"/>
          <w:sz w:val="22"/>
          <w:szCs w:val="22"/>
        </w:rPr>
        <w:t>. TAIS Nr. 20-</w:t>
      </w:r>
      <w:r w:rsidR="000760BB">
        <w:rPr>
          <w:rFonts w:ascii="Tahoma" w:hAnsi="Tahoma" w:cs="Tahoma"/>
          <w:b w:val="0"/>
          <w:sz w:val="22"/>
          <w:szCs w:val="22"/>
        </w:rPr>
        <w:t>12366</w:t>
      </w:r>
      <w:r w:rsidR="001D03EE">
        <w:rPr>
          <w:rFonts w:ascii="Tahoma" w:hAnsi="Tahoma" w:cs="Tahoma"/>
          <w:b w:val="0"/>
          <w:sz w:val="22"/>
          <w:szCs w:val="22"/>
        </w:rPr>
        <w:t>)</w:t>
      </w:r>
      <w:r w:rsidR="00F37C2C" w:rsidRPr="00FD3883">
        <w:rPr>
          <w:rFonts w:ascii="Tahoma" w:hAnsi="Tahoma" w:cs="Tahoma"/>
          <w:b w:val="0"/>
          <w:sz w:val="22"/>
          <w:szCs w:val="22"/>
        </w:rPr>
        <w:t>, teikia šias pastabas ir pasiūlymus</w:t>
      </w:r>
      <w:r w:rsidR="00D910A0">
        <w:rPr>
          <w:rFonts w:ascii="Tahoma" w:hAnsi="Tahoma" w:cs="Tahoma"/>
          <w:b w:val="0"/>
          <w:sz w:val="22"/>
          <w:szCs w:val="22"/>
        </w:rPr>
        <w:t xml:space="preserve"> (aiškumo dėlei kai kurie pasiūlymai dėstomi lyginamuoju būdu</w:t>
      </w:r>
      <w:r w:rsidR="00FD7067">
        <w:rPr>
          <w:rFonts w:ascii="Tahoma" w:hAnsi="Tahoma" w:cs="Tahoma"/>
          <w:b w:val="0"/>
          <w:sz w:val="22"/>
          <w:szCs w:val="22"/>
        </w:rPr>
        <w:t>)</w:t>
      </w:r>
      <w:r w:rsidR="00F37C2C" w:rsidRPr="00FD3883">
        <w:rPr>
          <w:rFonts w:ascii="Tahoma" w:hAnsi="Tahoma" w:cs="Tahoma"/>
          <w:b w:val="0"/>
          <w:sz w:val="22"/>
          <w:szCs w:val="22"/>
        </w:rPr>
        <w:t>:</w:t>
      </w:r>
    </w:p>
    <w:p w14:paraId="0E8279A7" w14:textId="301EB9B4" w:rsidR="00304601" w:rsidRDefault="00F37C2C" w:rsidP="000760BB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 w:rsidRPr="00FD3883">
        <w:rPr>
          <w:rFonts w:ascii="Tahoma" w:hAnsi="Tahoma" w:cs="Tahoma"/>
          <w:sz w:val="22"/>
          <w:szCs w:val="22"/>
          <w:lang w:val="lt-LT"/>
        </w:rPr>
        <w:t xml:space="preserve">1. </w:t>
      </w:r>
      <w:r w:rsidR="00E16737">
        <w:rPr>
          <w:rFonts w:ascii="Tahoma" w:hAnsi="Tahoma" w:cs="Tahoma"/>
          <w:sz w:val="22"/>
          <w:szCs w:val="22"/>
          <w:lang w:val="lt-LT"/>
        </w:rPr>
        <w:t xml:space="preserve">Projektu siūloma Juridinių asmenų </w:t>
      </w:r>
      <w:r w:rsidR="00FD7067">
        <w:rPr>
          <w:rFonts w:ascii="Tahoma" w:hAnsi="Tahoma" w:cs="Tahoma"/>
          <w:sz w:val="22"/>
          <w:szCs w:val="22"/>
          <w:lang w:val="lt-LT"/>
        </w:rPr>
        <w:t xml:space="preserve">registro </w:t>
      </w:r>
      <w:r w:rsidR="00E16737">
        <w:rPr>
          <w:rFonts w:ascii="Tahoma" w:hAnsi="Tahoma" w:cs="Tahoma"/>
          <w:sz w:val="22"/>
          <w:szCs w:val="22"/>
          <w:lang w:val="lt-LT"/>
        </w:rPr>
        <w:t xml:space="preserve">nuostatus, patvirtintus </w:t>
      </w:r>
      <w:r w:rsidR="00E16737" w:rsidRPr="00E16737">
        <w:rPr>
          <w:rFonts w:ascii="Tahoma" w:hAnsi="Tahoma" w:cs="Tahoma"/>
          <w:sz w:val="22"/>
          <w:szCs w:val="22"/>
          <w:lang w:val="lt-LT"/>
        </w:rPr>
        <w:t>Lietuvos Respublikos Vyriausybės 2003 m. lapkričio 12 d. nutarim</w:t>
      </w:r>
      <w:r w:rsidR="00E16737">
        <w:rPr>
          <w:rFonts w:ascii="Tahoma" w:hAnsi="Tahoma" w:cs="Tahoma"/>
          <w:sz w:val="22"/>
          <w:szCs w:val="22"/>
          <w:lang w:val="lt-LT"/>
        </w:rPr>
        <w:t>u</w:t>
      </w:r>
      <w:r w:rsidR="00E16737" w:rsidRPr="00E16737">
        <w:rPr>
          <w:rFonts w:ascii="Tahoma" w:hAnsi="Tahoma" w:cs="Tahoma"/>
          <w:sz w:val="22"/>
          <w:szCs w:val="22"/>
          <w:lang w:val="lt-LT"/>
        </w:rPr>
        <w:t xml:space="preserve"> Nr. 1407 „Dėl Juridinių asmenų registro nuostatų patvirtinimo“</w:t>
      </w:r>
      <w:r w:rsidR="00E16737">
        <w:rPr>
          <w:rFonts w:ascii="Tahoma" w:hAnsi="Tahoma" w:cs="Tahoma"/>
          <w:sz w:val="22"/>
          <w:szCs w:val="22"/>
          <w:lang w:val="lt-LT"/>
        </w:rPr>
        <w:t xml:space="preserve">, (toliau – Nuostatai) papildyti </w:t>
      </w:r>
      <w:r w:rsidR="008D43F4">
        <w:rPr>
          <w:rFonts w:ascii="Tahoma" w:hAnsi="Tahoma" w:cs="Tahoma"/>
          <w:sz w:val="22"/>
          <w:szCs w:val="22"/>
          <w:lang w:val="lt-LT"/>
        </w:rPr>
        <w:t xml:space="preserve">nuostata, kad </w:t>
      </w:r>
      <w:r w:rsidR="00FD7067">
        <w:rPr>
          <w:rFonts w:ascii="Tahoma" w:hAnsi="Tahoma" w:cs="Tahoma"/>
          <w:sz w:val="22"/>
          <w:szCs w:val="22"/>
          <w:lang w:val="lt-LT"/>
        </w:rPr>
        <w:t>„J</w:t>
      </w:r>
      <w:r w:rsidR="008D43F4" w:rsidRPr="008D43F4">
        <w:rPr>
          <w:rFonts w:ascii="Tahoma" w:hAnsi="Tahoma" w:cs="Tahoma"/>
          <w:sz w:val="22"/>
          <w:szCs w:val="22"/>
          <w:lang w:val="lt-LT"/>
        </w:rPr>
        <w:t>uridiniai asmenys, kurių vertybiniais popieriais prekiaujama reguliuojamoje rinkoje, metinių finansinių ataskaitų rinkinius Registro tvarkytojui teikia 2018 m. gruodžio 17 d. Komisijos deleguotuoju reglamentu (ES) 2019/815, kuriuo Europos Parlamento ir Tarybos direktyva 2004/109/EB papildoma techniniais reguliavimo standartais, kuriais nustatomas vienas elektroninio ataskaitų teikimo formatas,</w:t>
      </w:r>
      <w:r w:rsidR="000749C4">
        <w:rPr>
          <w:rFonts w:ascii="Tahoma" w:hAnsi="Tahoma" w:cs="Tahoma"/>
          <w:sz w:val="22"/>
          <w:szCs w:val="22"/>
          <w:lang w:val="lt-LT"/>
        </w:rPr>
        <w:t xml:space="preserve"> (toliau – Komisijos deleguotasis reglamentas)</w:t>
      </w:r>
      <w:r w:rsidR="008D43F4" w:rsidRPr="008D43F4">
        <w:rPr>
          <w:rFonts w:ascii="Tahoma" w:hAnsi="Tahoma" w:cs="Tahoma"/>
          <w:sz w:val="22"/>
          <w:szCs w:val="22"/>
          <w:lang w:val="lt-LT"/>
        </w:rPr>
        <w:t xml:space="preserve"> nustatytu format</w:t>
      </w:r>
      <w:r w:rsidR="008D43F4">
        <w:rPr>
          <w:rFonts w:ascii="Tahoma" w:hAnsi="Tahoma" w:cs="Tahoma"/>
          <w:sz w:val="22"/>
          <w:szCs w:val="22"/>
          <w:lang w:val="lt-LT"/>
        </w:rPr>
        <w:t>u</w:t>
      </w:r>
      <w:r w:rsidR="00FD7067">
        <w:rPr>
          <w:rFonts w:ascii="Tahoma" w:hAnsi="Tahoma" w:cs="Tahoma"/>
          <w:sz w:val="22"/>
          <w:szCs w:val="22"/>
          <w:lang w:val="lt-LT"/>
        </w:rPr>
        <w:t>“</w:t>
      </w:r>
      <w:r w:rsidR="008D43F4">
        <w:rPr>
          <w:rFonts w:ascii="Tahoma" w:hAnsi="Tahoma" w:cs="Tahoma"/>
          <w:sz w:val="22"/>
          <w:szCs w:val="22"/>
          <w:lang w:val="lt-LT"/>
        </w:rPr>
        <w:t>.</w:t>
      </w:r>
    </w:p>
    <w:p w14:paraId="2ABF5C5A" w14:textId="6810543A" w:rsidR="00652262" w:rsidRDefault="008D43F4" w:rsidP="00C4662D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 xml:space="preserve">Pastebėtina, kad Nuostatai nustato tik </w:t>
      </w:r>
      <w:r w:rsidR="000749C4">
        <w:rPr>
          <w:rFonts w:ascii="Tahoma" w:hAnsi="Tahoma" w:cs="Tahoma"/>
          <w:sz w:val="22"/>
          <w:szCs w:val="22"/>
          <w:lang w:val="lt-LT"/>
        </w:rPr>
        <w:t xml:space="preserve">bendrąjį </w:t>
      </w:r>
      <w:r>
        <w:rPr>
          <w:rFonts w:ascii="Tahoma" w:hAnsi="Tahoma" w:cs="Tahoma"/>
          <w:sz w:val="22"/>
          <w:szCs w:val="22"/>
          <w:lang w:val="lt-LT"/>
        </w:rPr>
        <w:t xml:space="preserve">metinių ir tarpinių finansinių ataskaitų rinkinių pateikimo Juridinių asmenų registro (toliau – Registras) tvarkytojui </w:t>
      </w:r>
      <w:r w:rsidR="000749C4">
        <w:rPr>
          <w:rFonts w:ascii="Tahoma" w:hAnsi="Tahoma" w:cs="Tahoma"/>
          <w:sz w:val="22"/>
          <w:szCs w:val="22"/>
          <w:lang w:val="lt-LT"/>
        </w:rPr>
        <w:t xml:space="preserve">principą, </w:t>
      </w:r>
      <w:r w:rsidR="00C4662D">
        <w:rPr>
          <w:rFonts w:ascii="Tahoma" w:hAnsi="Tahoma" w:cs="Tahoma"/>
          <w:sz w:val="22"/>
          <w:szCs w:val="22"/>
          <w:lang w:val="lt-LT"/>
        </w:rPr>
        <w:t>jog</w:t>
      </w:r>
      <w:r>
        <w:rPr>
          <w:rFonts w:ascii="Tahoma" w:hAnsi="Tahoma" w:cs="Tahoma"/>
          <w:sz w:val="22"/>
          <w:szCs w:val="22"/>
          <w:lang w:val="lt-LT"/>
        </w:rPr>
        <w:t xml:space="preserve"> metinės ir tarpinės finansinės ataskaitos rinkiniai Registro tvarkytojui teikiami elektroniniu būdu ir elektroninio formato rinkiniuose</w:t>
      </w:r>
      <w:r w:rsidR="00FF01DE">
        <w:rPr>
          <w:rFonts w:ascii="Tahoma" w:hAnsi="Tahoma" w:cs="Tahoma"/>
          <w:sz w:val="22"/>
          <w:szCs w:val="22"/>
          <w:lang w:val="lt-LT"/>
        </w:rPr>
        <w:t>, išskyrus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 numatytas išimtis. Pagal Nuostatų 13.12 papunktį Registro tvarkytojas tvirtina </w:t>
      </w:r>
      <w:r w:rsidR="00652262" w:rsidRPr="00652262">
        <w:rPr>
          <w:rFonts w:ascii="Tahoma" w:hAnsi="Tahoma" w:cs="Tahoma"/>
          <w:sz w:val="22"/>
          <w:szCs w:val="22"/>
          <w:lang w:val="lt-LT"/>
        </w:rPr>
        <w:t>teikiamų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 </w:t>
      </w:r>
      <w:r w:rsidR="00652262" w:rsidRPr="00652262">
        <w:rPr>
          <w:rFonts w:ascii="Tahoma" w:hAnsi="Tahoma" w:cs="Tahoma"/>
          <w:sz w:val="22"/>
          <w:szCs w:val="22"/>
          <w:lang w:val="lt-LT"/>
        </w:rPr>
        <w:t>elektroninio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 </w:t>
      </w:r>
      <w:r w:rsidR="00652262" w:rsidRPr="00652262">
        <w:rPr>
          <w:rFonts w:ascii="Tahoma" w:hAnsi="Tahoma" w:cs="Tahoma"/>
          <w:sz w:val="22"/>
          <w:szCs w:val="22"/>
          <w:lang w:val="lt-LT"/>
        </w:rPr>
        <w:t>formato rinkinių formas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. </w:t>
      </w:r>
    </w:p>
    <w:p w14:paraId="43D81E48" w14:textId="755153BD" w:rsidR="008D43F4" w:rsidRDefault="00652262" w:rsidP="00C4662D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>M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inėtų ataskaitų </w:t>
      </w:r>
      <w:r w:rsidR="00FF01DE" w:rsidRPr="00FF01DE">
        <w:rPr>
          <w:rFonts w:ascii="Tahoma" w:hAnsi="Tahoma" w:cs="Tahoma"/>
          <w:sz w:val="22"/>
          <w:szCs w:val="22"/>
          <w:lang w:val="lt-LT"/>
        </w:rPr>
        <w:t>teikimo elektroniniu būdu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 tiek </w:t>
      </w:r>
      <w:r>
        <w:rPr>
          <w:rFonts w:ascii="Tahoma" w:hAnsi="Tahoma" w:cs="Tahoma"/>
          <w:sz w:val="22"/>
          <w:szCs w:val="22"/>
          <w:lang w:val="lt-LT"/>
        </w:rPr>
        <w:t xml:space="preserve">interaktyviai pildant Registro tvarkytojo patvirtintas </w:t>
      </w:r>
      <w:r w:rsidR="00FF01DE">
        <w:rPr>
          <w:rFonts w:ascii="Tahoma" w:hAnsi="Tahoma" w:cs="Tahoma"/>
          <w:sz w:val="22"/>
          <w:szCs w:val="22"/>
          <w:lang w:val="lt-LT"/>
        </w:rPr>
        <w:t>elektroninio form</w:t>
      </w:r>
      <w:r>
        <w:rPr>
          <w:rFonts w:ascii="Tahoma" w:hAnsi="Tahoma" w:cs="Tahoma"/>
          <w:sz w:val="22"/>
          <w:szCs w:val="22"/>
          <w:lang w:val="lt-LT"/>
        </w:rPr>
        <w:t>ato rinkinių formas</w:t>
      </w:r>
      <w:r w:rsidR="00FF01DE">
        <w:rPr>
          <w:rFonts w:ascii="Tahoma" w:hAnsi="Tahoma" w:cs="Tahoma"/>
          <w:sz w:val="22"/>
          <w:szCs w:val="22"/>
          <w:lang w:val="lt-LT"/>
        </w:rPr>
        <w:t>, tiek</w:t>
      </w:r>
      <w:r>
        <w:rPr>
          <w:rFonts w:ascii="Tahoma" w:hAnsi="Tahoma" w:cs="Tahoma"/>
          <w:sz w:val="22"/>
          <w:szCs w:val="22"/>
          <w:lang w:val="lt-LT"/>
        </w:rPr>
        <w:t xml:space="preserve"> kitokia forma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, </w:t>
      </w:r>
      <w:r w:rsidR="00FF01DE" w:rsidRPr="00FF01DE">
        <w:rPr>
          <w:rFonts w:ascii="Tahoma" w:hAnsi="Tahoma" w:cs="Tahoma"/>
          <w:sz w:val="22"/>
          <w:szCs w:val="22"/>
          <w:lang w:val="lt-LT"/>
        </w:rPr>
        <w:t>sąlygas ir tvarką</w:t>
      </w:r>
      <w:r w:rsidR="00FF01DE">
        <w:rPr>
          <w:rFonts w:ascii="Tahoma" w:hAnsi="Tahoma" w:cs="Tahoma"/>
          <w:sz w:val="22"/>
          <w:szCs w:val="22"/>
          <w:lang w:val="lt-LT"/>
        </w:rPr>
        <w:t>, įskaitant teikiamų dokumentų rinkmenų formato</w:t>
      </w:r>
      <w:r>
        <w:rPr>
          <w:rFonts w:ascii="Tahoma" w:hAnsi="Tahoma" w:cs="Tahoma"/>
          <w:sz w:val="22"/>
          <w:szCs w:val="22"/>
          <w:lang w:val="lt-LT"/>
        </w:rPr>
        <w:t xml:space="preserve"> techninius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 parametrus, reglamentuoja  </w:t>
      </w:r>
      <w:r w:rsidR="00FF01DE" w:rsidRPr="00FF01DE">
        <w:rPr>
          <w:rFonts w:ascii="Tahoma" w:hAnsi="Tahoma" w:cs="Tahoma"/>
          <w:sz w:val="22"/>
          <w:szCs w:val="22"/>
          <w:lang w:val="lt-LT"/>
        </w:rPr>
        <w:t>Finansinių ataskaitų rinkinių ir su jais susijusių dokumentų teikimo Juridinių asmenų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 </w:t>
      </w:r>
      <w:r w:rsidR="00FF01DE" w:rsidRPr="00FF01DE">
        <w:rPr>
          <w:rFonts w:ascii="Tahoma" w:hAnsi="Tahoma" w:cs="Tahoma"/>
          <w:sz w:val="22"/>
          <w:szCs w:val="22"/>
          <w:lang w:val="lt-LT"/>
        </w:rPr>
        <w:t>registrui elektroniniu būdu taisyklės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, patvirtintos Registrų centro generalinio direktoriaus </w:t>
      </w:r>
      <w:r w:rsidR="00FF01DE" w:rsidRPr="00FF01DE">
        <w:rPr>
          <w:rFonts w:ascii="Tahoma" w:hAnsi="Tahoma" w:cs="Tahoma"/>
          <w:sz w:val="22"/>
          <w:szCs w:val="22"/>
          <w:lang w:val="lt-LT"/>
        </w:rPr>
        <w:t>2019 gruodžio 23 d.</w:t>
      </w:r>
      <w:r w:rsidR="00C4662D">
        <w:rPr>
          <w:rFonts w:ascii="Tahoma" w:hAnsi="Tahoma" w:cs="Tahoma"/>
          <w:sz w:val="22"/>
          <w:szCs w:val="22"/>
          <w:lang w:val="lt-LT"/>
        </w:rPr>
        <w:t xml:space="preserve"> </w:t>
      </w:r>
      <w:r w:rsidR="00FF01DE">
        <w:rPr>
          <w:rFonts w:ascii="Tahoma" w:hAnsi="Tahoma" w:cs="Tahoma"/>
          <w:sz w:val="22"/>
          <w:szCs w:val="22"/>
          <w:lang w:val="lt-LT"/>
        </w:rPr>
        <w:t>įsakymu Nr. VE-652 (1.3 E) „Dėl F</w:t>
      </w:r>
      <w:r w:rsidR="00FF01DE" w:rsidRPr="00FF01DE">
        <w:rPr>
          <w:rFonts w:ascii="Tahoma" w:hAnsi="Tahoma" w:cs="Tahoma"/>
          <w:sz w:val="22"/>
          <w:szCs w:val="22"/>
          <w:lang w:val="lt-LT"/>
        </w:rPr>
        <w:t>inansinių ataskaitų rinkinių ir su jais susijusių dokumentų teikimo Juridinių asmenų registrui elektroniniu būdu taisyklių patvirtinimo</w:t>
      </w:r>
      <w:r w:rsidR="00FF01DE">
        <w:rPr>
          <w:rFonts w:ascii="Tahoma" w:hAnsi="Tahoma" w:cs="Tahoma"/>
          <w:sz w:val="22"/>
          <w:szCs w:val="22"/>
          <w:lang w:val="lt-LT"/>
        </w:rPr>
        <w:t>“</w:t>
      </w:r>
      <w:r w:rsidR="00C4662D">
        <w:rPr>
          <w:rFonts w:ascii="Tahoma" w:hAnsi="Tahoma" w:cs="Tahoma"/>
          <w:sz w:val="22"/>
          <w:szCs w:val="22"/>
          <w:lang w:val="lt-LT"/>
        </w:rPr>
        <w:t>, (toliau – Taisyklės)</w:t>
      </w:r>
      <w:r w:rsidR="00FF01DE">
        <w:rPr>
          <w:rFonts w:ascii="Tahoma" w:hAnsi="Tahoma" w:cs="Tahoma"/>
          <w:sz w:val="22"/>
          <w:szCs w:val="22"/>
          <w:lang w:val="lt-LT"/>
        </w:rPr>
        <w:t xml:space="preserve">. </w:t>
      </w:r>
      <w:r w:rsidR="005803F9">
        <w:rPr>
          <w:rFonts w:ascii="Tahoma" w:hAnsi="Tahoma" w:cs="Tahoma"/>
          <w:sz w:val="22"/>
          <w:szCs w:val="22"/>
          <w:lang w:val="lt-LT"/>
        </w:rPr>
        <w:t>Pagal Taisyklių 5 punktą dokumentai Registro tvarkytojai teikiami vadovaujantis Taisyklėmis ir Vartotojo vadovu, pateikiamu Registro tvarkytojo interneto svetainėje.</w:t>
      </w:r>
    </w:p>
    <w:p w14:paraId="3E81BA62" w14:textId="061E6205" w:rsidR="0041281A" w:rsidRPr="00A977AE" w:rsidRDefault="000749C4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>Atsižvelgiant į tai, kad Komisijos deleguotuoju reglamentu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 ir yra</w:t>
      </w:r>
      <w:r>
        <w:rPr>
          <w:rFonts w:ascii="Tahoma" w:hAnsi="Tahoma" w:cs="Tahoma"/>
          <w:sz w:val="22"/>
          <w:szCs w:val="22"/>
          <w:lang w:val="lt-LT"/>
        </w:rPr>
        <w:t xml:space="preserve"> nustatomi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 būtent</w:t>
      </w:r>
      <w:r>
        <w:rPr>
          <w:rFonts w:ascii="Tahoma" w:hAnsi="Tahoma" w:cs="Tahoma"/>
          <w:sz w:val="22"/>
          <w:szCs w:val="22"/>
          <w:lang w:val="lt-LT"/>
        </w:rPr>
        <w:t xml:space="preserve"> techniniai reikalavimai, </w:t>
      </w:r>
      <w:r w:rsidR="005803F9">
        <w:rPr>
          <w:rFonts w:ascii="Tahoma" w:hAnsi="Tahoma" w:cs="Tahoma"/>
          <w:sz w:val="22"/>
          <w:szCs w:val="22"/>
          <w:lang w:val="lt-LT"/>
        </w:rPr>
        <w:t xml:space="preserve">kurie yra Taisyklių ir Vartotojo vadovo reguliavimo objektas, </w:t>
      </w:r>
      <w:r w:rsidR="00652262">
        <w:rPr>
          <w:rFonts w:ascii="Tahoma" w:hAnsi="Tahoma" w:cs="Tahoma"/>
          <w:sz w:val="22"/>
          <w:szCs w:val="22"/>
          <w:lang w:val="lt-LT"/>
        </w:rPr>
        <w:t xml:space="preserve">taip pat į tai, kad </w:t>
      </w:r>
      <w:r w:rsidR="00193069">
        <w:rPr>
          <w:rFonts w:ascii="Tahoma" w:hAnsi="Tahoma" w:cs="Tahoma"/>
          <w:sz w:val="22"/>
          <w:szCs w:val="22"/>
          <w:lang w:val="lt-LT"/>
        </w:rPr>
        <w:t xml:space="preserve">projektu siekiama </w:t>
      </w:r>
      <w:r w:rsidR="00193069" w:rsidRPr="00193069">
        <w:rPr>
          <w:rFonts w:ascii="Tahoma" w:hAnsi="Tahoma" w:cs="Tahoma"/>
          <w:sz w:val="22"/>
          <w:szCs w:val="22"/>
          <w:lang w:val="lt-LT"/>
        </w:rPr>
        <w:t xml:space="preserve">išvengti reikalavimo juridiniams asmenims, kurių vertybiniais popieriais </w:t>
      </w:r>
      <w:r w:rsidR="00193069">
        <w:rPr>
          <w:rFonts w:ascii="Tahoma" w:hAnsi="Tahoma" w:cs="Tahoma"/>
          <w:sz w:val="22"/>
          <w:szCs w:val="22"/>
          <w:lang w:val="lt-LT"/>
        </w:rPr>
        <w:t xml:space="preserve">leista </w:t>
      </w:r>
      <w:r w:rsidR="00193069" w:rsidRPr="00193069">
        <w:rPr>
          <w:rFonts w:ascii="Tahoma" w:hAnsi="Tahoma" w:cs="Tahoma"/>
          <w:sz w:val="22"/>
          <w:szCs w:val="22"/>
          <w:lang w:val="lt-LT"/>
        </w:rPr>
        <w:t>prekiau</w:t>
      </w:r>
      <w:r w:rsidR="00193069">
        <w:rPr>
          <w:rFonts w:ascii="Tahoma" w:hAnsi="Tahoma" w:cs="Tahoma"/>
          <w:sz w:val="22"/>
          <w:szCs w:val="22"/>
          <w:lang w:val="lt-LT"/>
        </w:rPr>
        <w:t xml:space="preserve">ti </w:t>
      </w:r>
      <w:r w:rsidR="00193069" w:rsidRPr="00193069">
        <w:rPr>
          <w:rFonts w:ascii="Tahoma" w:hAnsi="Tahoma" w:cs="Tahoma"/>
          <w:sz w:val="22"/>
          <w:szCs w:val="22"/>
          <w:lang w:val="lt-LT"/>
        </w:rPr>
        <w:t>reguliuojamoje rinkoje, finansinių ataskaitų teikimo Registro tvarkytojui dvejopu formatu</w:t>
      </w:r>
      <w:r w:rsidR="00193069">
        <w:rPr>
          <w:rFonts w:ascii="Tahoma" w:hAnsi="Tahoma" w:cs="Tahoma"/>
          <w:sz w:val="22"/>
          <w:szCs w:val="22"/>
          <w:lang w:val="lt-LT"/>
        </w:rPr>
        <w:t>, t. y. užpildant Registro tvarkytojo tvirtinamą elektroninio formato rinkinio formą ir teikiant Komisijos deleguotuoju reglamentu nustatyt</w:t>
      </w:r>
      <w:r w:rsidR="00A977AE">
        <w:rPr>
          <w:rFonts w:ascii="Tahoma" w:hAnsi="Tahoma" w:cs="Tahoma"/>
          <w:sz w:val="22"/>
          <w:szCs w:val="22"/>
          <w:lang w:val="lt-LT"/>
        </w:rPr>
        <w:t>u</w:t>
      </w:r>
      <w:r w:rsidR="00193069">
        <w:rPr>
          <w:rFonts w:ascii="Tahoma" w:hAnsi="Tahoma" w:cs="Tahoma"/>
          <w:sz w:val="22"/>
          <w:szCs w:val="22"/>
          <w:lang w:val="lt-LT"/>
        </w:rPr>
        <w:t xml:space="preserve"> format</w:t>
      </w:r>
      <w:r w:rsidR="00A977AE">
        <w:rPr>
          <w:rFonts w:ascii="Tahoma" w:hAnsi="Tahoma" w:cs="Tahoma"/>
          <w:sz w:val="22"/>
          <w:szCs w:val="22"/>
          <w:lang w:val="lt-LT"/>
        </w:rPr>
        <w:t>u</w:t>
      </w:r>
      <w:r w:rsidR="00193069">
        <w:rPr>
          <w:rFonts w:ascii="Tahoma" w:hAnsi="Tahoma" w:cs="Tahoma"/>
          <w:sz w:val="22"/>
          <w:szCs w:val="22"/>
          <w:lang w:val="lt-LT"/>
        </w:rPr>
        <w:t xml:space="preserve">, </w:t>
      </w:r>
      <w:r w:rsidR="00FD7067">
        <w:rPr>
          <w:rFonts w:ascii="Tahoma" w:hAnsi="Tahoma" w:cs="Tahoma"/>
          <w:sz w:val="22"/>
          <w:szCs w:val="22"/>
          <w:lang w:val="lt-LT"/>
        </w:rPr>
        <w:t>siūlytume</w:t>
      </w:r>
      <w:r w:rsidR="00193069">
        <w:rPr>
          <w:rFonts w:ascii="Tahoma" w:hAnsi="Tahoma" w:cs="Tahoma"/>
          <w:sz w:val="22"/>
          <w:szCs w:val="22"/>
          <w:lang w:val="lt-LT"/>
        </w:rPr>
        <w:t xml:space="preserve"> Nuostatus patikslinti, nustatant, kad </w:t>
      </w:r>
      <w:r w:rsidR="00193069" w:rsidRPr="00A977AE">
        <w:rPr>
          <w:rFonts w:ascii="Tahoma" w:hAnsi="Tahoma" w:cs="Tahoma"/>
          <w:sz w:val="22"/>
          <w:szCs w:val="22"/>
          <w:lang w:val="lt-LT"/>
        </w:rPr>
        <w:t>aptariamu atveju metinės ir tarpinės finansinės ataskaitos Registro tvarkytojui teikiamos ne elektroninio formato rinkiniuose</w:t>
      </w:r>
      <w:r w:rsidR="00A977AE" w:rsidRPr="00A977AE">
        <w:rPr>
          <w:rFonts w:ascii="Tahoma" w:hAnsi="Tahoma" w:cs="Tahoma"/>
          <w:sz w:val="22"/>
          <w:szCs w:val="22"/>
          <w:lang w:val="lt-LT"/>
        </w:rPr>
        <w:t xml:space="preserve">, kaip kad dabar pagal Nuostatus tokiu būdu </w:t>
      </w:r>
      <w:r w:rsidR="00A977AE" w:rsidRPr="00A977AE">
        <w:rPr>
          <w:rFonts w:ascii="Tahoma" w:hAnsi="Tahoma" w:cs="Tahoma"/>
          <w:color w:val="000000"/>
          <w:sz w:val="22"/>
          <w:szCs w:val="22"/>
          <w:lang w:val="lt-LT"/>
        </w:rPr>
        <w:t xml:space="preserve"> metinių finansinių ataskaitų rinkinius</w:t>
      </w:r>
      <w:r w:rsidR="00A977AE" w:rsidRPr="00A977AE">
        <w:rPr>
          <w:rFonts w:ascii="Tahoma" w:hAnsi="Tahoma" w:cs="Tahoma"/>
          <w:sz w:val="22"/>
          <w:szCs w:val="22"/>
          <w:lang w:val="lt-LT"/>
        </w:rPr>
        <w:t xml:space="preserve"> teikti gali </w:t>
      </w:r>
      <w:r w:rsidR="00A977AE">
        <w:rPr>
          <w:rFonts w:ascii="Tahoma" w:hAnsi="Tahoma" w:cs="Tahoma"/>
          <w:sz w:val="22"/>
          <w:szCs w:val="22"/>
          <w:lang w:val="lt-LT"/>
        </w:rPr>
        <w:t xml:space="preserve">bankai ir </w:t>
      </w:r>
      <w:r w:rsidR="00A977AE" w:rsidRPr="00A977AE">
        <w:rPr>
          <w:rFonts w:ascii="Tahoma" w:hAnsi="Tahoma" w:cs="Tahoma"/>
          <w:sz w:val="22"/>
          <w:szCs w:val="22"/>
          <w:lang w:val="lt-LT"/>
        </w:rPr>
        <w:t>Europos Sąjungos valstybėse narėse, Europos ekonominės erdvės valstybėse įregistruotų juridinių asmenų filialai</w:t>
      </w:r>
      <w:r w:rsidR="00193069" w:rsidRPr="00A977AE">
        <w:rPr>
          <w:rFonts w:ascii="Tahoma" w:hAnsi="Tahoma" w:cs="Tahoma"/>
          <w:sz w:val="22"/>
          <w:szCs w:val="22"/>
          <w:lang w:val="lt-LT"/>
        </w:rPr>
        <w:t>.</w:t>
      </w:r>
    </w:p>
    <w:p w14:paraId="54B8C617" w14:textId="55B73E85" w:rsidR="00193069" w:rsidRDefault="00193069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>Be to, pastebėtina, kad pagal Lietuvos Respublikos vertybinių popierių įstatymą ir Lietuvos Respublikos akcinių bendrovių įstatymą vartotina</w:t>
      </w:r>
      <w:r w:rsidR="008008B5">
        <w:rPr>
          <w:rFonts w:ascii="Tahoma" w:hAnsi="Tahoma" w:cs="Tahoma"/>
          <w:sz w:val="22"/>
          <w:szCs w:val="22"/>
          <w:lang w:val="lt-LT"/>
        </w:rPr>
        <w:t xml:space="preserve"> ne</w:t>
      </w:r>
      <w:r>
        <w:rPr>
          <w:rFonts w:ascii="Tahoma" w:hAnsi="Tahoma" w:cs="Tahoma"/>
          <w:sz w:val="22"/>
          <w:szCs w:val="22"/>
          <w:lang w:val="lt-LT"/>
        </w:rPr>
        <w:t xml:space="preserve"> </w:t>
      </w:r>
      <w:r w:rsidR="008008B5">
        <w:rPr>
          <w:rFonts w:ascii="Tahoma" w:hAnsi="Tahoma" w:cs="Tahoma"/>
          <w:sz w:val="22"/>
          <w:szCs w:val="22"/>
          <w:lang w:val="lt-LT"/>
        </w:rPr>
        <w:t xml:space="preserve">formuluotė „juridiniai asmenys, kurių vertybiniais popieriais </w:t>
      </w:r>
      <w:r w:rsidR="008008B5" w:rsidRPr="008008B5">
        <w:rPr>
          <w:rFonts w:ascii="Tahoma" w:hAnsi="Tahoma" w:cs="Tahoma"/>
          <w:i/>
          <w:sz w:val="22"/>
          <w:szCs w:val="22"/>
          <w:lang w:val="lt-LT"/>
        </w:rPr>
        <w:t>prekiaujama</w:t>
      </w:r>
      <w:r w:rsidR="008008B5">
        <w:rPr>
          <w:rFonts w:ascii="Tahoma" w:hAnsi="Tahoma" w:cs="Tahoma"/>
          <w:sz w:val="22"/>
          <w:szCs w:val="22"/>
          <w:lang w:val="lt-LT"/>
        </w:rPr>
        <w:t xml:space="preserve"> reguliuojamoje rinkoje“, bet </w:t>
      </w:r>
      <w:r>
        <w:rPr>
          <w:rFonts w:ascii="Tahoma" w:hAnsi="Tahoma" w:cs="Tahoma"/>
          <w:sz w:val="22"/>
          <w:szCs w:val="22"/>
          <w:lang w:val="lt-LT"/>
        </w:rPr>
        <w:t xml:space="preserve">formuluotė „juridiniai asmenys, kurių vertybiniais popieriais </w:t>
      </w:r>
      <w:r w:rsidRPr="008008B5">
        <w:rPr>
          <w:rFonts w:ascii="Tahoma" w:hAnsi="Tahoma" w:cs="Tahoma"/>
          <w:i/>
          <w:sz w:val="22"/>
          <w:szCs w:val="22"/>
          <w:lang w:val="lt-LT"/>
        </w:rPr>
        <w:t>leista prekiauti</w:t>
      </w:r>
      <w:r>
        <w:rPr>
          <w:rFonts w:ascii="Tahoma" w:hAnsi="Tahoma" w:cs="Tahoma"/>
          <w:sz w:val="22"/>
          <w:szCs w:val="22"/>
          <w:lang w:val="lt-LT"/>
        </w:rPr>
        <w:t xml:space="preserve"> reguliuojamoje rinkoje“</w:t>
      </w:r>
      <w:r w:rsidR="008008B5">
        <w:rPr>
          <w:rFonts w:ascii="Tahoma" w:hAnsi="Tahoma" w:cs="Tahoma"/>
          <w:sz w:val="22"/>
          <w:szCs w:val="22"/>
          <w:lang w:val="lt-LT"/>
        </w:rPr>
        <w:t>.</w:t>
      </w:r>
    </w:p>
    <w:p w14:paraId="71E6684D" w14:textId="49F3CD9E" w:rsidR="008008B5" w:rsidRDefault="008008B5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lastRenderedPageBreak/>
        <w:t>Atsižvelgdami į tai, kas išdėstyta, siūlome Nuostatus papildyti ne 125</w:t>
      </w:r>
      <w:r w:rsidRPr="008008B5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>
        <w:rPr>
          <w:rFonts w:ascii="Tahoma" w:hAnsi="Tahoma" w:cs="Tahoma"/>
          <w:sz w:val="22"/>
          <w:szCs w:val="22"/>
          <w:lang w:val="lt-LT"/>
        </w:rPr>
        <w:t xml:space="preserve"> punktu, kaip jis dėstomas projekte, bet 126</w:t>
      </w:r>
      <w:r w:rsidRPr="008008B5">
        <w:rPr>
          <w:rFonts w:ascii="Tahoma" w:hAnsi="Tahoma" w:cs="Tahoma"/>
          <w:sz w:val="22"/>
          <w:szCs w:val="22"/>
          <w:vertAlign w:val="superscript"/>
          <w:lang w:val="lt-LT"/>
        </w:rPr>
        <w:t>1</w:t>
      </w:r>
      <w:r>
        <w:rPr>
          <w:rFonts w:ascii="Tahoma" w:hAnsi="Tahoma" w:cs="Tahoma"/>
          <w:sz w:val="22"/>
          <w:szCs w:val="22"/>
          <w:lang w:val="lt-LT"/>
        </w:rPr>
        <w:t xml:space="preserve"> punktu ir jį išdėstyti taip</w:t>
      </w:r>
      <w:r w:rsidR="00B27D01">
        <w:rPr>
          <w:rFonts w:ascii="Tahoma" w:hAnsi="Tahoma" w:cs="Tahoma"/>
          <w:sz w:val="22"/>
          <w:szCs w:val="22"/>
          <w:lang w:val="lt-LT"/>
        </w:rPr>
        <w:t>:</w:t>
      </w:r>
    </w:p>
    <w:p w14:paraId="47EED583" w14:textId="27A08CDB" w:rsidR="008008B5" w:rsidRDefault="008008B5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>„</w:t>
      </w:r>
      <w:r w:rsidRPr="00D910A0">
        <w:rPr>
          <w:rFonts w:ascii="Tahoma" w:hAnsi="Tahoma" w:cs="Tahoma"/>
          <w:b/>
          <w:sz w:val="22"/>
          <w:szCs w:val="22"/>
          <w:lang w:val="lt-LT"/>
        </w:rPr>
        <w:t>126</w:t>
      </w:r>
      <w:r w:rsidRPr="00D910A0">
        <w:rPr>
          <w:rFonts w:ascii="Tahoma" w:hAnsi="Tahoma" w:cs="Tahoma"/>
          <w:b/>
          <w:sz w:val="22"/>
          <w:szCs w:val="22"/>
          <w:vertAlign w:val="superscript"/>
          <w:lang w:val="lt-LT"/>
        </w:rPr>
        <w:t>1</w:t>
      </w:r>
      <w:r w:rsidRPr="00D910A0">
        <w:rPr>
          <w:rFonts w:ascii="Tahoma" w:hAnsi="Tahoma" w:cs="Tahoma"/>
          <w:b/>
          <w:sz w:val="22"/>
          <w:szCs w:val="22"/>
          <w:lang w:val="lt-LT"/>
        </w:rPr>
        <w:t>. Juridiniai asmenys, kurių vertybiniais popieriais leista prekiauti reguliuojamoje rinkoje, metinių finansinių ataskaitų rinkinius Registro tvarkytojui teikia ne elektroninio formato rinkiniuose.</w:t>
      </w:r>
      <w:r>
        <w:rPr>
          <w:rFonts w:ascii="Tahoma" w:hAnsi="Tahoma" w:cs="Tahoma"/>
          <w:sz w:val="22"/>
          <w:szCs w:val="22"/>
          <w:lang w:val="lt-LT"/>
        </w:rPr>
        <w:t>“</w:t>
      </w:r>
    </w:p>
    <w:p w14:paraId="0276BAF3" w14:textId="3C185B4B" w:rsidR="00237701" w:rsidRDefault="0058072E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 xml:space="preserve">2. </w:t>
      </w:r>
      <w:r w:rsidR="00487292">
        <w:rPr>
          <w:rFonts w:ascii="Tahoma" w:hAnsi="Tahoma" w:cs="Tahoma"/>
          <w:sz w:val="22"/>
          <w:szCs w:val="22"/>
          <w:lang w:val="lt-LT"/>
        </w:rPr>
        <w:t>Vadovaujantis</w:t>
      </w:r>
      <w:r w:rsidR="00D82C58" w:rsidRPr="00547562">
        <w:rPr>
          <w:rFonts w:ascii="Tahoma" w:hAnsi="Tahoma" w:cs="Tahoma"/>
          <w:sz w:val="22"/>
          <w:szCs w:val="22"/>
          <w:lang w:val="lt-LT"/>
        </w:rPr>
        <w:t xml:space="preserve"> Direktyvos 2004/109/EB</w:t>
      </w:r>
      <w:r w:rsidR="00D82C58" w:rsidRPr="00547562">
        <w:rPr>
          <w:rStyle w:val="Puslapioinaosnuoroda"/>
          <w:rFonts w:ascii="Tahoma" w:hAnsi="Tahoma" w:cs="Tahoma"/>
          <w:sz w:val="22"/>
          <w:szCs w:val="22"/>
          <w:lang w:val="lt-LT"/>
        </w:rPr>
        <w:footnoteReference w:id="1"/>
      </w:r>
      <w:r w:rsidR="00D82C58" w:rsidRPr="00547562">
        <w:rPr>
          <w:rFonts w:ascii="Tahoma" w:hAnsi="Tahoma" w:cs="Tahoma"/>
          <w:sz w:val="22"/>
          <w:szCs w:val="22"/>
          <w:lang w:val="lt-LT"/>
        </w:rPr>
        <w:t xml:space="preserve"> </w:t>
      </w:r>
      <w:r w:rsidR="00547562" w:rsidRPr="00547562">
        <w:rPr>
          <w:rFonts w:ascii="Tahoma" w:hAnsi="Tahoma" w:cs="Tahoma"/>
          <w:sz w:val="22"/>
          <w:szCs w:val="22"/>
          <w:lang w:val="lt-LT"/>
        </w:rPr>
        <w:t xml:space="preserve">4 straipsnio 4 </w:t>
      </w:r>
      <w:r w:rsidR="00487292">
        <w:rPr>
          <w:rFonts w:ascii="Tahoma" w:hAnsi="Tahoma" w:cs="Tahoma"/>
          <w:sz w:val="22"/>
          <w:szCs w:val="22"/>
          <w:lang w:val="lt-LT"/>
        </w:rPr>
        <w:t>dalimi,</w:t>
      </w:r>
      <w:r w:rsidR="00547562" w:rsidRPr="00547562">
        <w:rPr>
          <w:rFonts w:ascii="Tahoma" w:hAnsi="Tahoma" w:cs="Tahoma"/>
          <w:sz w:val="22"/>
          <w:szCs w:val="22"/>
          <w:lang w:val="lt-LT"/>
        </w:rPr>
        <w:t xml:space="preserve"> </w:t>
      </w:r>
      <w:r w:rsidR="00487292" w:rsidRPr="001C5309">
        <w:rPr>
          <w:rFonts w:ascii="Tahoma" w:eastAsia="Arial Unicode MS" w:hAnsi="Tahoma" w:cs="Tahoma"/>
          <w:sz w:val="22"/>
          <w:szCs w:val="22"/>
          <w:shd w:val="clear" w:color="auto" w:fill="FFFFFF"/>
          <w:lang w:val="lt-LT"/>
        </w:rPr>
        <w:t xml:space="preserve">kartu su metine finansine atskaitomybe </w:t>
      </w:r>
      <w:r w:rsidR="00487292">
        <w:rPr>
          <w:rFonts w:ascii="Tahoma" w:eastAsia="Arial Unicode MS" w:hAnsi="Tahoma" w:cs="Tahoma"/>
          <w:sz w:val="22"/>
          <w:szCs w:val="22"/>
          <w:shd w:val="clear" w:color="auto" w:fill="FFFFFF"/>
          <w:lang w:val="lt-LT"/>
        </w:rPr>
        <w:t xml:space="preserve">turi būti atkleista </w:t>
      </w:r>
      <w:r w:rsidR="00547562" w:rsidRPr="00892515">
        <w:rPr>
          <w:rFonts w:ascii="Tahoma" w:eastAsia="Arial Unicode MS" w:hAnsi="Tahoma" w:cs="Tahoma"/>
          <w:sz w:val="22"/>
          <w:szCs w:val="22"/>
          <w:shd w:val="clear" w:color="auto" w:fill="FFFFFF"/>
          <w:lang w:val="lt-LT"/>
        </w:rPr>
        <w:t>audito ataskaita, pasirašyta už finansinės atskaitomybės auditą atsakingo asmens arba asmenų.</w:t>
      </w:r>
      <w:r w:rsidR="00547562" w:rsidRPr="00547562">
        <w:rPr>
          <w:rFonts w:ascii="Tahoma" w:hAnsi="Tahoma" w:cs="Tahoma"/>
          <w:sz w:val="22"/>
          <w:szCs w:val="22"/>
          <w:lang w:val="lt-LT"/>
        </w:rPr>
        <w:t xml:space="preserve"> </w:t>
      </w:r>
      <w:r w:rsidR="00547562">
        <w:rPr>
          <w:rFonts w:ascii="Tahoma" w:hAnsi="Tahoma" w:cs="Tahoma"/>
          <w:sz w:val="22"/>
          <w:szCs w:val="22"/>
          <w:lang w:val="lt-LT"/>
        </w:rPr>
        <w:t>Komisijos deleguotuoju reglamentu nustatomas tik  elektroninis finansinių ataskaitų teikimo formatas, o kartu su finansinėmis ataskaitomis teikiamų dokumentų formatas nenustatomas</w:t>
      </w:r>
      <w:r w:rsidR="00892515">
        <w:rPr>
          <w:rFonts w:ascii="Tahoma" w:hAnsi="Tahoma" w:cs="Tahoma"/>
          <w:sz w:val="22"/>
          <w:szCs w:val="22"/>
          <w:lang w:val="lt-LT"/>
        </w:rPr>
        <w:t xml:space="preserve">, </w:t>
      </w:r>
      <w:r w:rsidR="00AA3FA4">
        <w:rPr>
          <w:rFonts w:ascii="Tahoma" w:hAnsi="Tahoma" w:cs="Tahoma"/>
          <w:sz w:val="22"/>
          <w:szCs w:val="22"/>
          <w:lang w:val="lt-LT"/>
        </w:rPr>
        <w:t xml:space="preserve">todėl </w:t>
      </w:r>
      <w:r w:rsidR="00892515">
        <w:rPr>
          <w:rFonts w:ascii="Tahoma" w:hAnsi="Tahoma" w:cs="Tahoma"/>
          <w:sz w:val="22"/>
          <w:szCs w:val="22"/>
          <w:lang w:val="lt-LT"/>
        </w:rPr>
        <w:t>nėra aišku, kaip būtų įforminama, pasirašoma ir teikiama audito</w:t>
      </w:r>
      <w:r w:rsidR="00A8153E">
        <w:rPr>
          <w:rFonts w:ascii="Tahoma" w:hAnsi="Tahoma" w:cs="Tahoma"/>
          <w:sz w:val="22"/>
          <w:szCs w:val="22"/>
          <w:lang w:val="lt-LT"/>
        </w:rPr>
        <w:t>riaus</w:t>
      </w:r>
      <w:r w:rsidR="00892515">
        <w:rPr>
          <w:rFonts w:ascii="Tahoma" w:hAnsi="Tahoma" w:cs="Tahoma"/>
          <w:sz w:val="22"/>
          <w:szCs w:val="22"/>
          <w:lang w:val="lt-LT"/>
        </w:rPr>
        <w:t xml:space="preserve"> </w:t>
      </w:r>
      <w:r w:rsidR="00A8153E">
        <w:rPr>
          <w:rFonts w:ascii="Tahoma" w:hAnsi="Tahoma" w:cs="Tahoma"/>
          <w:sz w:val="22"/>
          <w:szCs w:val="22"/>
          <w:lang w:val="lt-LT"/>
        </w:rPr>
        <w:t>išvada</w:t>
      </w:r>
      <w:r w:rsidR="00547562">
        <w:rPr>
          <w:rFonts w:ascii="Tahoma" w:hAnsi="Tahoma" w:cs="Tahoma"/>
          <w:sz w:val="22"/>
          <w:szCs w:val="22"/>
          <w:lang w:val="lt-LT"/>
        </w:rPr>
        <w:t xml:space="preserve">. </w:t>
      </w:r>
    </w:p>
    <w:p w14:paraId="68BFA43B" w14:textId="7D5D619D" w:rsidR="00D910A0" w:rsidRDefault="00D910A0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 w:rsidRPr="00547562">
        <w:rPr>
          <w:rFonts w:ascii="Tahoma" w:hAnsi="Tahoma" w:cs="Tahoma"/>
          <w:sz w:val="22"/>
          <w:szCs w:val="22"/>
          <w:lang w:val="lt-LT"/>
        </w:rPr>
        <w:t>Vadovaujantis</w:t>
      </w:r>
      <w:r w:rsidR="006D77A7" w:rsidRPr="00547562">
        <w:rPr>
          <w:rFonts w:ascii="Tahoma" w:hAnsi="Tahoma" w:cs="Tahoma"/>
          <w:sz w:val="22"/>
          <w:szCs w:val="22"/>
          <w:lang w:val="lt-LT"/>
        </w:rPr>
        <w:t xml:space="preserve"> Nuostat</w:t>
      </w:r>
      <w:r w:rsidRPr="00547562">
        <w:rPr>
          <w:rFonts w:ascii="Tahoma" w:hAnsi="Tahoma" w:cs="Tahoma"/>
          <w:sz w:val="22"/>
          <w:szCs w:val="22"/>
          <w:lang w:val="lt-LT"/>
        </w:rPr>
        <w:t>ų 126 punktu ir 127.2 papunkčiu, kai</w:t>
      </w:r>
      <w:r w:rsidR="006D77A7" w:rsidRPr="00547562">
        <w:rPr>
          <w:rFonts w:ascii="Tahoma" w:hAnsi="Tahoma" w:cs="Tahoma"/>
          <w:sz w:val="22"/>
          <w:szCs w:val="22"/>
          <w:lang w:val="lt-LT"/>
        </w:rPr>
        <w:t xml:space="preserve"> metinių finansinių ataskaitų rinkiniai Registro tvarkytojui teikiami ne elektroninio formato rinkiniuose, auditoriaus išvada neturi būti pasirašyta auditoriaus elektroniniu parašu, patvirtintu k</w:t>
      </w:r>
      <w:r w:rsidR="006D77A7" w:rsidRPr="006D77A7">
        <w:rPr>
          <w:rFonts w:ascii="Tahoma" w:hAnsi="Tahoma" w:cs="Tahoma"/>
          <w:sz w:val="22"/>
          <w:szCs w:val="22"/>
          <w:lang w:val="lt-LT"/>
        </w:rPr>
        <w:t>valifikuotu sertifikatu, kurio duomenys apima pasirašančio asmens specialų atributą</w:t>
      </w:r>
      <w:r>
        <w:rPr>
          <w:rFonts w:ascii="Tahoma" w:hAnsi="Tahoma" w:cs="Tahoma"/>
          <w:sz w:val="22"/>
          <w:szCs w:val="22"/>
          <w:lang w:val="lt-LT"/>
        </w:rPr>
        <w:t xml:space="preserve">. </w:t>
      </w:r>
    </w:p>
    <w:p w14:paraId="251F28A3" w14:textId="3CF7A11C" w:rsidR="0058072E" w:rsidRDefault="00D910A0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>Atsižvelgdami į tai</w:t>
      </w:r>
      <w:r w:rsidR="00237701">
        <w:rPr>
          <w:rFonts w:ascii="Tahoma" w:hAnsi="Tahoma" w:cs="Tahoma"/>
          <w:sz w:val="22"/>
          <w:szCs w:val="22"/>
          <w:lang w:val="lt-LT"/>
        </w:rPr>
        <w:t>, kas nurodyta aukščiau,</w:t>
      </w:r>
      <w:r>
        <w:rPr>
          <w:rFonts w:ascii="Tahoma" w:hAnsi="Tahoma" w:cs="Tahoma"/>
          <w:sz w:val="22"/>
          <w:szCs w:val="22"/>
          <w:lang w:val="lt-LT"/>
        </w:rPr>
        <w:t xml:space="preserve"> ir į šio rašto 1 punkte pateiktą pasiūlymą, atitinkamai siūlome patikslinti ir Nuostatų 127.2 papunktį ir jį išdėstyti taip:</w:t>
      </w:r>
    </w:p>
    <w:p w14:paraId="1BB0C4D1" w14:textId="0BECCF07" w:rsidR="00D910A0" w:rsidRDefault="00D910A0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>„</w:t>
      </w:r>
      <w:r w:rsidRPr="00D910A0">
        <w:rPr>
          <w:rFonts w:ascii="Tahoma" w:hAnsi="Tahoma" w:cs="Tahoma"/>
          <w:sz w:val="22"/>
          <w:szCs w:val="22"/>
          <w:lang w:val="lt-LT"/>
        </w:rPr>
        <w:t xml:space="preserve">127.2. auditoriaus išvada, jeigu auditas atliktas, ir audito ataskaita, jeigu jos pateikimas Registrui nustatytas įstatymuose; auditoriaus išvada ar audito ataskaita turi būti pasirašyta auditoriaus elektroniniu parašu, patvirtintu kvalifikuotu sertifikatu, kurio duomenys apima pasirašančio asmens specialų atributą – asmens kodą, išskyrus Nuostatų 126 </w:t>
      </w:r>
      <w:r>
        <w:rPr>
          <w:rFonts w:ascii="Tahoma" w:hAnsi="Tahoma" w:cs="Tahoma"/>
          <w:b/>
          <w:sz w:val="22"/>
          <w:szCs w:val="22"/>
          <w:lang w:val="lt-LT"/>
        </w:rPr>
        <w:t>ir 126</w:t>
      </w:r>
      <w:r w:rsidRPr="00D910A0">
        <w:rPr>
          <w:rFonts w:ascii="Tahoma" w:hAnsi="Tahoma" w:cs="Tahoma"/>
          <w:b/>
          <w:sz w:val="22"/>
          <w:szCs w:val="22"/>
          <w:vertAlign w:val="superscript"/>
          <w:lang w:val="lt-LT"/>
        </w:rPr>
        <w:t>1</w:t>
      </w:r>
      <w:r>
        <w:rPr>
          <w:rFonts w:ascii="Tahoma" w:hAnsi="Tahoma" w:cs="Tahoma"/>
          <w:b/>
          <w:sz w:val="22"/>
          <w:szCs w:val="22"/>
          <w:lang w:val="lt-LT"/>
        </w:rPr>
        <w:t xml:space="preserve"> </w:t>
      </w:r>
      <w:r w:rsidRPr="00D910A0">
        <w:rPr>
          <w:rFonts w:ascii="Tahoma" w:hAnsi="Tahoma" w:cs="Tahoma"/>
          <w:strike/>
          <w:sz w:val="22"/>
          <w:szCs w:val="22"/>
          <w:lang w:val="lt-LT"/>
        </w:rPr>
        <w:t>punkte</w:t>
      </w:r>
      <w:r w:rsidRPr="00D910A0">
        <w:rPr>
          <w:rFonts w:ascii="Tahoma" w:hAnsi="Tahoma" w:cs="Tahoma"/>
          <w:sz w:val="22"/>
          <w:szCs w:val="22"/>
          <w:lang w:val="lt-LT"/>
        </w:rPr>
        <w:t xml:space="preserve"> </w:t>
      </w:r>
      <w:r>
        <w:rPr>
          <w:rFonts w:ascii="Tahoma" w:hAnsi="Tahoma" w:cs="Tahoma"/>
          <w:b/>
          <w:sz w:val="22"/>
          <w:szCs w:val="22"/>
          <w:lang w:val="lt-LT"/>
        </w:rPr>
        <w:t xml:space="preserve">punktuose </w:t>
      </w:r>
      <w:r w:rsidRPr="00D910A0">
        <w:rPr>
          <w:rFonts w:ascii="Tahoma" w:hAnsi="Tahoma" w:cs="Tahoma"/>
          <w:sz w:val="22"/>
          <w:szCs w:val="22"/>
          <w:lang w:val="lt-LT"/>
        </w:rPr>
        <w:t>nurodytus atvejus, kai metinių finansinių ataskaitų rinkiniai Registro tvarkytojui teikiami ne elektroninio formato rinkiniuose;</w:t>
      </w:r>
      <w:r>
        <w:rPr>
          <w:rFonts w:ascii="Tahoma" w:hAnsi="Tahoma" w:cs="Tahoma"/>
          <w:sz w:val="22"/>
          <w:szCs w:val="22"/>
          <w:lang w:val="lt-LT"/>
        </w:rPr>
        <w:t>“.</w:t>
      </w:r>
    </w:p>
    <w:p w14:paraId="462B56CD" w14:textId="221A4021" w:rsidR="00757BBE" w:rsidRDefault="00943C8C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  <w:r>
        <w:rPr>
          <w:rFonts w:ascii="Tahoma" w:hAnsi="Tahoma" w:cs="Tahoma"/>
          <w:sz w:val="22"/>
          <w:szCs w:val="22"/>
          <w:lang w:val="lt-LT"/>
        </w:rPr>
        <w:t xml:space="preserve">3. </w:t>
      </w:r>
      <w:r w:rsidR="00757BBE">
        <w:rPr>
          <w:rFonts w:ascii="Tahoma" w:hAnsi="Tahoma" w:cs="Tahoma"/>
          <w:sz w:val="22"/>
          <w:szCs w:val="22"/>
          <w:lang w:val="lt-LT"/>
        </w:rPr>
        <w:t xml:space="preserve"> Pagal Komisijos deleguotojo reglamento 8 straipsnį jis taikomas metinėms finansinėms ataskaitoms, apimančioms finansinių metų, prasidedančių 2020 m. sausio 1 d. ar vėliau, finansines ataskaitas. Atsižvelgdami į tai, siūlome atitinkamai projektu numatyti </w:t>
      </w:r>
      <w:r w:rsidR="00DC2E8A">
        <w:rPr>
          <w:rFonts w:ascii="Tahoma" w:hAnsi="Tahoma" w:cs="Tahoma"/>
          <w:sz w:val="22"/>
          <w:szCs w:val="22"/>
          <w:lang w:val="lt-LT"/>
        </w:rPr>
        <w:t>Nuostatų pakeitimo įsigaliojimo datą</w:t>
      </w:r>
      <w:r w:rsidR="00757BBE">
        <w:rPr>
          <w:rFonts w:ascii="Tahoma" w:hAnsi="Tahoma" w:cs="Tahoma"/>
          <w:sz w:val="22"/>
          <w:szCs w:val="22"/>
          <w:lang w:val="lt-LT"/>
        </w:rPr>
        <w:t>.</w:t>
      </w:r>
    </w:p>
    <w:p w14:paraId="2AD26D87" w14:textId="646DC469" w:rsidR="00627C05" w:rsidRPr="008301E2" w:rsidRDefault="00627C05" w:rsidP="00304601">
      <w:pPr>
        <w:ind w:firstLine="709"/>
        <w:jc w:val="both"/>
        <w:rPr>
          <w:rFonts w:ascii="Tahoma" w:hAnsi="Tahoma" w:cs="Tahoma"/>
          <w:sz w:val="22"/>
          <w:szCs w:val="22"/>
          <w:lang w:val="lt-LT"/>
        </w:rPr>
      </w:pPr>
    </w:p>
    <w:p w14:paraId="65C08DBC" w14:textId="77777777" w:rsidR="00AE5795" w:rsidRDefault="00AE5795" w:rsidP="00261E86">
      <w:pPr>
        <w:ind w:firstLine="567"/>
        <w:jc w:val="both"/>
        <w:rPr>
          <w:rFonts w:ascii="Tahoma" w:hAnsi="Tahoma" w:cs="Tahoma"/>
          <w:sz w:val="22"/>
          <w:szCs w:val="22"/>
          <w:lang w:val="lt-LT"/>
        </w:rPr>
      </w:pPr>
    </w:p>
    <w:p w14:paraId="270A6042" w14:textId="77777777" w:rsidR="00AE5795" w:rsidRDefault="00AE5795" w:rsidP="00261E86">
      <w:pPr>
        <w:ind w:firstLine="567"/>
        <w:jc w:val="both"/>
        <w:rPr>
          <w:rFonts w:ascii="Tahoma" w:hAnsi="Tahoma" w:cs="Tahoma"/>
          <w:sz w:val="22"/>
          <w:szCs w:val="22"/>
          <w:lang w:val="lt-LT"/>
        </w:rPr>
      </w:pPr>
    </w:p>
    <w:p w14:paraId="541B7A39" w14:textId="77777777" w:rsidR="000779BE" w:rsidRPr="00766621" w:rsidRDefault="001815EF" w:rsidP="001D7C25">
      <w:pPr>
        <w:pStyle w:val="Antrat"/>
        <w:jc w:val="both"/>
        <w:rPr>
          <w:rFonts w:ascii="Tahoma" w:hAnsi="Tahoma" w:cs="Tahoma"/>
          <w:b w:val="0"/>
          <w:sz w:val="22"/>
          <w:szCs w:val="22"/>
        </w:rPr>
      </w:pPr>
      <w:r w:rsidRPr="00766621">
        <w:rPr>
          <w:rFonts w:ascii="Tahoma" w:hAnsi="Tahoma" w:cs="Tahoma"/>
          <w:b w:val="0"/>
          <w:sz w:val="22"/>
          <w:szCs w:val="22"/>
        </w:rPr>
        <w:t>Generalinis direktorius</w:t>
      </w:r>
      <w:r w:rsidR="000779BE" w:rsidRPr="00766621">
        <w:rPr>
          <w:rFonts w:ascii="Tahoma" w:hAnsi="Tahoma" w:cs="Tahoma"/>
          <w:b w:val="0"/>
          <w:sz w:val="22"/>
          <w:szCs w:val="22"/>
        </w:rPr>
        <w:tab/>
      </w:r>
      <w:r w:rsidR="000779BE" w:rsidRPr="00766621">
        <w:rPr>
          <w:rFonts w:ascii="Tahoma" w:hAnsi="Tahoma" w:cs="Tahoma"/>
          <w:b w:val="0"/>
          <w:sz w:val="22"/>
          <w:szCs w:val="22"/>
        </w:rPr>
        <w:tab/>
      </w:r>
      <w:r w:rsidR="000779BE" w:rsidRPr="00766621">
        <w:rPr>
          <w:rFonts w:ascii="Tahoma" w:hAnsi="Tahoma" w:cs="Tahoma"/>
          <w:b w:val="0"/>
          <w:sz w:val="22"/>
          <w:szCs w:val="22"/>
        </w:rPr>
        <w:tab/>
      </w:r>
      <w:r w:rsidR="000779BE" w:rsidRPr="00766621">
        <w:rPr>
          <w:rFonts w:ascii="Tahoma" w:hAnsi="Tahoma" w:cs="Tahoma"/>
          <w:b w:val="0"/>
          <w:sz w:val="22"/>
          <w:szCs w:val="22"/>
        </w:rPr>
        <w:tab/>
      </w:r>
      <w:r w:rsidR="000779BE" w:rsidRPr="00766621">
        <w:rPr>
          <w:rFonts w:ascii="Tahoma" w:hAnsi="Tahoma" w:cs="Tahoma"/>
          <w:b w:val="0"/>
          <w:sz w:val="22"/>
          <w:szCs w:val="22"/>
        </w:rPr>
        <w:tab/>
      </w:r>
      <w:r w:rsidR="000779BE" w:rsidRPr="00766621">
        <w:rPr>
          <w:rFonts w:ascii="Tahoma" w:hAnsi="Tahoma" w:cs="Tahoma"/>
          <w:b w:val="0"/>
          <w:sz w:val="22"/>
          <w:szCs w:val="22"/>
        </w:rPr>
        <w:tab/>
        <w:t xml:space="preserve">           </w:t>
      </w:r>
      <w:r w:rsidR="001D7C25" w:rsidRPr="00766621">
        <w:rPr>
          <w:rFonts w:ascii="Tahoma" w:hAnsi="Tahoma" w:cs="Tahoma"/>
          <w:b w:val="0"/>
          <w:sz w:val="22"/>
          <w:szCs w:val="22"/>
        </w:rPr>
        <w:t xml:space="preserve">           </w:t>
      </w:r>
      <w:r w:rsidR="000779BE" w:rsidRPr="00766621">
        <w:rPr>
          <w:rFonts w:ascii="Tahoma" w:hAnsi="Tahoma" w:cs="Tahoma"/>
          <w:b w:val="0"/>
          <w:sz w:val="22"/>
          <w:szCs w:val="22"/>
        </w:rPr>
        <w:t xml:space="preserve"> </w:t>
      </w:r>
      <w:r w:rsidRPr="00766621">
        <w:rPr>
          <w:rFonts w:ascii="Tahoma" w:hAnsi="Tahoma" w:cs="Tahoma"/>
          <w:b w:val="0"/>
          <w:sz w:val="22"/>
          <w:szCs w:val="22"/>
        </w:rPr>
        <w:t xml:space="preserve">    Saulius Urbanavičius</w:t>
      </w:r>
    </w:p>
    <w:p w14:paraId="3D2CCA07" w14:textId="77777777" w:rsidR="009A1137" w:rsidRDefault="009A1137" w:rsidP="00B75A9B">
      <w:pPr>
        <w:rPr>
          <w:rFonts w:ascii="Tahoma" w:hAnsi="Tahoma" w:cs="Tahoma"/>
          <w:sz w:val="22"/>
          <w:szCs w:val="22"/>
        </w:rPr>
      </w:pPr>
    </w:p>
    <w:p w14:paraId="7A4F48E7" w14:textId="77777777" w:rsidR="009A1137" w:rsidRDefault="009A1137" w:rsidP="00B75A9B"/>
    <w:p w14:paraId="4EACC85E" w14:textId="77777777" w:rsidR="002F091A" w:rsidRDefault="002F091A" w:rsidP="00B75A9B"/>
    <w:p w14:paraId="558FA121" w14:textId="77777777" w:rsidR="0080445C" w:rsidRDefault="0080445C" w:rsidP="00B75A9B"/>
    <w:p w14:paraId="022546CF" w14:textId="77777777" w:rsidR="0080445C" w:rsidRDefault="0080445C" w:rsidP="00B75A9B"/>
    <w:p w14:paraId="6B1A222D" w14:textId="77777777" w:rsidR="0080445C" w:rsidRDefault="0080445C" w:rsidP="00B75A9B"/>
    <w:p w14:paraId="649E1448" w14:textId="77777777" w:rsidR="0080445C" w:rsidRDefault="0080445C" w:rsidP="00B75A9B"/>
    <w:p w14:paraId="1F7CE959" w14:textId="77777777" w:rsidR="0080445C" w:rsidRDefault="0080445C" w:rsidP="00B75A9B"/>
    <w:p w14:paraId="1610B0FC" w14:textId="77777777" w:rsidR="0080445C" w:rsidRDefault="0080445C" w:rsidP="00B75A9B"/>
    <w:p w14:paraId="19626920" w14:textId="77777777" w:rsidR="0080445C" w:rsidRDefault="0080445C" w:rsidP="00B75A9B"/>
    <w:p w14:paraId="6F679F3A" w14:textId="77777777" w:rsidR="0080445C" w:rsidRDefault="0080445C" w:rsidP="00B75A9B"/>
    <w:p w14:paraId="75547385" w14:textId="77777777" w:rsidR="0080445C" w:rsidRDefault="0080445C" w:rsidP="00B75A9B"/>
    <w:p w14:paraId="43E0B478" w14:textId="77777777" w:rsidR="0080445C" w:rsidRDefault="0080445C" w:rsidP="00B75A9B"/>
    <w:p w14:paraId="1E7842E0" w14:textId="77777777" w:rsidR="0080445C" w:rsidRDefault="0080445C" w:rsidP="00B75A9B"/>
    <w:p w14:paraId="06AA58B4" w14:textId="77777777" w:rsidR="0080445C" w:rsidRDefault="0080445C" w:rsidP="00B75A9B"/>
    <w:p w14:paraId="5019B640" w14:textId="77777777" w:rsidR="0080445C" w:rsidRDefault="0080445C" w:rsidP="00B75A9B"/>
    <w:p w14:paraId="331C678C" w14:textId="6AADE542" w:rsidR="0080445C" w:rsidRDefault="0080445C" w:rsidP="00B75A9B">
      <w:bookmarkStart w:id="0" w:name="_GoBack"/>
      <w:bookmarkEnd w:id="0"/>
    </w:p>
    <w:p w14:paraId="2C41163B" w14:textId="2A060148" w:rsidR="00AA3FA4" w:rsidRDefault="00AA3FA4" w:rsidP="00B75A9B"/>
    <w:p w14:paraId="436BFBE6" w14:textId="4A3C5F84" w:rsidR="00AA3FA4" w:rsidRDefault="00AA3FA4" w:rsidP="00B75A9B"/>
    <w:p w14:paraId="09292685" w14:textId="1DA21BCA" w:rsidR="00AA3FA4" w:rsidRDefault="00AA3FA4" w:rsidP="00B75A9B"/>
    <w:p w14:paraId="6F10D39F" w14:textId="0E7F2DF5" w:rsidR="00AA3FA4" w:rsidRDefault="00AA3FA4" w:rsidP="00B75A9B"/>
    <w:p w14:paraId="4012B671" w14:textId="77777777" w:rsidR="00AA3FA4" w:rsidRDefault="00AA3FA4" w:rsidP="00B75A9B"/>
    <w:p w14:paraId="591FEBC7" w14:textId="77777777" w:rsidR="00D2628C" w:rsidRPr="00CB0BF9" w:rsidRDefault="000779BE" w:rsidP="004D61AB">
      <w:pPr>
        <w:pStyle w:val="Antrat"/>
        <w:jc w:val="both"/>
        <w:rPr>
          <w:rFonts w:ascii="Tahoma" w:hAnsi="Tahoma" w:cs="Tahoma"/>
          <w:sz w:val="22"/>
          <w:szCs w:val="22"/>
        </w:rPr>
      </w:pPr>
      <w:r w:rsidRPr="00CB0BF9">
        <w:rPr>
          <w:rFonts w:ascii="Tahoma" w:hAnsi="Tahoma" w:cs="Tahoma"/>
          <w:b w:val="0"/>
          <w:sz w:val="22"/>
          <w:szCs w:val="22"/>
        </w:rPr>
        <w:t>T. Jaškūnaitė-Juodėnienė, tel. (8 5) 268 8368, el. p. Toma.Jaskunaite-Juodenien</w:t>
      </w:r>
      <w:r w:rsidR="00550838">
        <w:rPr>
          <w:rFonts w:ascii="Tahoma" w:hAnsi="Tahoma" w:cs="Tahoma"/>
          <w:b w:val="0"/>
          <w:sz w:val="22"/>
          <w:szCs w:val="22"/>
        </w:rPr>
        <w:t>e@registrucentras.lt</w:t>
      </w:r>
    </w:p>
    <w:sectPr w:rsidR="00D2628C" w:rsidRPr="00CB0BF9" w:rsidSect="002374E7">
      <w:headerReference w:type="default" r:id="rId11"/>
      <w:headerReference w:type="first" r:id="rId12"/>
      <w:pgSz w:w="11906" w:h="16838"/>
      <w:pgMar w:top="1134" w:right="567" w:bottom="709" w:left="1701" w:header="567" w:footer="567" w:gutter="0"/>
      <w:pgNumType w:start="1" w:chapStyle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621900" w14:textId="77777777" w:rsidR="007046C2" w:rsidRDefault="007046C2" w:rsidP="00C46B06">
      <w:r>
        <w:separator/>
      </w:r>
    </w:p>
  </w:endnote>
  <w:endnote w:type="continuationSeparator" w:id="0">
    <w:p w14:paraId="31C7BCEF" w14:textId="77777777" w:rsidR="007046C2" w:rsidRDefault="007046C2" w:rsidP="00C4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56B68" w14:textId="77777777" w:rsidR="007046C2" w:rsidRDefault="007046C2" w:rsidP="00C46B06">
      <w:r>
        <w:separator/>
      </w:r>
    </w:p>
  </w:footnote>
  <w:footnote w:type="continuationSeparator" w:id="0">
    <w:p w14:paraId="53C5FC69" w14:textId="77777777" w:rsidR="007046C2" w:rsidRDefault="007046C2" w:rsidP="00C46B06">
      <w:r>
        <w:continuationSeparator/>
      </w:r>
    </w:p>
  </w:footnote>
  <w:footnote w:id="1">
    <w:p w14:paraId="58D004AF" w14:textId="2B200905" w:rsidR="00D82C58" w:rsidRPr="006D5AEE" w:rsidRDefault="00D82C58" w:rsidP="006D5AEE">
      <w:pPr>
        <w:pStyle w:val="Puslapioinaostekstas"/>
        <w:jc w:val="both"/>
        <w:rPr>
          <w:rFonts w:ascii="Tahoma" w:hAnsi="Tahoma" w:cs="Tahoma"/>
          <w:lang w:val="lt-LT"/>
        </w:rPr>
      </w:pPr>
      <w:r w:rsidRPr="006D5AEE">
        <w:rPr>
          <w:rStyle w:val="Puslapioinaosnuoroda"/>
          <w:rFonts w:ascii="Tahoma" w:hAnsi="Tahoma" w:cs="Tahoma"/>
          <w:lang w:val="lt-LT"/>
        </w:rPr>
        <w:footnoteRef/>
      </w:r>
      <w:r w:rsidRPr="006D5AEE">
        <w:rPr>
          <w:rFonts w:ascii="Tahoma" w:hAnsi="Tahoma" w:cs="Tahoma"/>
          <w:lang w:val="lt-LT"/>
        </w:rPr>
        <w:t xml:space="preserve"> Europos Parlamento ir Tarybos direktyva 2004/109/EB 2004 m. gruodžio 15 d. dėl informacijos apie emitentus, kurių vertybiniais popieriais leista prekiauti reguliuojamoje rinkoje, skaidrumo reikalavimų suderinimo, iš dalies keičianti Direktyvą 2001/34/EB</w:t>
      </w:r>
      <w:r w:rsidR="006D5AEE">
        <w:rPr>
          <w:rFonts w:ascii="Tahoma" w:hAnsi="Tahoma" w:cs="Tahoma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>
      <w:rPr>
        <w:rFonts w:ascii="Tahoma" w:hAnsi="Tahoma" w:cs="Tahoma"/>
        <w:sz w:val="22"/>
        <w:szCs w:val="22"/>
      </w:rPr>
    </w:sdtEndPr>
    <w:sdtContent>
      <w:p w14:paraId="4C9AA730" w14:textId="5297A8CF" w:rsidR="00B50EED" w:rsidRPr="00C35373" w:rsidRDefault="00B50EED">
        <w:pPr>
          <w:pStyle w:val="Antrats"/>
          <w:jc w:val="right"/>
          <w:rPr>
            <w:rFonts w:ascii="Tahoma" w:hAnsi="Tahoma" w:cs="Tahoma"/>
            <w:sz w:val="22"/>
            <w:szCs w:val="22"/>
          </w:rPr>
        </w:pPr>
        <w:r w:rsidRPr="00C35373">
          <w:rPr>
            <w:rFonts w:ascii="Tahoma" w:hAnsi="Tahoma" w:cs="Tahoma"/>
            <w:bCs/>
            <w:sz w:val="22"/>
            <w:szCs w:val="22"/>
          </w:rPr>
          <w:fldChar w:fldCharType="begin"/>
        </w:r>
        <w:r w:rsidRPr="00C35373">
          <w:rPr>
            <w:rFonts w:ascii="Tahoma" w:hAnsi="Tahoma" w:cs="Tahoma"/>
            <w:bCs/>
            <w:sz w:val="22"/>
            <w:szCs w:val="22"/>
          </w:rPr>
          <w:instrText>PAGE</w:instrText>
        </w:r>
        <w:r w:rsidRPr="00C35373">
          <w:rPr>
            <w:rFonts w:ascii="Tahoma" w:hAnsi="Tahoma" w:cs="Tahoma"/>
            <w:bCs/>
            <w:sz w:val="22"/>
            <w:szCs w:val="22"/>
          </w:rPr>
          <w:fldChar w:fldCharType="separate"/>
        </w:r>
        <w:r w:rsidR="005B5F67">
          <w:rPr>
            <w:rFonts w:ascii="Tahoma" w:hAnsi="Tahoma" w:cs="Tahoma"/>
            <w:bCs/>
            <w:noProof/>
            <w:sz w:val="22"/>
            <w:szCs w:val="22"/>
          </w:rPr>
          <w:t>2</w:t>
        </w:r>
        <w:r w:rsidRPr="00C35373">
          <w:rPr>
            <w:rFonts w:ascii="Tahoma" w:hAnsi="Tahoma" w:cs="Tahoma"/>
            <w:bCs/>
            <w:sz w:val="22"/>
            <w:szCs w:val="22"/>
          </w:rPr>
          <w:fldChar w:fldCharType="end"/>
        </w:r>
        <w:r w:rsidRPr="00C35373">
          <w:rPr>
            <w:rFonts w:ascii="Tahoma" w:hAnsi="Tahoma" w:cs="Tahoma"/>
            <w:sz w:val="22"/>
            <w:szCs w:val="22"/>
            <w:lang w:val="lt-LT"/>
          </w:rPr>
          <w:t>-</w:t>
        </w:r>
        <w:r w:rsidRPr="00C35373">
          <w:rPr>
            <w:rFonts w:ascii="Tahoma" w:hAnsi="Tahoma" w:cs="Tahoma"/>
            <w:bCs/>
            <w:sz w:val="22"/>
            <w:szCs w:val="22"/>
          </w:rPr>
          <w:fldChar w:fldCharType="begin"/>
        </w:r>
        <w:r w:rsidRPr="00C35373">
          <w:rPr>
            <w:rFonts w:ascii="Tahoma" w:hAnsi="Tahoma" w:cs="Tahoma"/>
            <w:bCs/>
            <w:sz w:val="22"/>
            <w:szCs w:val="22"/>
          </w:rPr>
          <w:instrText>NUMPAGES</w:instrText>
        </w:r>
        <w:r w:rsidRPr="00C35373">
          <w:rPr>
            <w:rFonts w:ascii="Tahoma" w:hAnsi="Tahoma" w:cs="Tahoma"/>
            <w:bCs/>
            <w:sz w:val="22"/>
            <w:szCs w:val="22"/>
          </w:rPr>
          <w:fldChar w:fldCharType="separate"/>
        </w:r>
        <w:r w:rsidR="005B5F67">
          <w:rPr>
            <w:rFonts w:ascii="Tahoma" w:hAnsi="Tahoma" w:cs="Tahoma"/>
            <w:bCs/>
            <w:noProof/>
            <w:sz w:val="22"/>
            <w:szCs w:val="22"/>
          </w:rPr>
          <w:t>2</w:t>
        </w:r>
        <w:r w:rsidRPr="00C35373">
          <w:rPr>
            <w:rFonts w:ascii="Tahoma" w:hAnsi="Tahoma" w:cs="Tahoma"/>
            <w:bCs/>
            <w:sz w:val="22"/>
            <w:szCs w:val="22"/>
          </w:rPr>
          <w:fldChar w:fldCharType="end"/>
        </w:r>
      </w:p>
    </w:sdtContent>
  </w:sdt>
  <w:p w14:paraId="640CB394" w14:textId="77777777" w:rsidR="00B50EED" w:rsidRPr="00B50EED" w:rsidRDefault="00B50EE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4318F" w14:textId="77777777" w:rsidR="009122D9" w:rsidRDefault="009122D9" w:rsidP="009122D9">
    <w:pPr>
      <w:pStyle w:val="Antrat2"/>
      <w:numPr>
        <w:ilvl w:val="0"/>
        <w:numId w:val="0"/>
      </w:numPr>
      <w:jc w:val="left"/>
    </w:pPr>
  </w:p>
  <w:p w14:paraId="529DFBB0" w14:textId="77777777" w:rsidR="00F226CF" w:rsidRDefault="00F226CF" w:rsidP="00CE2109">
    <w:pPr>
      <w:pStyle w:val="Antrat1"/>
      <w:numPr>
        <w:ilvl w:val="0"/>
        <w:numId w:val="0"/>
      </w:numPr>
      <w:ind w:left="43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764B07"/>
    <w:multiLevelType w:val="singleLevel"/>
    <w:tmpl w:val="1F6018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B7A2A"/>
    <w:multiLevelType w:val="singleLevel"/>
    <w:tmpl w:val="9258E3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2731822"/>
    <w:multiLevelType w:val="hybridMultilevel"/>
    <w:tmpl w:val="DDA489B2"/>
    <w:lvl w:ilvl="0" w:tplc="330CC206">
      <w:start w:val="1"/>
      <w:numFmt w:val="bullet"/>
      <w:lvlText w:val="-"/>
      <w:lvlJc w:val="left"/>
      <w:pPr>
        <w:ind w:left="307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3D6464C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A40E27"/>
    <w:multiLevelType w:val="hybridMultilevel"/>
    <w:tmpl w:val="9C0875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931C44"/>
    <w:multiLevelType w:val="hybridMultilevel"/>
    <w:tmpl w:val="D30870A2"/>
    <w:lvl w:ilvl="0" w:tplc="542C7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C992BAC"/>
    <w:multiLevelType w:val="singleLevel"/>
    <w:tmpl w:val="39725C3C"/>
    <w:lvl w:ilvl="0">
      <w:start w:val="1"/>
      <w:numFmt w:val="lowerLetter"/>
      <w:lvlText w:val="%1)"/>
      <w:legacy w:legacy="1" w:legacySpace="0" w:legacyIndent="900"/>
      <w:lvlJc w:val="left"/>
      <w:pPr>
        <w:ind w:left="1440" w:hanging="900"/>
      </w:pPr>
    </w:lvl>
  </w:abstractNum>
  <w:abstractNum w:abstractNumId="8">
    <w:nsid w:val="6454333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9">
    <w:nsid w:val="74F35932"/>
    <w:multiLevelType w:val="hybridMultilevel"/>
    <w:tmpl w:val="1482289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cs="Times New Roman" w:hint="default"/>
        </w:rPr>
      </w:lvl>
    </w:lvlOverride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99"/>
    <w:rsid w:val="00007007"/>
    <w:rsid w:val="000137BA"/>
    <w:rsid w:val="00016CD7"/>
    <w:rsid w:val="00030C50"/>
    <w:rsid w:val="00036C2B"/>
    <w:rsid w:val="00037FFD"/>
    <w:rsid w:val="00042D56"/>
    <w:rsid w:val="00057909"/>
    <w:rsid w:val="00070A8A"/>
    <w:rsid w:val="000749C4"/>
    <w:rsid w:val="000760BB"/>
    <w:rsid w:val="000765CB"/>
    <w:rsid w:val="00077512"/>
    <w:rsid w:val="000779BE"/>
    <w:rsid w:val="00084706"/>
    <w:rsid w:val="000A05AB"/>
    <w:rsid w:val="000A0B8C"/>
    <w:rsid w:val="000B001D"/>
    <w:rsid w:val="000D24BE"/>
    <w:rsid w:val="000D320B"/>
    <w:rsid w:val="000E16BE"/>
    <w:rsid w:val="000E48DA"/>
    <w:rsid w:val="000E5FD7"/>
    <w:rsid w:val="0010662D"/>
    <w:rsid w:val="00106637"/>
    <w:rsid w:val="0011201D"/>
    <w:rsid w:val="00117605"/>
    <w:rsid w:val="0013092D"/>
    <w:rsid w:val="00132EC1"/>
    <w:rsid w:val="00135894"/>
    <w:rsid w:val="001367E9"/>
    <w:rsid w:val="00147961"/>
    <w:rsid w:val="00151D52"/>
    <w:rsid w:val="001530FA"/>
    <w:rsid w:val="001555C1"/>
    <w:rsid w:val="0017457B"/>
    <w:rsid w:val="001815EF"/>
    <w:rsid w:val="0018281A"/>
    <w:rsid w:val="0018442C"/>
    <w:rsid w:val="00184A26"/>
    <w:rsid w:val="00184E61"/>
    <w:rsid w:val="00193069"/>
    <w:rsid w:val="00195514"/>
    <w:rsid w:val="00195673"/>
    <w:rsid w:val="00195693"/>
    <w:rsid w:val="001969EA"/>
    <w:rsid w:val="001A0D3A"/>
    <w:rsid w:val="001A375B"/>
    <w:rsid w:val="001B1E76"/>
    <w:rsid w:val="001B51B7"/>
    <w:rsid w:val="001B6B9E"/>
    <w:rsid w:val="001B7AC1"/>
    <w:rsid w:val="001D03EE"/>
    <w:rsid w:val="001D2272"/>
    <w:rsid w:val="001D3AF8"/>
    <w:rsid w:val="001D4817"/>
    <w:rsid w:val="001D7C25"/>
    <w:rsid w:val="002027B2"/>
    <w:rsid w:val="00204C07"/>
    <w:rsid w:val="00207C90"/>
    <w:rsid w:val="00211C25"/>
    <w:rsid w:val="00213935"/>
    <w:rsid w:val="00215077"/>
    <w:rsid w:val="0021585E"/>
    <w:rsid w:val="00215882"/>
    <w:rsid w:val="00233248"/>
    <w:rsid w:val="00235D8C"/>
    <w:rsid w:val="002374E7"/>
    <w:rsid w:val="00237701"/>
    <w:rsid w:val="00237D70"/>
    <w:rsid w:val="002530AD"/>
    <w:rsid w:val="00261E86"/>
    <w:rsid w:val="002638F5"/>
    <w:rsid w:val="00270F59"/>
    <w:rsid w:val="00281EE3"/>
    <w:rsid w:val="002B738E"/>
    <w:rsid w:val="002C5ADB"/>
    <w:rsid w:val="002C6686"/>
    <w:rsid w:val="002D6143"/>
    <w:rsid w:val="002F091A"/>
    <w:rsid w:val="002F0B32"/>
    <w:rsid w:val="002F1346"/>
    <w:rsid w:val="00304601"/>
    <w:rsid w:val="00306D6D"/>
    <w:rsid w:val="003222E7"/>
    <w:rsid w:val="00323077"/>
    <w:rsid w:val="003450E7"/>
    <w:rsid w:val="00347B7C"/>
    <w:rsid w:val="0035302C"/>
    <w:rsid w:val="00367D45"/>
    <w:rsid w:val="00370A3D"/>
    <w:rsid w:val="003815D7"/>
    <w:rsid w:val="00382CC5"/>
    <w:rsid w:val="00382E38"/>
    <w:rsid w:val="00386F2A"/>
    <w:rsid w:val="003943CB"/>
    <w:rsid w:val="00396A7A"/>
    <w:rsid w:val="003A14ED"/>
    <w:rsid w:val="003A2555"/>
    <w:rsid w:val="003B1658"/>
    <w:rsid w:val="003E36C5"/>
    <w:rsid w:val="003F475C"/>
    <w:rsid w:val="0041281A"/>
    <w:rsid w:val="004154F3"/>
    <w:rsid w:val="00416E8C"/>
    <w:rsid w:val="00426C77"/>
    <w:rsid w:val="00434D49"/>
    <w:rsid w:val="00437393"/>
    <w:rsid w:val="004461E2"/>
    <w:rsid w:val="00447AF5"/>
    <w:rsid w:val="00447C86"/>
    <w:rsid w:val="00451C99"/>
    <w:rsid w:val="00453F09"/>
    <w:rsid w:val="004720B6"/>
    <w:rsid w:val="00477A66"/>
    <w:rsid w:val="00487292"/>
    <w:rsid w:val="00487615"/>
    <w:rsid w:val="00487D44"/>
    <w:rsid w:val="004A067C"/>
    <w:rsid w:val="004A2FF0"/>
    <w:rsid w:val="004A4B9A"/>
    <w:rsid w:val="004B0096"/>
    <w:rsid w:val="004C34DC"/>
    <w:rsid w:val="004D0FCA"/>
    <w:rsid w:val="004D5F64"/>
    <w:rsid w:val="004D61AB"/>
    <w:rsid w:val="004E3310"/>
    <w:rsid w:val="004E44A9"/>
    <w:rsid w:val="004E7DDE"/>
    <w:rsid w:val="004F09E4"/>
    <w:rsid w:val="00500F35"/>
    <w:rsid w:val="00513E06"/>
    <w:rsid w:val="00520CE6"/>
    <w:rsid w:val="00527AFC"/>
    <w:rsid w:val="005349BD"/>
    <w:rsid w:val="0054056A"/>
    <w:rsid w:val="00547562"/>
    <w:rsid w:val="00550838"/>
    <w:rsid w:val="00561986"/>
    <w:rsid w:val="00562970"/>
    <w:rsid w:val="00564674"/>
    <w:rsid w:val="00576D29"/>
    <w:rsid w:val="005803F9"/>
    <w:rsid w:val="0058072E"/>
    <w:rsid w:val="005812BA"/>
    <w:rsid w:val="00591463"/>
    <w:rsid w:val="005A35CD"/>
    <w:rsid w:val="005A3A62"/>
    <w:rsid w:val="005B431D"/>
    <w:rsid w:val="005B5F67"/>
    <w:rsid w:val="005B674B"/>
    <w:rsid w:val="005C261D"/>
    <w:rsid w:val="005C401D"/>
    <w:rsid w:val="005D0789"/>
    <w:rsid w:val="005E0E53"/>
    <w:rsid w:val="005E2204"/>
    <w:rsid w:val="005E34C8"/>
    <w:rsid w:val="005E45E7"/>
    <w:rsid w:val="005F48F0"/>
    <w:rsid w:val="00601A3E"/>
    <w:rsid w:val="00604932"/>
    <w:rsid w:val="00610576"/>
    <w:rsid w:val="00623955"/>
    <w:rsid w:val="00625B12"/>
    <w:rsid w:val="00627C05"/>
    <w:rsid w:val="00631FF3"/>
    <w:rsid w:val="0063244F"/>
    <w:rsid w:val="006415AC"/>
    <w:rsid w:val="00643BAB"/>
    <w:rsid w:val="00652262"/>
    <w:rsid w:val="0066216A"/>
    <w:rsid w:val="00675C4B"/>
    <w:rsid w:val="0067736D"/>
    <w:rsid w:val="00681BFE"/>
    <w:rsid w:val="00681F79"/>
    <w:rsid w:val="006A3199"/>
    <w:rsid w:val="006D10C7"/>
    <w:rsid w:val="006D5AEE"/>
    <w:rsid w:val="006D77A7"/>
    <w:rsid w:val="006D7AC4"/>
    <w:rsid w:val="006E583D"/>
    <w:rsid w:val="006F39AB"/>
    <w:rsid w:val="007046C2"/>
    <w:rsid w:val="0071030D"/>
    <w:rsid w:val="00712375"/>
    <w:rsid w:val="007371D3"/>
    <w:rsid w:val="00750642"/>
    <w:rsid w:val="00750CBF"/>
    <w:rsid w:val="00752B57"/>
    <w:rsid w:val="0075537B"/>
    <w:rsid w:val="00757BBE"/>
    <w:rsid w:val="00761850"/>
    <w:rsid w:val="00763B79"/>
    <w:rsid w:val="00766621"/>
    <w:rsid w:val="007846C5"/>
    <w:rsid w:val="00786C43"/>
    <w:rsid w:val="00794D8E"/>
    <w:rsid w:val="007B6954"/>
    <w:rsid w:val="007C1FE8"/>
    <w:rsid w:val="007D7D69"/>
    <w:rsid w:val="007F71C7"/>
    <w:rsid w:val="007F7822"/>
    <w:rsid w:val="008008B5"/>
    <w:rsid w:val="0080445C"/>
    <w:rsid w:val="008139D3"/>
    <w:rsid w:val="00821E81"/>
    <w:rsid w:val="00823F80"/>
    <w:rsid w:val="008301E2"/>
    <w:rsid w:val="008326B6"/>
    <w:rsid w:val="008416F6"/>
    <w:rsid w:val="0084715D"/>
    <w:rsid w:val="00863A28"/>
    <w:rsid w:val="00870C0F"/>
    <w:rsid w:val="008720A5"/>
    <w:rsid w:val="00876635"/>
    <w:rsid w:val="00880E93"/>
    <w:rsid w:val="0088115C"/>
    <w:rsid w:val="00886372"/>
    <w:rsid w:val="00892515"/>
    <w:rsid w:val="008A1188"/>
    <w:rsid w:val="008A35D1"/>
    <w:rsid w:val="008B056A"/>
    <w:rsid w:val="008B44FD"/>
    <w:rsid w:val="008B6517"/>
    <w:rsid w:val="008C0C2A"/>
    <w:rsid w:val="008C0CAA"/>
    <w:rsid w:val="008C5279"/>
    <w:rsid w:val="008C78D2"/>
    <w:rsid w:val="008D0B46"/>
    <w:rsid w:val="008D1F17"/>
    <w:rsid w:val="008D43F4"/>
    <w:rsid w:val="008E0958"/>
    <w:rsid w:val="008F3262"/>
    <w:rsid w:val="008F34B0"/>
    <w:rsid w:val="009122D9"/>
    <w:rsid w:val="00941EDB"/>
    <w:rsid w:val="00941FCE"/>
    <w:rsid w:val="00943C8C"/>
    <w:rsid w:val="00964131"/>
    <w:rsid w:val="00964169"/>
    <w:rsid w:val="0096506C"/>
    <w:rsid w:val="009667D9"/>
    <w:rsid w:val="00975485"/>
    <w:rsid w:val="00977BE0"/>
    <w:rsid w:val="00996DD9"/>
    <w:rsid w:val="009A1137"/>
    <w:rsid w:val="009A498C"/>
    <w:rsid w:val="009B595A"/>
    <w:rsid w:val="009B6B85"/>
    <w:rsid w:val="009C1A65"/>
    <w:rsid w:val="009C68E1"/>
    <w:rsid w:val="009F095B"/>
    <w:rsid w:val="00A22314"/>
    <w:rsid w:val="00A27E61"/>
    <w:rsid w:val="00A415CC"/>
    <w:rsid w:val="00A54F21"/>
    <w:rsid w:val="00A713CA"/>
    <w:rsid w:val="00A71C6A"/>
    <w:rsid w:val="00A74DC1"/>
    <w:rsid w:val="00A805C1"/>
    <w:rsid w:val="00A8153E"/>
    <w:rsid w:val="00A920E9"/>
    <w:rsid w:val="00A977AE"/>
    <w:rsid w:val="00AA26CD"/>
    <w:rsid w:val="00AA3B6A"/>
    <w:rsid w:val="00AA3FA4"/>
    <w:rsid w:val="00AB043F"/>
    <w:rsid w:val="00AB26CA"/>
    <w:rsid w:val="00AB2854"/>
    <w:rsid w:val="00AB7BC8"/>
    <w:rsid w:val="00AC0FE9"/>
    <w:rsid w:val="00AC24B0"/>
    <w:rsid w:val="00AD0A82"/>
    <w:rsid w:val="00AD508A"/>
    <w:rsid w:val="00AD55D3"/>
    <w:rsid w:val="00AE244C"/>
    <w:rsid w:val="00AE2969"/>
    <w:rsid w:val="00AE5795"/>
    <w:rsid w:val="00AF0507"/>
    <w:rsid w:val="00AF0804"/>
    <w:rsid w:val="00B15CF0"/>
    <w:rsid w:val="00B17463"/>
    <w:rsid w:val="00B2293E"/>
    <w:rsid w:val="00B27D01"/>
    <w:rsid w:val="00B36DC2"/>
    <w:rsid w:val="00B37272"/>
    <w:rsid w:val="00B50EED"/>
    <w:rsid w:val="00B61177"/>
    <w:rsid w:val="00B73528"/>
    <w:rsid w:val="00B73639"/>
    <w:rsid w:val="00B75A9B"/>
    <w:rsid w:val="00B93D8C"/>
    <w:rsid w:val="00B97797"/>
    <w:rsid w:val="00B97FD1"/>
    <w:rsid w:val="00BA1401"/>
    <w:rsid w:val="00BA4FD6"/>
    <w:rsid w:val="00BB476C"/>
    <w:rsid w:val="00BB481A"/>
    <w:rsid w:val="00BB6316"/>
    <w:rsid w:val="00BB6D73"/>
    <w:rsid w:val="00BC0555"/>
    <w:rsid w:val="00BC5EFA"/>
    <w:rsid w:val="00BC79D9"/>
    <w:rsid w:val="00BD7F55"/>
    <w:rsid w:val="00BE4864"/>
    <w:rsid w:val="00BF221B"/>
    <w:rsid w:val="00BF3212"/>
    <w:rsid w:val="00BF660F"/>
    <w:rsid w:val="00C129A7"/>
    <w:rsid w:val="00C240C9"/>
    <w:rsid w:val="00C27355"/>
    <w:rsid w:val="00C35373"/>
    <w:rsid w:val="00C409B9"/>
    <w:rsid w:val="00C421ED"/>
    <w:rsid w:val="00C44375"/>
    <w:rsid w:val="00C4662D"/>
    <w:rsid w:val="00C46B06"/>
    <w:rsid w:val="00C52B41"/>
    <w:rsid w:val="00C554B9"/>
    <w:rsid w:val="00C60260"/>
    <w:rsid w:val="00C60567"/>
    <w:rsid w:val="00C61FC1"/>
    <w:rsid w:val="00C65DBE"/>
    <w:rsid w:val="00C71BE7"/>
    <w:rsid w:val="00C71E4C"/>
    <w:rsid w:val="00C72776"/>
    <w:rsid w:val="00C821D4"/>
    <w:rsid w:val="00C842EA"/>
    <w:rsid w:val="00C87966"/>
    <w:rsid w:val="00C926BB"/>
    <w:rsid w:val="00CA4B72"/>
    <w:rsid w:val="00CB0BF9"/>
    <w:rsid w:val="00CD5131"/>
    <w:rsid w:val="00CD537E"/>
    <w:rsid w:val="00CE079E"/>
    <w:rsid w:val="00CE2109"/>
    <w:rsid w:val="00CE382C"/>
    <w:rsid w:val="00CE467E"/>
    <w:rsid w:val="00CF108D"/>
    <w:rsid w:val="00CF270A"/>
    <w:rsid w:val="00D14FF7"/>
    <w:rsid w:val="00D20D21"/>
    <w:rsid w:val="00D2628C"/>
    <w:rsid w:val="00D26A8C"/>
    <w:rsid w:val="00D30E03"/>
    <w:rsid w:val="00D42061"/>
    <w:rsid w:val="00D539B9"/>
    <w:rsid w:val="00D546AC"/>
    <w:rsid w:val="00D568D3"/>
    <w:rsid w:val="00D56CBD"/>
    <w:rsid w:val="00D74A72"/>
    <w:rsid w:val="00D80F83"/>
    <w:rsid w:val="00D82C58"/>
    <w:rsid w:val="00D87688"/>
    <w:rsid w:val="00D910A0"/>
    <w:rsid w:val="00DB344E"/>
    <w:rsid w:val="00DC1E6C"/>
    <w:rsid w:val="00DC2E8A"/>
    <w:rsid w:val="00DD1F46"/>
    <w:rsid w:val="00DD23F9"/>
    <w:rsid w:val="00DD683D"/>
    <w:rsid w:val="00DE3760"/>
    <w:rsid w:val="00DE5FA1"/>
    <w:rsid w:val="00DF1DC6"/>
    <w:rsid w:val="00DF6DCF"/>
    <w:rsid w:val="00E02270"/>
    <w:rsid w:val="00E07915"/>
    <w:rsid w:val="00E07D7D"/>
    <w:rsid w:val="00E11519"/>
    <w:rsid w:val="00E12262"/>
    <w:rsid w:val="00E147E6"/>
    <w:rsid w:val="00E16737"/>
    <w:rsid w:val="00E2045F"/>
    <w:rsid w:val="00E234DB"/>
    <w:rsid w:val="00E33FFD"/>
    <w:rsid w:val="00E34B33"/>
    <w:rsid w:val="00E41521"/>
    <w:rsid w:val="00E44B48"/>
    <w:rsid w:val="00E531E7"/>
    <w:rsid w:val="00E65D01"/>
    <w:rsid w:val="00E667B9"/>
    <w:rsid w:val="00E76ED6"/>
    <w:rsid w:val="00E832D9"/>
    <w:rsid w:val="00E855EF"/>
    <w:rsid w:val="00E90000"/>
    <w:rsid w:val="00E976FD"/>
    <w:rsid w:val="00EA1AB3"/>
    <w:rsid w:val="00EA6BD1"/>
    <w:rsid w:val="00EB044C"/>
    <w:rsid w:val="00EB149D"/>
    <w:rsid w:val="00EB561E"/>
    <w:rsid w:val="00EC2F59"/>
    <w:rsid w:val="00EC570B"/>
    <w:rsid w:val="00EE1972"/>
    <w:rsid w:val="00EE4A2A"/>
    <w:rsid w:val="00EE6EC4"/>
    <w:rsid w:val="00EF2A9A"/>
    <w:rsid w:val="00EF5767"/>
    <w:rsid w:val="00F0745A"/>
    <w:rsid w:val="00F226CF"/>
    <w:rsid w:val="00F25B48"/>
    <w:rsid w:val="00F2638E"/>
    <w:rsid w:val="00F30363"/>
    <w:rsid w:val="00F37C2C"/>
    <w:rsid w:val="00F42D1A"/>
    <w:rsid w:val="00F43E81"/>
    <w:rsid w:val="00F52373"/>
    <w:rsid w:val="00F572AD"/>
    <w:rsid w:val="00F63D1B"/>
    <w:rsid w:val="00F64102"/>
    <w:rsid w:val="00F64A17"/>
    <w:rsid w:val="00F75B24"/>
    <w:rsid w:val="00F761B6"/>
    <w:rsid w:val="00F806CF"/>
    <w:rsid w:val="00F85BE6"/>
    <w:rsid w:val="00F86C42"/>
    <w:rsid w:val="00F878D3"/>
    <w:rsid w:val="00F9127F"/>
    <w:rsid w:val="00F91898"/>
    <w:rsid w:val="00F95C90"/>
    <w:rsid w:val="00FA168C"/>
    <w:rsid w:val="00FA2F54"/>
    <w:rsid w:val="00FA734F"/>
    <w:rsid w:val="00FA7DE2"/>
    <w:rsid w:val="00FB66EC"/>
    <w:rsid w:val="00FD3883"/>
    <w:rsid w:val="00FD7067"/>
    <w:rsid w:val="00FD76F3"/>
    <w:rsid w:val="00FE46A4"/>
    <w:rsid w:val="00FE4ABD"/>
    <w:rsid w:val="00FE6FF3"/>
    <w:rsid w:val="00FF01DE"/>
    <w:rsid w:val="00FF0FDE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8D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GridTableLight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12BA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12BA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812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22D9"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0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0"/>
      </w:numPr>
      <w:jc w:val="center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0"/>
      </w:numPr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0"/>
      </w:numPr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0"/>
      </w:numPr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0"/>
      </w:numPr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210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210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210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">
    <w:name w:val="Body Text Indent"/>
    <w:basedOn w:val="prastasis"/>
    <w:semiHidden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semiHidden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semiHidden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semiHidden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semiHidden/>
    <w:pPr>
      <w:spacing w:line="360" w:lineRule="auto"/>
      <w:ind w:firstLine="720"/>
      <w:jc w:val="both"/>
    </w:pPr>
    <w:rPr>
      <w:sz w:val="24"/>
      <w:lang w:val="lt-LT"/>
    </w:rPr>
  </w:style>
  <w:style w:type="character" w:customStyle="1" w:styleId="Pagrindinistekstas3Diagrama">
    <w:name w:val="Pagrindinis tekstas 3 Diagrama"/>
    <w:link w:val="Pagrindinistekstas3"/>
    <w:semiHidden/>
    <w:rsid w:val="00215077"/>
    <w:rPr>
      <w:sz w:val="24"/>
      <w:lang w:val="lt-LT"/>
    </w:rPr>
  </w:style>
  <w:style w:type="character" w:customStyle="1" w:styleId="AntratsDiagrama">
    <w:name w:val="Antraštės Diagrama"/>
    <w:link w:val="Antrats"/>
    <w:uiPriority w:val="99"/>
    <w:rsid w:val="00794D8E"/>
    <w:rPr>
      <w:lang w:val="en-US" w:eastAsia="en-US"/>
    </w:rPr>
  </w:style>
  <w:style w:type="table" w:customStyle="1" w:styleId="GridTableLight">
    <w:name w:val="Grid Table Light"/>
    <w:basedOn w:val="prastojilentel"/>
    <w:uiPriority w:val="40"/>
    <w:rsid w:val="00823F8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">
    <w:name w:val="Plain Table 2"/>
    <w:basedOn w:val="prastojilentel"/>
    <w:uiPriority w:val="42"/>
    <w:rsid w:val="00823F8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PoratDiagrama">
    <w:name w:val="Poraštė Diagrama"/>
    <w:link w:val="Porat"/>
    <w:uiPriority w:val="99"/>
    <w:rsid w:val="007C1FE8"/>
    <w:rPr>
      <w:lang w:val="en-US" w:eastAsia="en-US"/>
    </w:rPr>
  </w:style>
  <w:style w:type="paragraph" w:styleId="Antrat">
    <w:name w:val="caption"/>
    <w:basedOn w:val="prastasis"/>
    <w:next w:val="prastasis"/>
    <w:qFormat/>
    <w:rsid w:val="000B001D"/>
    <w:pPr>
      <w:jc w:val="center"/>
    </w:pPr>
    <w:rPr>
      <w:b/>
      <w:sz w:val="24"/>
      <w:lang w:val="lt-LT"/>
    </w:rPr>
  </w:style>
  <w:style w:type="table" w:styleId="Lentelstinklelis">
    <w:name w:val="Table Grid"/>
    <w:basedOn w:val="prastojilentel"/>
    <w:rsid w:val="0039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AF0804"/>
    <w:rPr>
      <w:rFonts w:ascii="Calibri" w:eastAsia="Calibri" w:hAnsi="Calibri"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2109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21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21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76D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76D2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76D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D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6D29"/>
    <w:rPr>
      <w:b/>
      <w:bCs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6D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6D29"/>
    <w:rPr>
      <w:rFonts w:ascii="Segoe UI" w:hAnsi="Segoe UI" w:cs="Segoe UI"/>
      <w:sz w:val="18"/>
      <w:szCs w:val="18"/>
      <w:lang w:val="en-US" w:eastAsia="en-US"/>
    </w:rPr>
  </w:style>
  <w:style w:type="paragraph" w:styleId="Pataisymai">
    <w:name w:val="Revision"/>
    <w:hidden/>
    <w:uiPriority w:val="99"/>
    <w:semiHidden/>
    <w:rsid w:val="007846C5"/>
    <w:rPr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812BA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812BA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81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registrucentras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1824-88C2-499A-9DB2-74D8466A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4155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SLCaR</Company>
  <LinksUpToDate>false</LinksUpToDate>
  <CharactersWithSpaces>6511</CharactersWithSpaces>
  <SharedDoc>false</SharedDoc>
  <HLinks>
    <vt:vector size="6" baseType="variant"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mailto:info@registrucentras.lt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Asta Nareckaite</cp:lastModifiedBy>
  <cp:revision>3</cp:revision>
  <cp:lastPrinted>2020-04-08T21:36:00Z</cp:lastPrinted>
  <dcterms:created xsi:type="dcterms:W3CDTF">2020-09-25T04:05:00Z</dcterms:created>
  <dcterms:modified xsi:type="dcterms:W3CDTF">2020-10-14T10:42:00Z</dcterms:modified>
</cp:coreProperties>
</file>