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4A7C" w14:textId="77777777" w:rsidR="00193C20" w:rsidRDefault="00920D0C">
      <w:pPr>
        <w:pStyle w:val="Adresas"/>
      </w:pPr>
      <w:r>
        <w:t>Lietuvos Respublikos žemės                                      2021-04-        Nr.</w:t>
      </w:r>
    </w:p>
    <w:p w14:paraId="2C824A7D" w14:textId="77777777" w:rsidR="00193C20" w:rsidRDefault="00920D0C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ūkio ministerijai                                                          Į 2021-03-30 Nr. 2D-812 (12.146 E)  </w:t>
      </w:r>
    </w:p>
    <w:p w14:paraId="2C824A7E" w14:textId="77777777" w:rsidR="00193C20" w:rsidRDefault="00920D0C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14:paraId="2C824A7F" w14:textId="77777777" w:rsidR="00193C20" w:rsidRDefault="00193C20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2C824A80" w14:textId="77777777" w:rsidR="00193C20" w:rsidRDefault="00920D0C">
      <w:pPr>
        <w:tabs>
          <w:tab w:val="left" w:pos="709"/>
          <w:tab w:val="left" w:pos="851"/>
        </w:tabs>
        <w:spacing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2C824A81" w14:textId="77777777" w:rsidR="00193C20" w:rsidRDefault="00920D0C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</w:r>
      <w:r>
        <w:rPr>
          <w:color w:val="000000"/>
          <w:spacing w:val="2"/>
        </w:rPr>
        <w:t xml:space="preserve">Lietuvos Respublikos teisingumo ministerija, pagal kompetenciją išnagrinėjusi </w:t>
      </w:r>
      <w:hyperlink r:id="rId7" w:history="1">
        <w:r>
          <w:rPr>
            <w:rStyle w:val="Hipersaitas"/>
            <w:color w:val="2A6099"/>
            <w:spacing w:val="2"/>
          </w:rPr>
          <w:t>Lietuvos Respublikos žemės įstatymo Nr. I-446 (toliau – ŽĮ) 7, 9</w:t>
        </w:r>
        <w:r>
          <w:rPr>
            <w:rStyle w:val="Hipersaitas"/>
            <w:color w:val="2A6099"/>
            <w:spacing w:val="2"/>
          </w:rPr>
          <w:t xml:space="preserve"> ir 23 straipsnių pakeitimo įstatymo projektą (toliau – Įstatymo projektas)</w:t>
        </w:r>
      </w:hyperlink>
      <w:r>
        <w:rPr>
          <w:color w:val="000000"/>
          <w:spacing w:val="2"/>
        </w:rPr>
        <w:t>, teikia pastabas ir pasiūlymus.</w:t>
      </w:r>
    </w:p>
    <w:p w14:paraId="2C824A82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color w:val="000000"/>
          <w:spacing w:val="2"/>
        </w:rPr>
        <w:t xml:space="preserve">Pagal Projekto aiškinamojo rašto nuostatas </w:t>
      </w:r>
      <w:r>
        <w:rPr>
          <w:rFonts w:eastAsia="Times New Roman"/>
          <w:color w:val="000000"/>
          <w:spacing w:val="2"/>
          <w:lang w:eastAsia="lt-LT"/>
        </w:rPr>
        <w:t>Įstatymo projektu siekiama įtvirtinti ūkininkų iki 40 metų amžiaus pirmenybės teisę, lyginant su kitais ū</w:t>
      </w:r>
      <w:r>
        <w:rPr>
          <w:rFonts w:eastAsia="Times New Roman"/>
          <w:color w:val="000000"/>
          <w:spacing w:val="2"/>
          <w:lang w:eastAsia="lt-LT"/>
        </w:rPr>
        <w:t>kininkais, nuomoti valstybinę žemę, tuo sudarant galimybes jauniesiems ūkininkams palankesnėmis sąlygomis įgyti nuomos teises į valstybinę žemę; taip pat nurodoma, kad pirmenybės teisė nuomoti valstybinę žemę siekiama suteikti atsižvelgiant į 2013 m. gruod</w:t>
      </w:r>
      <w:r>
        <w:rPr>
          <w:rFonts w:eastAsia="Times New Roman"/>
          <w:color w:val="000000"/>
          <w:spacing w:val="2"/>
          <w:lang w:eastAsia="lt-LT"/>
        </w:rPr>
        <w:t>žio 17 d. Europos Parlamento ir Tarybos reglamento (ES) Nr. 1307/2013, kuriuo nustatomos pagal bendros žemės ūkio politikos paramos sistemas ūkininkams skiriamų tiesioginių išmokų taisyklės ir panaikinami Tarybos reglamentas (EB) Nr. 637/2008 ir Tarybos re</w:t>
      </w:r>
      <w:r>
        <w:rPr>
          <w:rFonts w:eastAsia="Times New Roman"/>
          <w:color w:val="000000"/>
          <w:spacing w:val="2"/>
          <w:lang w:eastAsia="lt-LT"/>
        </w:rPr>
        <w:t>glamentas (EB) Nr. 73/2009, 50 str., numatančio specialias pagalbos priemones jauniesiems ūkininkams, kurias gali taikyti valstybės narės, nuostatas. Kartu aiškinamajame rašte paaiškinama, kad amžiaus riba pasirinkta, atsižvelgiant į Reglamento (ES) Nr. 13</w:t>
      </w:r>
      <w:r>
        <w:rPr>
          <w:rFonts w:eastAsia="Times New Roman"/>
          <w:color w:val="000000"/>
          <w:spacing w:val="2"/>
          <w:lang w:eastAsia="lt-LT"/>
        </w:rPr>
        <w:t xml:space="preserve">07/2013 50 str. 2 d. pateiktą jaunojo ūkininko (asmuo iki 40 metų amžiaus) sampratą. </w:t>
      </w:r>
      <w:r>
        <w:rPr>
          <w:rFonts w:eastAsia="Times New Roman"/>
          <w:color w:val="000000"/>
          <w:spacing w:val="2"/>
          <w:lang w:eastAsia="lt-LT"/>
        </w:rPr>
        <w:tab/>
        <w:t>Visgi, pažymėtina, kad Reglamento (ES) Nr. 1307/2013 50 ir 51 str. nustatomas teisinis reguliavimas nėra siejamas su lengvatos nuomotis žemę jauniesiems ūkininkams suteik</w:t>
      </w:r>
      <w:r>
        <w:rPr>
          <w:rFonts w:eastAsia="Times New Roman"/>
          <w:color w:val="000000"/>
          <w:spacing w:val="2"/>
          <w:lang w:eastAsia="lt-LT"/>
        </w:rPr>
        <w:t>imu, o šiuose Reglamento (ES) Nr. 1307/2013 straipsniuose reglamentuojamos išmokos jauniesiems ūkininkams. Taigi, darytina išvada, kad minėtos, aiškinamajame rašte nurodomos Reglamento (ES) Nr. 1307/2013 nuostatos nėra pagrindas siūlomai lengvatai Įstatymo</w:t>
      </w:r>
      <w:r>
        <w:rPr>
          <w:rFonts w:eastAsia="Times New Roman"/>
          <w:color w:val="000000"/>
          <w:spacing w:val="2"/>
          <w:lang w:eastAsia="lt-LT"/>
        </w:rPr>
        <w:t xml:space="preserve"> projekte įtvirtinti. Aiškinamajame rašte netgi neatskleidžiama, kaip konkrečiai tokia Įstatymo projektu siūloma lengvata jauniesiems ūkininkams koreliuotų su Reglamento (ES) Nr. 1307/2013 50 ir 51 str. reglamentuojamomis išmokomis jauniesiems ūkininkams (</w:t>
      </w:r>
      <w:r>
        <w:rPr>
          <w:rFonts w:eastAsia="Times New Roman"/>
          <w:color w:val="000000"/>
          <w:spacing w:val="2"/>
          <w:lang w:eastAsia="lt-LT"/>
        </w:rPr>
        <w:t xml:space="preserve">t. y. kokio efekto minėtų išmokų kontekste tikimasi). </w:t>
      </w:r>
    </w:p>
    <w:p w14:paraId="2C824A83" w14:textId="77777777" w:rsidR="00193C20" w:rsidRDefault="00920D0C">
      <w:pPr>
        <w:tabs>
          <w:tab w:val="left" w:pos="739"/>
          <w:tab w:val="left" w:pos="1019"/>
        </w:tabs>
        <w:spacing w:line="276" w:lineRule="auto"/>
        <w:ind w:firstLine="709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Atkreiptinas dėmesys ir į tai, kad Reglamento (ES) Nr. 1307/2013 50 str. 2 d. nustatoma, jog jaunieji ūkininkai – tai fiziniai asmenys: a) </w:t>
      </w:r>
      <w:r>
        <w:rPr>
          <w:rFonts w:eastAsia="Times New Roman"/>
          <w:i/>
          <w:iCs/>
          <w:color w:val="000000"/>
          <w:spacing w:val="2"/>
          <w:lang w:eastAsia="lt-LT"/>
        </w:rPr>
        <w:t>kurie žemės ūkio valdą kaip valdos valdytojai kuria pirmą ka</w:t>
      </w:r>
      <w:r>
        <w:rPr>
          <w:rFonts w:eastAsia="Times New Roman"/>
          <w:i/>
          <w:iCs/>
          <w:color w:val="000000"/>
          <w:spacing w:val="2"/>
          <w:lang w:eastAsia="lt-LT"/>
        </w:rPr>
        <w:t>rtą</w:t>
      </w:r>
      <w:r>
        <w:rPr>
          <w:rFonts w:eastAsia="Times New Roman"/>
          <w:color w:val="000000"/>
          <w:spacing w:val="2"/>
          <w:lang w:eastAsia="lt-LT"/>
        </w:rPr>
        <w:t xml:space="preserve"> arba </w:t>
      </w:r>
      <w:r>
        <w:rPr>
          <w:rFonts w:eastAsia="Times New Roman"/>
          <w:i/>
          <w:iCs/>
          <w:color w:val="000000"/>
          <w:spacing w:val="2"/>
          <w:lang w:eastAsia="lt-LT"/>
        </w:rPr>
        <w:t>kurie tokią valdą jau įkūrė per penkerius metus iki pirmosios paraiškos</w:t>
      </w:r>
      <w:r>
        <w:rPr>
          <w:rFonts w:eastAsia="Times New Roman"/>
          <w:color w:val="000000"/>
          <w:spacing w:val="2"/>
          <w:lang w:eastAsia="lt-LT"/>
        </w:rPr>
        <w:t xml:space="preserve"> pagal bazinės išmokos sistemą arba vienkartinės išmokos už plotus sistemą</w:t>
      </w:r>
      <w:r>
        <w:rPr>
          <w:rFonts w:eastAsia="Times New Roman"/>
          <w:i/>
          <w:iCs/>
          <w:color w:val="000000"/>
          <w:spacing w:val="2"/>
          <w:lang w:eastAsia="lt-LT"/>
        </w:rPr>
        <w:t xml:space="preserve"> pateikimo</w:t>
      </w:r>
      <w:r>
        <w:rPr>
          <w:rFonts w:eastAsia="Times New Roman"/>
          <w:color w:val="000000"/>
          <w:spacing w:val="2"/>
          <w:lang w:eastAsia="lt-LT"/>
        </w:rPr>
        <w:t xml:space="preserve"> dienos &lt;...&gt; ir b) kurie a punkte nurodytos paraiškos teikimo metais yra ne vyresni nei 40 </w:t>
      </w:r>
      <w:r>
        <w:rPr>
          <w:rFonts w:eastAsia="Times New Roman"/>
          <w:color w:val="000000"/>
          <w:spacing w:val="2"/>
          <w:lang w:eastAsia="lt-LT"/>
        </w:rPr>
        <w:t xml:space="preserve">metų amžiaus. Šių nuostatų kontekste keltinas klausimas, ar Įstatymo projekte dėstomame naujo ŽĮ 9 str. 7 d. 1 p. nuostata „fiziniai asmenys, ne vyresni kaip 40 metų amžiaus, </w:t>
      </w:r>
      <w:r>
        <w:rPr>
          <w:rFonts w:eastAsia="Times New Roman"/>
          <w:i/>
          <w:iCs/>
          <w:color w:val="000000"/>
          <w:spacing w:val="2"/>
          <w:lang w:eastAsia="lt-LT"/>
        </w:rPr>
        <w:t>įregistravę ūkininko ūkį Ūkininko ūkio įstatymo nustatyta tvarka</w:t>
      </w:r>
      <w:r>
        <w:rPr>
          <w:rFonts w:eastAsia="Times New Roman"/>
          <w:color w:val="000000"/>
          <w:spacing w:val="2"/>
          <w:lang w:eastAsia="lt-LT"/>
        </w:rPr>
        <w:t xml:space="preserve"> arba turintys Vy</w:t>
      </w:r>
      <w:r>
        <w:rPr>
          <w:rFonts w:eastAsia="Times New Roman"/>
          <w:color w:val="000000"/>
          <w:spacing w:val="2"/>
          <w:lang w:eastAsia="lt-LT"/>
        </w:rPr>
        <w:t xml:space="preserve">riausybės įgaliotos institucijos nustatytą pasirengimą ūkininkauti“ nėra susiaurinamas galimų tokios lengvatos gavėjų ratas. Pastebėtina, kad Reglamento (ES) Nr. 1307/2013 50 str. 2 d. jaunojo ūkininko apibrėžtyje siejamasi ne su ūkininko ūkio kategorija, </w:t>
      </w:r>
      <w:r>
        <w:rPr>
          <w:rFonts w:eastAsia="Times New Roman"/>
          <w:color w:val="000000"/>
          <w:spacing w:val="2"/>
          <w:lang w:eastAsia="lt-LT"/>
        </w:rPr>
        <w:t xml:space="preserve">o su žemės valdos kategorija, be to, su žemės valdos įkūrimu </w:t>
      </w:r>
      <w:r>
        <w:rPr>
          <w:rFonts w:eastAsia="Times New Roman"/>
          <w:i/>
          <w:iCs/>
          <w:color w:val="000000"/>
          <w:spacing w:val="2"/>
          <w:lang w:eastAsia="lt-LT"/>
        </w:rPr>
        <w:t>pirmą kartą</w:t>
      </w:r>
      <w:r>
        <w:rPr>
          <w:rFonts w:eastAsia="Times New Roman"/>
          <w:color w:val="000000"/>
          <w:spacing w:val="2"/>
          <w:lang w:eastAsia="lt-LT"/>
        </w:rPr>
        <w:t xml:space="preserve"> arba </w:t>
      </w:r>
      <w:r>
        <w:rPr>
          <w:rFonts w:eastAsia="Times New Roman"/>
          <w:i/>
          <w:iCs/>
          <w:color w:val="000000"/>
          <w:spacing w:val="2"/>
          <w:lang w:eastAsia="lt-LT"/>
        </w:rPr>
        <w:t>per penkerius metus iki pirmosios paraiškos</w:t>
      </w:r>
      <w:r>
        <w:rPr>
          <w:rFonts w:eastAsia="Times New Roman"/>
          <w:color w:val="000000"/>
          <w:spacing w:val="2"/>
          <w:lang w:eastAsia="lt-LT"/>
        </w:rPr>
        <w:t xml:space="preserve"> &lt;...&gt;</w:t>
      </w:r>
      <w:r>
        <w:rPr>
          <w:rFonts w:eastAsia="Times New Roman"/>
          <w:i/>
          <w:iCs/>
          <w:color w:val="000000"/>
          <w:spacing w:val="2"/>
          <w:lang w:eastAsia="lt-LT"/>
        </w:rPr>
        <w:t xml:space="preserve"> pateikimo. </w:t>
      </w:r>
      <w:r>
        <w:rPr>
          <w:rFonts w:eastAsia="Times New Roman"/>
          <w:color w:val="000000"/>
          <w:spacing w:val="2"/>
          <w:lang w:eastAsia="lt-LT"/>
        </w:rPr>
        <w:t xml:space="preserve">Taip pat pažymėtina ir </w:t>
      </w:r>
      <w:r>
        <w:rPr>
          <w:rFonts w:eastAsia="Times New Roman"/>
          <w:color w:val="000000"/>
          <w:spacing w:val="2"/>
          <w:lang w:eastAsia="lt-LT"/>
        </w:rPr>
        <w:lastRenderedPageBreak/>
        <w:t xml:space="preserve">tai, kad Lietuvos Respublikos žemės ūkio, maisto ūkio ir kaimo plėtros įstatymo 2 str. 23 d. </w:t>
      </w:r>
      <w:r>
        <w:rPr>
          <w:rFonts w:eastAsia="Times New Roman"/>
          <w:i/>
          <w:iCs/>
          <w:color w:val="000000"/>
          <w:spacing w:val="2"/>
          <w:lang w:eastAsia="lt-LT"/>
        </w:rPr>
        <w:t>ž</w:t>
      </w:r>
      <w:r>
        <w:rPr>
          <w:rFonts w:eastAsia="Times New Roman"/>
          <w:i/>
          <w:iCs/>
          <w:color w:val="000000"/>
          <w:spacing w:val="2"/>
          <w:lang w:eastAsia="lt-LT"/>
        </w:rPr>
        <w:t xml:space="preserve">emės ūkio veiklos subjektas </w:t>
      </w:r>
      <w:r>
        <w:rPr>
          <w:rFonts w:eastAsia="Times New Roman"/>
          <w:color w:val="000000"/>
          <w:spacing w:val="2"/>
          <w:lang w:eastAsia="lt-LT"/>
        </w:rPr>
        <w:t xml:space="preserve">apibrėžiamas kaip žemės ūkio veikla arba žemės ūkio ir alternatyviąja veikla užsiimantis fizinis ar juridinis asmuo arba fizinių ar juridinių asmenų grupė, taip pat Lietuvoje registruotas užsienio juridinio asmens filialas, </w:t>
      </w:r>
      <w:r>
        <w:rPr>
          <w:rFonts w:eastAsia="Times New Roman"/>
          <w:i/>
          <w:iCs/>
          <w:color w:val="000000"/>
          <w:spacing w:val="2"/>
          <w:lang w:eastAsia="lt-LT"/>
        </w:rPr>
        <w:t>kuri</w:t>
      </w:r>
      <w:r>
        <w:rPr>
          <w:rFonts w:eastAsia="Times New Roman"/>
          <w:i/>
          <w:iCs/>
          <w:color w:val="000000"/>
          <w:spacing w:val="2"/>
          <w:lang w:eastAsia="lt-LT"/>
        </w:rPr>
        <w:t>ų žemės ūkio valda</w:t>
      </w:r>
      <w:r>
        <w:rPr>
          <w:rFonts w:eastAsia="Times New Roman"/>
          <w:color w:val="000000"/>
          <w:spacing w:val="2"/>
          <w:lang w:eastAsia="lt-LT"/>
        </w:rPr>
        <w:t xml:space="preserve"> yra įregistruota Lietuvos Respublikos žemės ūkio ir kaimo verslo registre. </w:t>
      </w:r>
    </w:p>
    <w:p w14:paraId="2C824A84" w14:textId="77777777" w:rsidR="00193C20" w:rsidRDefault="00920D0C">
      <w:pPr>
        <w:tabs>
          <w:tab w:val="left" w:pos="739"/>
          <w:tab w:val="left" w:pos="1019"/>
        </w:tabs>
        <w:spacing w:line="276" w:lineRule="auto"/>
        <w:ind w:firstLine="709"/>
        <w:jc w:val="both"/>
      </w:pPr>
      <w:r>
        <w:rPr>
          <w:rFonts w:eastAsia="Times New Roman"/>
          <w:color w:val="000000"/>
          <w:spacing w:val="2"/>
          <w:lang w:eastAsia="lt-LT"/>
        </w:rPr>
        <w:t>Taigi, keltinas klausimas, ar dėstomame naujame ŽĮ 9 str. 7 d. 1 p. neturėtų būti vartojama platesnį subjektų ratą apimantį sąvoka – „žemės ūkio veiklos subjekta</w:t>
      </w:r>
      <w:r>
        <w:rPr>
          <w:rFonts w:eastAsia="Times New Roman"/>
          <w:color w:val="000000"/>
          <w:spacing w:val="2"/>
          <w:lang w:eastAsia="lt-LT"/>
        </w:rPr>
        <w:t>s“/siejamasi su žemės ūkio valdos įkūrimu/registravimu. Atitinkamai peržiūrėtinos ir esamo teisinio reguliavimo, įtvirtinto galiojančiame ŽĮ 9 str. 7 d. 1 p., nuostatos.</w:t>
      </w:r>
    </w:p>
    <w:p w14:paraId="2C824A85" w14:textId="77777777" w:rsidR="00193C20" w:rsidRDefault="00920D0C">
      <w:pPr>
        <w:tabs>
          <w:tab w:val="left" w:pos="739"/>
          <w:tab w:val="left" w:pos="1019"/>
        </w:tabs>
        <w:spacing w:line="276" w:lineRule="auto"/>
        <w:ind w:firstLine="709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Be kita ko, pastebėtina ir tai, kad Reglamento (ES) Nr. 1307/2013 </w:t>
      </w:r>
      <w:r>
        <w:t xml:space="preserve">4 str. 1 d. a p. </w:t>
      </w:r>
      <w:r>
        <w:rPr>
          <w:rFonts w:eastAsia="Times New Roman"/>
          <w:color w:val="000000"/>
          <w:lang w:eastAsia="lt-LT"/>
        </w:rPr>
        <w:t>ūki</w:t>
      </w:r>
      <w:r>
        <w:rPr>
          <w:rFonts w:eastAsia="Times New Roman"/>
          <w:color w:val="000000"/>
          <w:lang w:eastAsia="lt-LT"/>
        </w:rPr>
        <w:t xml:space="preserve">ninkas apibrėžiamas kaip </w:t>
      </w:r>
      <w:r>
        <w:rPr>
          <w:rFonts w:eastAsia="Times New Roman"/>
          <w:i/>
          <w:iCs/>
          <w:color w:val="000000"/>
          <w:lang w:eastAsia="lt-LT"/>
        </w:rPr>
        <w:t>fizinis ar juridinis asmuo</w:t>
      </w:r>
      <w:r>
        <w:rPr>
          <w:rFonts w:eastAsia="Times New Roman"/>
          <w:color w:val="000000"/>
          <w:lang w:eastAsia="lt-LT"/>
        </w:rPr>
        <w:t xml:space="preserve"> arba </w:t>
      </w:r>
      <w:r>
        <w:rPr>
          <w:rFonts w:eastAsia="Times New Roman"/>
          <w:i/>
          <w:iCs/>
          <w:color w:val="000000"/>
          <w:lang w:eastAsia="lt-LT"/>
        </w:rPr>
        <w:t>fizinių ar juridinių asmenų</w:t>
      </w:r>
      <w:r>
        <w:rPr>
          <w:rFonts w:eastAsia="Times New Roman"/>
          <w:color w:val="000000"/>
          <w:lang w:eastAsia="lt-LT"/>
        </w:rPr>
        <w:t xml:space="preserve"> grupė, neatsižvelgiant į tokios grupės ar jos narių juridinį statusą, suteikiamą pagal nacionalinę teisę, kurių valda yra teritorinėje Sutarčių taikymo srityje &lt;...&gt; ir ku</w:t>
      </w:r>
      <w:r>
        <w:rPr>
          <w:rFonts w:eastAsia="Times New Roman"/>
          <w:color w:val="000000"/>
          <w:lang w:eastAsia="lt-LT"/>
        </w:rPr>
        <w:t xml:space="preserve">rie verčiasi žemės ūkio veikla“, o </w:t>
      </w:r>
      <w:r>
        <w:rPr>
          <w:rFonts w:eastAsia="Times New Roman"/>
          <w:color w:val="000000"/>
          <w:spacing w:val="2"/>
          <w:lang w:eastAsia="lt-LT"/>
        </w:rPr>
        <w:t xml:space="preserve">Lietuvos Respublikos ūkininko ūkio įstatymo 2 str. 2 d. ūkininko sąvokoje siejamasi tik su fiziniu asmeniu. Todėl, tuo atveju, jeigu siekiama remtis Reglamento (ES) Nr. 1307/2013 nuostatomis siūlomai lengvatai nustatyti, </w:t>
      </w:r>
      <w:r>
        <w:rPr>
          <w:rFonts w:eastAsia="Times New Roman"/>
          <w:color w:val="000000"/>
          <w:spacing w:val="2"/>
          <w:lang w:eastAsia="lt-LT"/>
        </w:rPr>
        <w:t>į subjektų, kuriems ji galėtų būti taikomą ratą galimai turėtų būti įtraukiami ir juridiniai asmenys, atitinkantys minėtą, Reglamento (ES) Nr. 1307/2013 4 str. 1 d. a p. nurodytą,  ūkininko sąvoką.</w:t>
      </w:r>
    </w:p>
    <w:p w14:paraId="2C824A86" w14:textId="77777777" w:rsidR="00193C20" w:rsidRDefault="00920D0C">
      <w:pPr>
        <w:tabs>
          <w:tab w:val="left" w:pos="739"/>
          <w:tab w:val="left" w:pos="1019"/>
        </w:tabs>
        <w:spacing w:line="276" w:lineRule="auto"/>
        <w:ind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Be to, Įstatymo projekte dėstomame naujame ŽĮ 9 str. 7 d. </w:t>
      </w:r>
      <w:r>
        <w:rPr>
          <w:rFonts w:eastAsia="Times New Roman"/>
          <w:color w:val="000000"/>
          <w:spacing w:val="2"/>
          <w:lang w:eastAsia="lt-LT"/>
        </w:rPr>
        <w:t xml:space="preserve">1 p. nustatomos lengvatos pagrįstumas diskutuotinas Ūkininko ūkio įstatymo nuostatų dėl lengvatų jauniesiems ūkininkams taikymo kontekste. Vadovaujantis Ūkininko ūkio įstatymo 10 str. 2 d., Vyriausybė, </w:t>
      </w:r>
      <w:r>
        <w:rPr>
          <w:rFonts w:eastAsia="Times New Roman"/>
          <w:b/>
          <w:bCs/>
          <w:color w:val="000000"/>
          <w:spacing w:val="2"/>
          <w:lang w:eastAsia="lt-LT"/>
        </w:rPr>
        <w:t>teikdama prioritetą jauniesiems (iki 40 metų) ūkininka</w:t>
      </w:r>
      <w:r>
        <w:rPr>
          <w:rFonts w:eastAsia="Times New Roman"/>
          <w:b/>
          <w:bCs/>
          <w:color w:val="000000"/>
          <w:spacing w:val="2"/>
          <w:lang w:eastAsia="lt-LT"/>
        </w:rPr>
        <w:t>ms</w:t>
      </w:r>
      <w:r>
        <w:rPr>
          <w:rFonts w:eastAsia="Times New Roman"/>
          <w:color w:val="000000"/>
          <w:spacing w:val="2"/>
          <w:lang w:eastAsia="lt-LT"/>
        </w:rPr>
        <w:t xml:space="preserve">, nustato jų įsikūrimo ir kvalifikacijos kėlimo paramos formą ir dydį, t. y. galimų lengvatų jauniesiems ūkininkams taikymą minėtas įstatymas sieja </w:t>
      </w:r>
      <w:r>
        <w:rPr>
          <w:rFonts w:eastAsia="Times New Roman"/>
          <w:b/>
          <w:bCs/>
          <w:color w:val="000000"/>
          <w:spacing w:val="2"/>
          <w:lang w:eastAsia="lt-LT"/>
        </w:rPr>
        <w:t>tik su jaunųjų ūkininkų įsikūrimo ir kvalifikacijos kėlimo paramos forma ir dydžiu</w:t>
      </w:r>
      <w:r>
        <w:rPr>
          <w:rFonts w:eastAsia="Times New Roman"/>
          <w:color w:val="000000"/>
          <w:spacing w:val="2"/>
          <w:lang w:eastAsia="lt-LT"/>
        </w:rPr>
        <w:t xml:space="preserve">. Pagal Ūkininko </w:t>
      </w:r>
      <w:r>
        <w:rPr>
          <w:rFonts w:eastAsia="Times New Roman"/>
          <w:color w:val="000000"/>
          <w:spacing w:val="2"/>
          <w:lang w:eastAsia="lt-LT"/>
        </w:rPr>
        <w:t xml:space="preserve">ūkio įstatymo 10 str. 3 d. ūkininkams (t. y. </w:t>
      </w:r>
      <w:r>
        <w:rPr>
          <w:rFonts w:eastAsia="Times New Roman"/>
          <w:b/>
          <w:bCs/>
          <w:color w:val="000000"/>
          <w:spacing w:val="2"/>
          <w:lang w:eastAsia="lt-LT"/>
        </w:rPr>
        <w:t>visiems ūkininkams, nepriklausomai nuo jų amžiaus</w:t>
      </w:r>
      <w:r>
        <w:rPr>
          <w:rFonts w:eastAsia="Times New Roman"/>
          <w:color w:val="000000"/>
          <w:spacing w:val="2"/>
          <w:lang w:eastAsia="lt-LT"/>
        </w:rPr>
        <w:t xml:space="preserve">) teikiamą kitą paramą nustato Žemės ūkio, maisto ūkio ir kaimo plėtros įstatymas bei kiti teisės aktai. </w:t>
      </w:r>
    </w:p>
    <w:p w14:paraId="2C824A87" w14:textId="77777777" w:rsidR="00193C20" w:rsidRDefault="00920D0C">
      <w:pPr>
        <w:tabs>
          <w:tab w:val="left" w:pos="739"/>
          <w:tab w:val="left" w:pos="1019"/>
        </w:tabs>
        <w:spacing w:line="276" w:lineRule="auto"/>
        <w:ind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Konstitucinis Teismas 2019 m. sausio 11 d. nutarime yra </w:t>
      </w:r>
      <w:r>
        <w:rPr>
          <w:rFonts w:eastAsia="Times New Roman"/>
          <w:color w:val="000000"/>
          <w:spacing w:val="2"/>
          <w:lang w:eastAsia="lt-LT"/>
        </w:rPr>
        <w:t xml:space="preserve">pažymėjęs, kad konstitucinio asmenų lygiateisiškumo principo turinys gali būti atskleistas tik aiškinant Konstitucijos 29 str. 1 ir 2 d. kartu. Taip pat šiame nutarime Konstitucinis Teismas pasisakė, jog Konstitucijos 29 str. 2 d., kurioje </w:t>
      </w:r>
      <w:proofErr w:type="spellStart"/>
      <w:r>
        <w:rPr>
          <w:rFonts w:eastAsia="Times New Roman"/>
          <w:i/>
          <w:iCs/>
          <w:color w:val="000000"/>
          <w:spacing w:val="2"/>
          <w:lang w:eastAsia="lt-LT"/>
        </w:rPr>
        <w:t>inter</w:t>
      </w:r>
      <w:proofErr w:type="spellEnd"/>
      <w:r>
        <w:rPr>
          <w:rFonts w:eastAsia="Times New Roman"/>
          <w:i/>
          <w:iCs/>
          <w:color w:val="000000"/>
          <w:spacing w:val="2"/>
          <w:lang w:eastAsia="lt-LT"/>
        </w:rPr>
        <w:t xml:space="preserve"> alia </w:t>
      </w:r>
      <w:r>
        <w:rPr>
          <w:rFonts w:eastAsia="Times New Roman"/>
          <w:color w:val="000000"/>
          <w:spacing w:val="2"/>
          <w:lang w:eastAsia="lt-LT"/>
        </w:rPr>
        <w:t>nusta</w:t>
      </w:r>
      <w:r>
        <w:rPr>
          <w:rFonts w:eastAsia="Times New Roman"/>
          <w:color w:val="000000"/>
          <w:spacing w:val="2"/>
          <w:lang w:eastAsia="lt-LT"/>
        </w:rPr>
        <w:t>tyta, kad žmogaus teisių negalima varžyti dėl jo lyties, rasės, tautybės, kalbos, kilmės, socialinės padėties, tikėjimo, įsitikinimų ar pažiūrų, negali būti suprantama kaip įtvirtinanti baigtinį nediskriminavimo pagrindų sąrašą; priešingu atveju būtų sudar</w:t>
      </w:r>
      <w:r>
        <w:rPr>
          <w:rFonts w:eastAsia="Times New Roman"/>
          <w:color w:val="000000"/>
          <w:spacing w:val="2"/>
          <w:lang w:eastAsia="lt-LT"/>
        </w:rPr>
        <w:t>ytos prielaidos paneigti Konstitucijos 29 str. 1 d. laiduojamą visų asmenų lygybę įstatymui, teismui ir kitoms valstybės institucijoms, t. y. pačią konstitucinio asmenų lygiateisiškumo principo esmę.  Taip pat atkreiptinas dėmesys ir į tai, kad Konstitucin</w:t>
      </w:r>
      <w:r>
        <w:rPr>
          <w:rFonts w:eastAsia="Times New Roman"/>
          <w:color w:val="000000"/>
          <w:spacing w:val="2"/>
          <w:lang w:eastAsia="lt-LT"/>
        </w:rPr>
        <w:t xml:space="preserve">is Teismas 2020 m. vasario 10 d. nutarime Nr. KT23-N2/2020 pažymėjo, jog vienas iš pagal Konstitucijos 29 str. draudžiamo diskriminavimo pagrindų yra žmogaus teisių varžymas </w:t>
      </w:r>
      <w:r>
        <w:rPr>
          <w:rFonts w:eastAsia="Times New Roman"/>
          <w:b/>
          <w:bCs/>
          <w:color w:val="000000"/>
          <w:spacing w:val="2"/>
          <w:lang w:eastAsia="lt-LT"/>
        </w:rPr>
        <w:t>dėl jo amžiaus</w:t>
      </w:r>
      <w:r>
        <w:rPr>
          <w:rFonts w:eastAsia="Times New Roman"/>
          <w:color w:val="000000"/>
          <w:spacing w:val="2"/>
          <w:lang w:eastAsia="lt-LT"/>
        </w:rPr>
        <w:t xml:space="preserve">.  </w:t>
      </w:r>
    </w:p>
    <w:p w14:paraId="2C824A88" w14:textId="77777777" w:rsidR="00193C20" w:rsidRDefault="00920D0C">
      <w:pPr>
        <w:tabs>
          <w:tab w:val="left" w:pos="739"/>
          <w:tab w:val="left" w:pos="1019"/>
        </w:tabs>
        <w:spacing w:line="276" w:lineRule="auto"/>
        <w:jc w:val="both"/>
      </w:pPr>
      <w:r>
        <w:rPr>
          <w:rFonts w:eastAsia="Times New Roman"/>
          <w:color w:val="000000"/>
          <w:spacing w:val="2"/>
          <w:lang w:eastAsia="lt-LT"/>
        </w:rPr>
        <w:tab/>
        <w:t>Taigi, atsižvelgiant į tai, kas išdėstyta, kyla pagrįstų abejon</w:t>
      </w:r>
      <w:r>
        <w:rPr>
          <w:rFonts w:eastAsia="Times New Roman"/>
          <w:color w:val="000000"/>
          <w:spacing w:val="2"/>
          <w:lang w:eastAsia="lt-LT"/>
        </w:rPr>
        <w:t>ių dėl Įstatymo projekte dėstomame naujame ŽĮ 9 str. 7 d. 1 p. siūlomos įtvirtinti lengvatos (privilegijos) atitikimo  Lietuvos Respublikos Konstitucijos 29 str. įtvirtintam asmenų lygiateisiškumo principui, nes iš tos pačios grupės subjektų amžiaus pagrin</w:t>
      </w:r>
      <w:r>
        <w:rPr>
          <w:rFonts w:eastAsia="Times New Roman"/>
          <w:color w:val="000000"/>
          <w:spacing w:val="2"/>
          <w:lang w:eastAsia="lt-LT"/>
        </w:rPr>
        <w:t xml:space="preserve">du būtų išskiriami jaunesni kaip 40 metų asmenys, ir jiems būtų nustatomas palankesnis teisinis reguliavimas, suteikiant pirmenybę, kitų, tokia pačia veikla užsiimančių, subjektų atžvilgiu. </w:t>
      </w:r>
    </w:p>
    <w:p w14:paraId="2C824A89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lastRenderedPageBreak/>
        <w:t>Atsižvelgiant į Įstatymo projekte dėstomas naujo ŽĮ 9 str. 7 d. 1</w:t>
      </w:r>
      <w:r>
        <w:rPr>
          <w:rFonts w:eastAsia="Times New Roman"/>
          <w:color w:val="000000"/>
          <w:spacing w:val="2"/>
          <w:lang w:eastAsia="lt-LT"/>
        </w:rPr>
        <w:t xml:space="preserve"> p. nuostatas (jeigu siūlomų keitimų nebūtų atsisakyta), šios straipsnio dalies punktų pernumeravimą bei į tai, kad po pakeitimo, ŽĮ 9 str. 7 d. atsirastų 3 punktai, reikėtų kartu keisti ir galiojančios ŽĮ 9 str. 8 d. nuostatas (žr. formuluotę „Tais atveja</w:t>
      </w:r>
      <w:r>
        <w:rPr>
          <w:rFonts w:eastAsia="Times New Roman"/>
          <w:color w:val="000000"/>
          <w:spacing w:val="2"/>
          <w:lang w:eastAsia="lt-LT"/>
        </w:rPr>
        <w:t>is, kai yra keli asmenys, nenurodyti šio straipsnio 7 dalies</w:t>
      </w:r>
      <w:r>
        <w:rPr>
          <w:rFonts w:eastAsia="Times New Roman"/>
          <w:i/>
          <w:iCs/>
          <w:color w:val="000000"/>
          <w:spacing w:val="2"/>
          <w:lang w:eastAsia="lt-LT"/>
        </w:rPr>
        <w:t xml:space="preserve"> 1 ir 2 punktuose </w:t>
      </w:r>
      <w:r>
        <w:rPr>
          <w:rFonts w:eastAsia="Times New Roman"/>
          <w:color w:val="000000"/>
          <w:spacing w:val="2"/>
          <w:lang w:eastAsia="lt-LT"/>
        </w:rPr>
        <w:t>&lt;...&gt;“).</w:t>
      </w:r>
    </w:p>
    <w:p w14:paraId="2C824A8A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Atsižvelgiant į Įstatymo projekte dėstomo naujo ŽĮ 9 str. </w:t>
      </w:r>
      <w:r>
        <w:rPr>
          <w:rFonts w:eastAsia="Times New Roman"/>
          <w:color w:val="000000"/>
          <w:spacing w:val="2"/>
          <w:lang w:val="en-US" w:eastAsia="lt-LT"/>
        </w:rPr>
        <w:t>7</w:t>
      </w:r>
      <w:r>
        <w:rPr>
          <w:rFonts w:eastAsia="Times New Roman"/>
          <w:color w:val="000000"/>
          <w:spacing w:val="2"/>
          <w:lang w:eastAsia="lt-LT"/>
        </w:rPr>
        <w:t xml:space="preserve"> d. 1 p. nuostatas, siekiant atskirų šio straipsnio dalies punktų tarpusavio suderinamumo, būtų tikslinga keis</w:t>
      </w:r>
      <w:r>
        <w:rPr>
          <w:rFonts w:eastAsia="Times New Roman"/>
          <w:color w:val="000000"/>
          <w:spacing w:val="2"/>
          <w:lang w:eastAsia="lt-LT"/>
        </w:rPr>
        <w:t>ti ir esamą ŽĮ 9 str. 7 d. 1 p. (po pernumeravimo – 2 p.), vietoj formuluotės „fiziniai asmenys, įregistravę ūkininko ūkį Ūkininko ūkio įstatymo nustatyta tvarka &lt;...</w:t>
      </w:r>
      <w:proofErr w:type="gramStart"/>
      <w:r>
        <w:rPr>
          <w:rFonts w:eastAsia="Times New Roman"/>
          <w:color w:val="000000"/>
          <w:spacing w:val="2"/>
          <w:lang w:eastAsia="lt-LT"/>
        </w:rPr>
        <w:t>&gt;“</w:t>
      </w:r>
      <w:proofErr w:type="gramEnd"/>
      <w:r>
        <w:rPr>
          <w:rFonts w:eastAsia="Times New Roman"/>
          <w:color w:val="000000"/>
          <w:spacing w:val="2"/>
          <w:lang w:eastAsia="lt-LT"/>
        </w:rPr>
        <w:t>, įrašant formuluotę „kiti, nei nurodyta šio straipsnio 1 punkte fiziniai asmenys, įregi</w:t>
      </w:r>
      <w:r>
        <w:rPr>
          <w:rFonts w:eastAsia="Times New Roman"/>
          <w:color w:val="000000"/>
          <w:spacing w:val="2"/>
          <w:lang w:eastAsia="lt-LT"/>
        </w:rPr>
        <w:t>stravę ūkininko ūkį Ūkininko ūkio įstatymo nustatyta tvarka &lt;...&gt;“.</w:t>
      </w:r>
    </w:p>
    <w:p w14:paraId="2C824A8B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Atsižvelgiant į Įstatymo projekte dėstomus ŽĮ 9 str. 7 d. pakeitimus, Įstatymo projektas papildytinas pereinamojo pobūdžio nuostatomis dėl naujų Įstatymo projekto nuostatų (dėl dar vienos </w:t>
      </w:r>
      <w:r>
        <w:rPr>
          <w:rFonts w:eastAsia="Times New Roman"/>
          <w:color w:val="000000"/>
          <w:spacing w:val="2"/>
          <w:lang w:eastAsia="lt-LT"/>
        </w:rPr>
        <w:t xml:space="preserve">kategorijos asmenų, turinčių minėtą pirmumo teisę, išskyrimo) taikymo/netaikymo jau pradėtoms, bet neužbaigtoms iki Įstatymo projekto įsigaliojimo, prašymų išnuomoti žemę procedūroms, asmenų teisėms ir pareigoms.  </w:t>
      </w:r>
    </w:p>
    <w:p w14:paraId="2C824A8C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>Įstatymo projekto  2 str. 2 d. vietoj „la</w:t>
      </w:r>
      <w:r>
        <w:rPr>
          <w:rFonts w:eastAsia="Times New Roman"/>
          <w:color w:val="000000"/>
          <w:spacing w:val="2"/>
          <w:lang w:eastAsia="lt-LT"/>
        </w:rPr>
        <w:t>ikyti“ įrašytina „laikyti</w:t>
      </w:r>
      <w:r>
        <w:rPr>
          <w:rFonts w:eastAsia="Times New Roman"/>
          <w:i/>
          <w:iCs/>
          <w:color w:val="000000"/>
          <w:spacing w:val="2"/>
          <w:lang w:eastAsia="lt-LT"/>
        </w:rPr>
        <w:t xml:space="preserve"> atitinkamai</w:t>
      </w:r>
      <w:r>
        <w:rPr>
          <w:rFonts w:eastAsia="Times New Roman"/>
          <w:color w:val="000000"/>
          <w:spacing w:val="2"/>
          <w:lang w:eastAsia="lt-LT"/>
        </w:rPr>
        <w:t>“.</w:t>
      </w:r>
    </w:p>
    <w:p w14:paraId="2C824A8D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 xml:space="preserve">Įstatymo projekto 4 str. 1 d. po žodžių „Šis įstatymas“ įrašytini žodžiai „išskyrus šio straipsnio 2 dalį“, kad Įstatymo projekto 4 str. 2 d. nuostatos dėl pavedimo teisėkūroje įsigaliotų anksčiau.  </w:t>
      </w:r>
    </w:p>
    <w:p w14:paraId="2C824A8E" w14:textId="77777777" w:rsidR="00193C20" w:rsidRDefault="00920D0C">
      <w:pPr>
        <w:numPr>
          <w:ilvl w:val="0"/>
          <w:numId w:val="1"/>
        </w:numPr>
        <w:tabs>
          <w:tab w:val="left" w:pos="739"/>
          <w:tab w:val="left" w:pos="1019"/>
          <w:tab w:val="left" w:pos="1459"/>
        </w:tabs>
        <w:spacing w:line="276" w:lineRule="auto"/>
        <w:ind w:left="0" w:firstLine="737"/>
        <w:jc w:val="both"/>
      </w:pPr>
      <w:r>
        <w:rPr>
          <w:rFonts w:eastAsia="Times New Roman"/>
          <w:color w:val="000000"/>
          <w:spacing w:val="2"/>
          <w:lang w:eastAsia="lt-LT"/>
        </w:rPr>
        <w:t>Įstatymo projekt</w:t>
      </w:r>
      <w:r>
        <w:rPr>
          <w:rFonts w:eastAsia="Times New Roman"/>
          <w:color w:val="000000"/>
          <w:spacing w:val="2"/>
          <w:lang w:eastAsia="lt-LT"/>
        </w:rPr>
        <w:t>o aiškinamasis raštas pildytinas, atsižvelgiant į Lietuvos Respublikos Seimo statuto 135 str. 8 p. nuostatas, pagal kurias aiškinamajame rašte privalu aptarti ir tai, ar įstatymo projektas neprieštarauja strateginio lygmens planavimo dokumentams.</w:t>
      </w:r>
    </w:p>
    <w:p w14:paraId="2C824A8F" w14:textId="77777777" w:rsidR="00193C20" w:rsidRDefault="00193C20">
      <w:pPr>
        <w:tabs>
          <w:tab w:val="left" w:pos="720"/>
          <w:tab w:val="left" w:pos="1260"/>
        </w:tabs>
        <w:spacing w:line="276" w:lineRule="auto"/>
        <w:ind w:firstLine="720"/>
        <w:jc w:val="both"/>
        <w:rPr>
          <w:rFonts w:ascii="Times New (W1)" w:hAnsi="Times New (W1)" w:hint="eastAsia"/>
          <w:lang w:eastAsia="lt-LT"/>
        </w:rPr>
      </w:pPr>
    </w:p>
    <w:p w14:paraId="2C824A90" w14:textId="77777777" w:rsidR="00193C20" w:rsidRDefault="00193C20">
      <w:pPr>
        <w:tabs>
          <w:tab w:val="left" w:pos="720"/>
          <w:tab w:val="left" w:pos="1260"/>
        </w:tabs>
        <w:spacing w:line="276" w:lineRule="auto"/>
        <w:ind w:firstLine="720"/>
        <w:jc w:val="both"/>
        <w:rPr>
          <w:rFonts w:ascii="Times New (W1)" w:hAnsi="Times New (W1)" w:hint="eastAsia"/>
          <w:lang w:eastAsia="lt-LT"/>
        </w:rPr>
      </w:pPr>
    </w:p>
    <w:p w14:paraId="2C824A91" w14:textId="77777777" w:rsidR="00193C20" w:rsidRDefault="00193C20">
      <w:pPr>
        <w:tabs>
          <w:tab w:val="left" w:pos="720"/>
          <w:tab w:val="left" w:pos="1260"/>
        </w:tabs>
        <w:spacing w:line="276" w:lineRule="auto"/>
        <w:ind w:firstLine="720"/>
        <w:jc w:val="both"/>
        <w:rPr>
          <w:rFonts w:ascii="Times New (W1)" w:hAnsi="Times New (W1)" w:hint="eastAsia"/>
          <w:lang w:eastAsia="lt-LT"/>
        </w:rPr>
      </w:pPr>
    </w:p>
    <w:p w14:paraId="2C824A92" w14:textId="77777777" w:rsidR="00193C20" w:rsidRDefault="00920D0C">
      <w:pPr>
        <w:tabs>
          <w:tab w:val="right" w:pos="9638"/>
        </w:tabs>
        <w:jc w:val="both"/>
        <w:textAlignment w:val="top"/>
      </w:pPr>
      <w:r>
        <w:rPr>
          <w:rFonts w:ascii="Times New Roman;serif;serif" w:hAnsi="Times New Roman;serif;serif"/>
          <w:color w:val="000000"/>
          <w:szCs w:val="20"/>
        </w:rPr>
        <w:t>Teisin</w:t>
      </w:r>
      <w:r>
        <w:rPr>
          <w:rFonts w:ascii="Times New Roman;serif;serif" w:hAnsi="Times New Roman;serif;serif"/>
          <w:color w:val="000000"/>
          <w:szCs w:val="20"/>
        </w:rPr>
        <w:t xml:space="preserve">gumo ministrė                                                                                         Evelina </w:t>
      </w:r>
      <w:proofErr w:type="spellStart"/>
      <w:r>
        <w:rPr>
          <w:rFonts w:ascii="Times New Roman;serif;serif" w:hAnsi="Times New Roman;serif;serif"/>
          <w:color w:val="000000"/>
          <w:szCs w:val="20"/>
        </w:rPr>
        <w:t>Dobrovolska</w:t>
      </w:r>
      <w:proofErr w:type="spellEnd"/>
    </w:p>
    <w:p w14:paraId="2C824A93" w14:textId="77777777" w:rsidR="00193C20" w:rsidRDefault="00920D0C">
      <w:pPr>
        <w:tabs>
          <w:tab w:val="right" w:pos="9638"/>
        </w:tabs>
        <w:jc w:val="both"/>
        <w:textAlignment w:val="top"/>
      </w:pPr>
      <w:r>
        <w:t xml:space="preserve">                   </w:t>
      </w:r>
    </w:p>
    <w:p w14:paraId="2C824A94" w14:textId="77777777" w:rsidR="00193C20" w:rsidRDefault="00920D0C">
      <w:pPr>
        <w:tabs>
          <w:tab w:val="right" w:pos="9638"/>
        </w:tabs>
        <w:jc w:val="both"/>
        <w:textAlignment w:val="top"/>
      </w:pPr>
      <w:r>
        <w:t xml:space="preserve">           </w:t>
      </w:r>
      <w:r>
        <w:rPr>
          <w:sz w:val="20"/>
          <w:szCs w:val="20"/>
        </w:rPr>
        <w:t xml:space="preserve"> </w:t>
      </w:r>
    </w:p>
    <w:p w14:paraId="2C824A95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6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7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8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9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A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B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C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D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E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9F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A0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A1" w14:textId="77777777" w:rsidR="00193C20" w:rsidRDefault="00193C20">
      <w:pPr>
        <w:tabs>
          <w:tab w:val="right" w:pos="9638"/>
        </w:tabs>
        <w:jc w:val="both"/>
        <w:textAlignment w:val="top"/>
        <w:rPr>
          <w:sz w:val="20"/>
          <w:szCs w:val="20"/>
        </w:rPr>
      </w:pPr>
    </w:p>
    <w:p w14:paraId="2C824AA2" w14:textId="77777777" w:rsidR="00193C20" w:rsidRDefault="00193C20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0" w:name="_GoBack1"/>
      <w:bookmarkEnd w:id="0"/>
    </w:p>
    <w:p w14:paraId="2C824AA3" w14:textId="77777777" w:rsidR="00193C20" w:rsidRDefault="00920D0C">
      <w:pPr>
        <w:tabs>
          <w:tab w:val="left" w:pos="709"/>
          <w:tab w:val="left" w:pos="993"/>
          <w:tab w:val="left" w:pos="1134"/>
        </w:tabs>
        <w:textAlignment w:val="top"/>
      </w:pPr>
      <w:r>
        <w:rPr>
          <w:sz w:val="20"/>
          <w:szCs w:val="20"/>
        </w:rPr>
        <w:t xml:space="preserve">Andrius Miliūnas, (8 5) 266 29 06, el. p. </w:t>
      </w:r>
      <w:hyperlink r:id="rId8" w:history="1">
        <w:r>
          <w:rPr>
            <w:sz w:val="20"/>
            <w:szCs w:val="20"/>
          </w:rPr>
          <w:t>andrius.miliunas@tm.lt</w:t>
        </w:r>
      </w:hyperlink>
    </w:p>
    <w:p w14:paraId="2C824AA4" w14:textId="77777777" w:rsidR="00193C20" w:rsidRDefault="00193C20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193C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4A80" w14:textId="77777777" w:rsidR="00000000" w:rsidRDefault="00920D0C">
      <w:r>
        <w:separator/>
      </w:r>
    </w:p>
  </w:endnote>
  <w:endnote w:type="continuationSeparator" w:id="0">
    <w:p w14:paraId="2C824A82" w14:textId="77777777" w:rsidR="00000000" w:rsidRDefault="009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Times New Roman;serif;serif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4A87" w14:textId="77777777" w:rsidR="00806817" w:rsidRDefault="00920D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4A92" w14:textId="77777777" w:rsidR="00806817" w:rsidRDefault="00920D0C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14:paraId="2C824A93" w14:textId="77777777" w:rsidR="00806817" w:rsidRDefault="00920D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4A7C" w14:textId="77777777" w:rsidR="00000000" w:rsidRDefault="00920D0C">
      <w:r>
        <w:rPr>
          <w:color w:val="000000"/>
        </w:rPr>
        <w:separator/>
      </w:r>
    </w:p>
  </w:footnote>
  <w:footnote w:type="continuationSeparator" w:id="0">
    <w:p w14:paraId="2C824A7E" w14:textId="77777777" w:rsidR="00000000" w:rsidRDefault="0092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4A84" w14:textId="77777777" w:rsidR="00806817" w:rsidRDefault="00920D0C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C824A85" w14:textId="77777777" w:rsidR="00806817" w:rsidRDefault="00920D0C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4A89" w14:textId="77777777" w:rsidR="00806817" w:rsidRDefault="00920D0C">
    <w:pPr>
      <w:tabs>
        <w:tab w:val="right" w:pos="8306"/>
      </w:tabs>
      <w:jc w:val="center"/>
    </w:pPr>
    <w:r>
      <w:rPr>
        <w:noProof/>
        <w:lang w:val="en-US" w:eastAsia="en-US"/>
      </w:rPr>
      <w:drawing>
        <wp:inline distT="0" distB="0" distL="0" distR="0" wp14:anchorId="2C824A7C" wp14:editId="2C824A7D">
          <wp:extent cx="563883" cy="556256"/>
          <wp:effectExtent l="0" t="0" r="7617" b="0"/>
          <wp:docPr id="1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883" cy="5562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C824A8A" w14:textId="77777777" w:rsidR="00806817" w:rsidRDefault="00920D0C">
    <w:pPr>
      <w:tabs>
        <w:tab w:val="right" w:pos="8306"/>
      </w:tabs>
      <w:jc w:val="center"/>
      <w:rPr>
        <w:sz w:val="16"/>
        <w:lang w:eastAsia="en-US"/>
      </w:rPr>
    </w:pPr>
  </w:p>
  <w:p w14:paraId="2C824A8B" w14:textId="77777777" w:rsidR="00806817" w:rsidRDefault="00920D0C">
    <w:pPr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2C824A8C" w14:textId="77777777" w:rsidR="00806817" w:rsidRDefault="00920D0C">
    <w:pPr>
      <w:jc w:val="center"/>
      <w:rPr>
        <w:b/>
        <w:bCs/>
        <w:sz w:val="26"/>
        <w:lang w:eastAsia="en-US"/>
      </w:rPr>
    </w:pPr>
  </w:p>
  <w:p w14:paraId="2C824A8D" w14:textId="77777777" w:rsidR="00806817" w:rsidRDefault="00920D0C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2C824A8E" w14:textId="77777777" w:rsidR="00806817" w:rsidRDefault="00920D0C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2C824A8F" w14:textId="77777777" w:rsidR="00806817" w:rsidRDefault="00920D0C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Duomenys kaupiami ir saugomi Juridinių asmenų registre, kodas </w:t>
    </w:r>
    <w:r>
      <w:rPr>
        <w:sz w:val="20"/>
        <w:lang w:eastAsia="en-US"/>
      </w:rPr>
      <w:t>188604955</w:t>
    </w:r>
  </w:p>
  <w:p w14:paraId="2C824A90" w14:textId="77777777" w:rsidR="00806817" w:rsidRDefault="00920D0C">
    <w:pPr>
      <w:tabs>
        <w:tab w:val="right" w:pos="8306"/>
      </w:tabs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3163"/>
    <w:multiLevelType w:val="multilevel"/>
    <w:tmpl w:val="B1D262EA"/>
    <w:lvl w:ilvl="0">
      <w:start w:val="1"/>
      <w:numFmt w:val="decimal"/>
      <w:lvlText w:val="%1."/>
      <w:lvlJc w:val="left"/>
      <w:pPr>
        <w:ind w:left="1459" w:hanging="360"/>
      </w:pPr>
    </w:lvl>
    <w:lvl w:ilvl="1">
      <w:start w:val="1"/>
      <w:numFmt w:val="decimal"/>
      <w:lvlText w:val="%2."/>
      <w:lvlJc w:val="left"/>
      <w:pPr>
        <w:ind w:left="1819" w:hanging="360"/>
      </w:pPr>
    </w:lvl>
    <w:lvl w:ilvl="2">
      <w:start w:val="1"/>
      <w:numFmt w:val="decimal"/>
      <w:lvlText w:val="%3."/>
      <w:lvlJc w:val="left"/>
      <w:pPr>
        <w:ind w:left="2179" w:hanging="36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decimal"/>
      <w:lvlText w:val="%5."/>
      <w:lvlJc w:val="left"/>
      <w:pPr>
        <w:ind w:left="2899" w:hanging="360"/>
      </w:pPr>
    </w:lvl>
    <w:lvl w:ilvl="5">
      <w:start w:val="1"/>
      <w:numFmt w:val="decimal"/>
      <w:lvlText w:val="%6."/>
      <w:lvlJc w:val="left"/>
      <w:pPr>
        <w:ind w:left="3259" w:hanging="360"/>
      </w:pPr>
    </w:lvl>
    <w:lvl w:ilvl="6">
      <w:start w:val="1"/>
      <w:numFmt w:val="decimal"/>
      <w:lvlText w:val="%7."/>
      <w:lvlJc w:val="left"/>
      <w:pPr>
        <w:ind w:left="3619" w:hanging="360"/>
      </w:pPr>
    </w:lvl>
    <w:lvl w:ilvl="7">
      <w:start w:val="1"/>
      <w:numFmt w:val="decimal"/>
      <w:lvlText w:val="%8."/>
      <w:lvlJc w:val="left"/>
      <w:pPr>
        <w:ind w:left="3979" w:hanging="360"/>
      </w:pPr>
    </w:lvl>
    <w:lvl w:ilvl="8">
      <w:start w:val="1"/>
      <w:numFmt w:val="decimal"/>
      <w:lvlText w:val="%9."/>
      <w:lvlJc w:val="left"/>
      <w:pPr>
        <w:ind w:left="433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3C20"/>
    <w:rsid w:val="00193C20"/>
    <w:rsid w:val="0092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4A7C"/>
  <w15:docId w15:val="{2BF08D53-7EE0-41D9-B9E5-E695972F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ommentReference">
    <w:name w:val="Comment Reference"/>
    <w:basedOn w:val="Numatytasispastraiposriftas"/>
    <w:rPr>
      <w:sz w:val="16"/>
      <w:szCs w:val="16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character" w:styleId="Hipersaitas">
    <w:name w:val="Hyperlink"/>
    <w:basedOn w:val="Numatytasispastraiposriftas1"/>
    <w:rPr>
      <w:color w:val="0000FF"/>
      <w:u w:val="single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Grietas">
    <w:name w:val="Strong"/>
    <w:rPr>
      <w:b/>
      <w:bCs/>
    </w:rPr>
  </w:style>
  <w:style w:type="character" w:customStyle="1" w:styleId="Numeravimosimboliai">
    <w:name w:val="Numeravimo simboliai"/>
  </w:style>
  <w:style w:type="character" w:customStyle="1" w:styleId="PoratDiagrama">
    <w:name w:val="Poraštė Diagrama"/>
    <w:basedOn w:val="Numatytasispastraiposriftas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rPr>
      <w:sz w:val="24"/>
      <w:szCs w:val="24"/>
      <w:lang w:eastAsia="ar-SA"/>
    </w:rPr>
  </w:style>
  <w:style w:type="character" w:customStyle="1" w:styleId="clear">
    <w:name w:val="clear"/>
    <w:basedOn w:val="Numatytasispastraiposriftas"/>
  </w:style>
  <w:style w:type="character" w:customStyle="1" w:styleId="bold">
    <w:name w:val="bold"/>
    <w:basedOn w:val="Numatytasispastraiposriftas"/>
  </w:style>
  <w:style w:type="character" w:customStyle="1" w:styleId="clear1">
    <w:name w:val="clear1"/>
    <w:basedOn w:val="Numatytasispastraiposriftas"/>
  </w:style>
  <w:style w:type="character" w:customStyle="1" w:styleId="bold1">
    <w:name w:val="bold1"/>
    <w:basedOn w:val="Numatytasispastraiposriftas"/>
    <w:rPr>
      <w:b/>
      <w:bCs/>
    </w:rPr>
  </w:style>
  <w:style w:type="character" w:customStyle="1" w:styleId="dnr">
    <w:name w:val="dnr"/>
    <w:basedOn w:val="Numatytasispastraiposriftas"/>
  </w:style>
  <w:style w:type="character" w:customStyle="1" w:styleId="PaprastasistekstasDiagrama">
    <w:name w:val="Paprastasis tekstas Diagrama"/>
    <w:basedOn w:val="Numatytasispastraiposriftas"/>
    <w:rPr>
      <w:rFonts w:ascii="Calibri" w:eastAsia="Calibri" w:hAnsi="Calibri" w:cs="Calibri"/>
      <w:sz w:val="22"/>
      <w:szCs w:val="21"/>
      <w:lang w:eastAsia="en-US"/>
    </w:rPr>
  </w:style>
  <w:style w:type="character" w:customStyle="1" w:styleId="dpav">
    <w:name w:val="dpav"/>
    <w:basedOn w:val="Numatytasispastraiposriftas"/>
    <w:rPr>
      <w:sz w:val="26"/>
      <w:szCs w:val="26"/>
    </w:rPr>
  </w:style>
  <w:style w:type="character" w:customStyle="1" w:styleId="Bodytext2">
    <w:name w:val="Body text (2)_"/>
    <w:basedOn w:val="Numatytasispastraiposriftas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rPr>
      <w:shd w:val="clear" w:color="auto" w:fill="FBCCA2"/>
    </w:rPr>
  </w:style>
  <w:style w:type="character" w:customStyle="1" w:styleId="namewithinfo2">
    <w:name w:val="namewithinfo2"/>
    <w:basedOn w:val="Numatytasispastraiposriftas"/>
  </w:style>
  <w:style w:type="character" w:customStyle="1" w:styleId="KomentarotekstasDiagrama">
    <w:name w:val="Komentaro tekstas Diagrama"/>
    <w:basedOn w:val="Numatytasispastraiposriftas"/>
    <w:rPr>
      <w:lang w:eastAsia="ar-SA"/>
    </w:rPr>
  </w:style>
  <w:style w:type="character" w:customStyle="1" w:styleId="KomentarotemaDiagrama">
    <w:name w:val="Komentaro tema Diagrama"/>
    <w:basedOn w:val="KomentarotekstasDiagrama"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rPr>
      <w:sz w:val="24"/>
      <w:szCs w:val="24"/>
      <w:lang w:eastAsia="ar-SA"/>
    </w:rPr>
  </w:style>
  <w:style w:type="character" w:customStyle="1" w:styleId="ddat">
    <w:name w:val="ddat"/>
    <w:basedOn w:val="Numatytasispastraiposriftas"/>
  </w:style>
  <w:style w:type="character" w:customStyle="1" w:styleId="PuslapioinaostekstasDiagrama">
    <w:name w:val="Puslapio išnašos tekstas Diagrama"/>
    <w:basedOn w:val="Numatytasispastraiposriftas"/>
    <w:rPr>
      <w:lang w:eastAsia="ar-SA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Tekstas"/>
    <w:rPr>
      <w:rFonts w:cs="Tahoma"/>
    </w:rPr>
  </w:style>
  <w:style w:type="paragraph" w:styleId="Antrat">
    <w:name w:val="caption"/>
    <w:basedOn w:val="prastasis"/>
    <w:next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prastasis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HeaderandFooter">
    <w:name w:val="Header and Footer"/>
    <w:basedOn w:val="prastasis"/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rPr>
      <w:sz w:val="20"/>
      <w:szCs w:val="20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rPr>
      <w:rFonts w:ascii="Calibri" w:eastAsia="Calibri" w:hAnsi="Calibri" w:cs="Calibr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uiPriority w:val="11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uiPriority w:val="10"/>
    <w:qFormat/>
  </w:style>
  <w:style w:type="paragraph" w:customStyle="1" w:styleId="Bodytext20">
    <w:name w:val="Body text (2)"/>
    <w:basedOn w:val="prastasis"/>
    <w:pPr>
      <w:shd w:val="clear" w:color="auto" w:fill="FFFFFF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pPr>
      <w:ind w:left="720"/>
    </w:p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10"/>
    <w:rPr>
      <w:b/>
      <w:bCs/>
      <w:sz w:val="26"/>
    </w:rPr>
  </w:style>
  <w:style w:type="paragraph" w:customStyle="1" w:styleId="Tekstasnumeruotas">
    <w:name w:val="Tekstas:numeruotas"/>
    <w:basedOn w:val="Tekstas"/>
    <w:pPr>
      <w:ind w:right="0"/>
    </w:pPr>
  </w:style>
  <w:style w:type="paragraph" w:customStyle="1" w:styleId="RATOPAVADINIMAS">
    <w:name w:val="RAŠTO PAVADINIMAS"/>
    <w:basedOn w:val="Pavadinimas1"/>
    <w:rPr>
      <w:b/>
      <w:bCs/>
    </w:rPr>
  </w:style>
  <w:style w:type="paragraph" w:customStyle="1" w:styleId="tip">
    <w:name w:val="tip"/>
    <w:basedOn w:val="prastasis"/>
    <w:rPr>
      <w:lang w:eastAsia="lt-LT"/>
    </w:rPr>
  </w:style>
  <w:style w:type="paragraph" w:customStyle="1" w:styleId="tajtipfb">
    <w:name w:val="tajtipfb"/>
    <w:basedOn w:val="prastasis"/>
    <w:rPr>
      <w:lang w:eastAsia="lt-LT"/>
    </w:rPr>
  </w:style>
  <w:style w:type="paragraph" w:customStyle="1" w:styleId="tajtip">
    <w:name w:val="tajtip"/>
    <w:basedOn w:val="prastasis"/>
    <w:rPr>
      <w:lang w:eastAsia="lt-LT"/>
    </w:rPr>
  </w:style>
  <w:style w:type="paragraph" w:customStyle="1" w:styleId="tartip">
    <w:name w:val="tartip"/>
    <w:basedOn w:val="prastasis"/>
    <w:rPr>
      <w:lang w:eastAsia="lt-LT"/>
    </w:rPr>
  </w:style>
  <w:style w:type="paragraph" w:customStyle="1" w:styleId="tartin">
    <w:name w:val="tartin"/>
    <w:basedOn w:val="prastasis"/>
    <w:rPr>
      <w:lang w:eastAsia="lt-LT"/>
    </w:rPr>
  </w:style>
  <w:style w:type="paragraph" w:customStyle="1" w:styleId="tactin">
    <w:name w:val="tactin"/>
    <w:basedOn w:val="prastasis"/>
    <w:rPr>
      <w:lang w:eastAsia="lt-LT"/>
    </w:rPr>
  </w:style>
  <w:style w:type="paragraph" w:customStyle="1" w:styleId="taltipfb">
    <w:name w:val="taltipfb"/>
    <w:basedOn w:val="prastasis"/>
    <w:rPr>
      <w:lang w:eastAsia="lt-LT"/>
    </w:rPr>
  </w:style>
  <w:style w:type="paragraph" w:customStyle="1" w:styleId="tajtin">
    <w:name w:val="tajtin"/>
    <w:basedOn w:val="prastasis"/>
    <w:pPr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rPr>
      <w:rFonts w:ascii="Calibri" w:eastAsia="Calibri" w:hAnsi="Calibri"/>
      <w:sz w:val="22"/>
      <w:szCs w:val="22"/>
      <w:lang w:eastAsia="en-US"/>
    </w:rPr>
  </w:style>
  <w:style w:type="paragraph" w:customStyle="1" w:styleId="norm4">
    <w:name w:val="norm4"/>
    <w:basedOn w:val="prastasis"/>
    <w:pPr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pPr>
      <w:suppressAutoHyphens/>
    </w:pPr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pPr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pPr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pPr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  <w:outlineLvl w:val="1"/>
    </w:pPr>
    <w:rPr>
      <w:b/>
      <w:kern w:val="3"/>
      <w:sz w:val="48"/>
    </w:rPr>
  </w:style>
  <w:style w:type="paragraph" w:customStyle="1" w:styleId="H2">
    <w:name w:val="H2"/>
    <w:basedOn w:val="prastasis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pPr>
      <w:suppressAutoHyphens/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pPr>
      <w:suppressAutoHyphens/>
      <w:spacing w:line="266" w:lineRule="auto"/>
    </w:pPr>
    <w:rPr>
      <w:sz w:val="22"/>
    </w:rPr>
  </w:style>
  <w:style w:type="paragraph" w:customStyle="1" w:styleId="LentelPaprasta11">
    <w:name w:val="Lentelė — Paprasta 11"/>
    <w:basedOn w:val="prastojilentel1"/>
  </w:style>
  <w:style w:type="paragraph" w:customStyle="1" w:styleId="prastojilentel2">
    <w:name w:val="Įprastoji lentelė2"/>
    <w:pPr>
      <w:suppressAutoHyphens/>
      <w:spacing w:line="249" w:lineRule="auto"/>
    </w:pPr>
    <w:rPr>
      <w:sz w:val="22"/>
    </w:rPr>
  </w:style>
  <w:style w:type="paragraph" w:customStyle="1" w:styleId="LentelPaprasta12">
    <w:name w:val="Lentelė — Paprasta 12"/>
    <w:basedOn w:val="prastojilentel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miliunas@t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P/8aa26bc0915511eb998483d0ae31615c?jfwid=1dhe1yri6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6026</Words>
  <Characters>3435</Characters>
  <Application>Microsoft Office Word</Application>
  <DocSecurity>0</DocSecurity>
  <Lines>28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Eurika Norkienė</cp:lastModifiedBy>
  <cp:revision>2</cp:revision>
  <cp:lastPrinted>2019-08-27T12:58:00Z</cp:lastPrinted>
  <dcterms:created xsi:type="dcterms:W3CDTF">2021-05-25T10:48:00Z</dcterms:created>
  <dcterms:modified xsi:type="dcterms:W3CDTF">2021-05-25T10:48:00Z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umentEncoding">
    <vt:lpwstr>utf-8</vt:lpwstr>
  </property>
  <property fmtid="{D5CDD505-2E9C-101B-9397-08002B2CF9AE}" pid="4" name="HTML">
    <vt:bool>true</vt:bool>
  </property>
  <property fmtid="{D5CDD505-2E9C-101B-9397-08002B2CF9AE}" pid="5" name="HyperlinksChanged">
    <vt:bool>false</vt:bool>
  </property>
  <property fmtid="{D5CDD505-2E9C-101B-9397-08002B2CF9AE}" pid="6" name="KSOProductBuildVer">
    <vt:lpwstr>2057-11.2.0.8684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