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82" w:rsidRDefault="007E2882" w:rsidP="007E2882">
      <w:pPr>
        <w:ind w:firstLine="0"/>
        <w:jc w:val="center"/>
        <w:rPr>
          <w:b/>
        </w:rPr>
      </w:pPr>
      <w:r w:rsidRPr="00ED368D">
        <w:rPr>
          <w:b/>
        </w:rPr>
        <w:t>LIETUVOS RESPUBLIKOS 202</w:t>
      </w:r>
      <w:r>
        <w:rPr>
          <w:b/>
        </w:rPr>
        <w:t>1</w:t>
      </w:r>
      <w:r w:rsidRPr="00ED368D">
        <w:rPr>
          <w:b/>
        </w:rPr>
        <w:t xml:space="preserve"> METŲ VALSTYBĖS BIUDŽETO IR SAVIVALDYBIŲ BIUDŽETŲ FINANSINIŲ RODIKLIŲ PATVIRTINIMO ĮSTATYMO NR. XI</w:t>
      </w:r>
      <w:r>
        <w:rPr>
          <w:b/>
        </w:rPr>
        <w:t>V</w:t>
      </w:r>
      <w:r w:rsidRPr="00ED368D">
        <w:rPr>
          <w:b/>
        </w:rPr>
        <w:t>-</w:t>
      </w:r>
      <w:r>
        <w:rPr>
          <w:b/>
        </w:rPr>
        <w:t>102</w:t>
      </w:r>
      <w:r w:rsidRPr="00ED368D">
        <w:rPr>
          <w:b/>
        </w:rPr>
        <w:t xml:space="preserve"> </w:t>
      </w:r>
      <w:r>
        <w:rPr>
          <w:b/>
        </w:rPr>
        <w:t>PREAMBULĖS, 1, 2, 3, 9, 10, 11, 14</w:t>
      </w:r>
      <w:r w:rsidR="006F1E11">
        <w:rPr>
          <w:b/>
        </w:rPr>
        <w:t>,</w:t>
      </w:r>
      <w:r>
        <w:rPr>
          <w:b/>
        </w:rPr>
        <w:t xml:space="preserve"> 20 STRAIPSNIŲ IR 1, 2, 3, 6, 7</w:t>
      </w:r>
      <w:r w:rsidR="006F1E11">
        <w:rPr>
          <w:b/>
        </w:rPr>
        <w:t xml:space="preserve">, </w:t>
      </w:r>
      <w:r>
        <w:rPr>
          <w:b/>
        </w:rPr>
        <w:t xml:space="preserve">8 PRIEDŲ </w:t>
      </w:r>
      <w:r w:rsidRPr="00ED368D">
        <w:rPr>
          <w:b/>
        </w:rPr>
        <w:t xml:space="preserve">PAKEITIMO ĮSTATYMO </w:t>
      </w:r>
      <w:r>
        <w:rPr>
          <w:b/>
        </w:rPr>
        <w:t xml:space="preserve">IR </w:t>
      </w:r>
      <w:r w:rsidRPr="001C4964">
        <w:rPr>
          <w:b/>
          <w:bCs/>
          <w:caps/>
          <w:color w:val="000000"/>
        </w:rPr>
        <w:t>Lietuvos Respublikos pelno mokesčio įstatymo Nr. IX-675 30 straipsnio pakeitimo įstatymo projekt</w:t>
      </w:r>
      <w:r>
        <w:rPr>
          <w:b/>
          <w:bCs/>
          <w:caps/>
          <w:color w:val="000000"/>
        </w:rPr>
        <w:t>Ų</w:t>
      </w:r>
    </w:p>
    <w:p w:rsidR="007E2882" w:rsidRPr="00ED368D" w:rsidRDefault="007E2882" w:rsidP="007E2882">
      <w:pPr>
        <w:ind w:firstLine="0"/>
        <w:jc w:val="center"/>
        <w:rPr>
          <w:b/>
        </w:rPr>
      </w:pPr>
      <w:r w:rsidRPr="00ED368D">
        <w:rPr>
          <w:b/>
        </w:rPr>
        <w:t>AIŠKINAMASIS RAŠTAS</w:t>
      </w:r>
    </w:p>
    <w:p w:rsidR="007E2882" w:rsidRPr="00ED368D" w:rsidRDefault="007E2882" w:rsidP="007E2882"/>
    <w:p w:rsidR="007E2882" w:rsidRPr="00ED368D" w:rsidRDefault="007E2882" w:rsidP="007E2882">
      <w:pPr>
        <w:keepNext/>
        <w:keepLines/>
        <w:numPr>
          <w:ilvl w:val="0"/>
          <w:numId w:val="1"/>
        </w:numPr>
        <w:tabs>
          <w:tab w:val="clear" w:pos="964"/>
          <w:tab w:val="left" w:pos="1077"/>
        </w:tabs>
        <w:rPr>
          <w:b/>
        </w:rPr>
      </w:pPr>
      <w:r w:rsidRPr="00ED368D">
        <w:rPr>
          <w:b/>
        </w:rPr>
        <w:t>Įstatym</w:t>
      </w:r>
      <w:r>
        <w:rPr>
          <w:b/>
        </w:rPr>
        <w:t>ų</w:t>
      </w:r>
      <w:r w:rsidRPr="00ED368D">
        <w:rPr>
          <w:b/>
        </w:rPr>
        <w:t xml:space="preserve"> projekt</w:t>
      </w:r>
      <w:r>
        <w:rPr>
          <w:b/>
        </w:rPr>
        <w:t>ų</w:t>
      </w:r>
      <w:r w:rsidRPr="00ED368D">
        <w:rPr>
          <w:b/>
        </w:rPr>
        <w:t xml:space="preserve"> rengimą paskatinusios priežastys, parengt</w:t>
      </w:r>
      <w:r>
        <w:rPr>
          <w:b/>
        </w:rPr>
        <w:t>ų</w:t>
      </w:r>
      <w:r w:rsidRPr="00ED368D">
        <w:rPr>
          <w:b/>
        </w:rPr>
        <w:t xml:space="preserve"> </w:t>
      </w:r>
      <w:r>
        <w:rPr>
          <w:b/>
        </w:rPr>
        <w:t xml:space="preserve">įstatymų </w:t>
      </w:r>
      <w:r w:rsidRPr="00ED368D">
        <w:rPr>
          <w:b/>
        </w:rPr>
        <w:t>projekt</w:t>
      </w:r>
      <w:r>
        <w:rPr>
          <w:b/>
        </w:rPr>
        <w:t>ų</w:t>
      </w:r>
      <w:r w:rsidRPr="00ED368D">
        <w:rPr>
          <w:b/>
        </w:rPr>
        <w:t xml:space="preserve"> tikslai ir uždaviniai</w:t>
      </w:r>
    </w:p>
    <w:p w:rsidR="007E2882" w:rsidRDefault="007E2882" w:rsidP="007E2882">
      <w:pPr>
        <w:rPr>
          <w:color w:val="000000" w:themeColor="text1"/>
        </w:rPr>
      </w:pPr>
      <w:r w:rsidRPr="007E7B69">
        <w:t xml:space="preserve">Lietuvos Respublikos </w:t>
      </w:r>
      <w:r w:rsidRPr="007E7B69">
        <w:rPr>
          <w:bCs/>
        </w:rPr>
        <w:t>20</w:t>
      </w:r>
      <w:r>
        <w:rPr>
          <w:bCs/>
        </w:rPr>
        <w:t>21</w:t>
      </w:r>
      <w:r w:rsidRPr="007E7B69">
        <w:rPr>
          <w:bCs/>
        </w:rPr>
        <w:t xml:space="preserve"> metų valstybės biudžeto ir savivaldybių biudžetų finansinių rodiklių patvirtinimo įstatymo Nr. XI</w:t>
      </w:r>
      <w:r>
        <w:rPr>
          <w:bCs/>
        </w:rPr>
        <w:t>V</w:t>
      </w:r>
      <w:r w:rsidRPr="007E7B69">
        <w:rPr>
          <w:bCs/>
        </w:rPr>
        <w:t>-</w:t>
      </w:r>
      <w:r>
        <w:rPr>
          <w:bCs/>
        </w:rPr>
        <w:t>102</w:t>
      </w:r>
      <w:r w:rsidRPr="007E7B69">
        <w:rPr>
          <w:bCs/>
        </w:rPr>
        <w:t xml:space="preserve"> </w:t>
      </w:r>
      <w:r>
        <w:rPr>
          <w:bCs/>
        </w:rPr>
        <w:t>preambulės,</w:t>
      </w:r>
      <w:r w:rsidR="009E2B18">
        <w:rPr>
          <w:bCs/>
        </w:rPr>
        <w:t xml:space="preserve"> </w:t>
      </w:r>
      <w:r>
        <w:rPr>
          <w:bCs/>
        </w:rPr>
        <w:t>1, 2, 3, 9, 10, 11, 14, 20 straipsnių ir 1, 2, 3, 7, 8</w:t>
      </w:r>
      <w:r w:rsidR="006F1E11">
        <w:rPr>
          <w:bCs/>
        </w:rPr>
        <w:t>,</w:t>
      </w:r>
      <w:r>
        <w:rPr>
          <w:bCs/>
        </w:rPr>
        <w:t xml:space="preserve"> 11 priedų </w:t>
      </w:r>
      <w:r w:rsidRPr="007E7B69">
        <w:rPr>
          <w:bCs/>
        </w:rPr>
        <w:t>pakeitimo įstatymo projektas</w:t>
      </w:r>
      <w:r>
        <w:rPr>
          <w:bCs/>
        </w:rPr>
        <w:t xml:space="preserve"> (toliau – 2021 m. biudžeto įstatymo projektas), </w:t>
      </w:r>
      <w:r w:rsidRPr="007E7B69">
        <w:rPr>
          <w:color w:val="000000" w:themeColor="text1"/>
        </w:rPr>
        <w:t>parengt</w:t>
      </w:r>
      <w:r w:rsidR="00833518">
        <w:rPr>
          <w:color w:val="000000" w:themeColor="text1"/>
        </w:rPr>
        <w:t>as</w:t>
      </w:r>
      <w:r w:rsidRPr="007E7B69">
        <w:rPr>
          <w:color w:val="000000" w:themeColor="text1"/>
        </w:rPr>
        <w:t xml:space="preserve"> </w:t>
      </w:r>
      <w:r w:rsidRPr="00EF73F1">
        <w:t xml:space="preserve">siekiant </w:t>
      </w:r>
      <w:r>
        <w:t>patikslinti patvirtintus</w:t>
      </w:r>
      <w:r w:rsidRPr="00EF73F1">
        <w:t xml:space="preserve"> Lietuvos Respublikos </w:t>
      </w:r>
      <w:r>
        <w:t>2021</w:t>
      </w:r>
      <w:r w:rsidRPr="00EF73F1">
        <w:t xml:space="preserve"> metų valstybės biudžeto ir savivaldybių biudžetų finansinius rodiklius.</w:t>
      </w:r>
    </w:p>
    <w:p w:rsidR="00204345" w:rsidRDefault="009E2BA5" w:rsidP="00204345">
      <w:pPr>
        <w:rPr>
          <w:color w:val="000000"/>
        </w:rPr>
      </w:pPr>
      <w:r w:rsidRPr="00642B82">
        <w:t xml:space="preserve">Lietuvos Respublikos </w:t>
      </w:r>
      <w:r w:rsidRPr="00642B82">
        <w:rPr>
          <w:bCs/>
        </w:rPr>
        <w:t xml:space="preserve">2021 metų valstybės biudžeto ir savivaldybių biudžetų finansinių rodiklių patvirtinimo </w:t>
      </w:r>
      <w:r w:rsidRPr="00642B82">
        <w:rPr>
          <w:color w:val="000000"/>
        </w:rPr>
        <w:t>į</w:t>
      </w:r>
      <w:r w:rsidR="00204345" w:rsidRPr="00642B82">
        <w:rPr>
          <w:color w:val="000000"/>
        </w:rPr>
        <w:t>statym</w:t>
      </w:r>
      <w:r w:rsidRPr="00642B82">
        <w:rPr>
          <w:color w:val="000000"/>
        </w:rPr>
        <w:t>as</w:t>
      </w:r>
      <w:r w:rsidR="00204345" w:rsidRPr="00642B82">
        <w:rPr>
          <w:color w:val="000000"/>
        </w:rPr>
        <w:t xml:space="preserve"> </w:t>
      </w:r>
      <w:r w:rsidRPr="00642B82">
        <w:rPr>
          <w:color w:val="000000"/>
        </w:rPr>
        <w:t xml:space="preserve">(toliau – Įstatymas) </w:t>
      </w:r>
      <w:r w:rsidR="00204345" w:rsidRPr="00642B82">
        <w:rPr>
          <w:color w:val="000000"/>
        </w:rPr>
        <w:t>tikslinamas a</w:t>
      </w:r>
      <w:r w:rsidR="009720FD" w:rsidRPr="00642B82">
        <w:rPr>
          <w:color w:val="000000"/>
        </w:rPr>
        <w:t xml:space="preserve">tsižvelgiant į </w:t>
      </w:r>
      <w:r w:rsidR="00204345" w:rsidRPr="00642B82">
        <w:rPr>
          <w:color w:val="000000"/>
        </w:rPr>
        <w:t xml:space="preserve">tai, kad </w:t>
      </w:r>
      <w:r w:rsidR="009720FD" w:rsidRPr="00642B82">
        <w:rPr>
          <w:color w:val="000000"/>
        </w:rPr>
        <w:t>2021 m</w:t>
      </w:r>
      <w:r w:rsidR="00204345" w:rsidRPr="00642B82">
        <w:rPr>
          <w:color w:val="000000"/>
        </w:rPr>
        <w:t>etais</w:t>
      </w:r>
      <w:r w:rsidR="009720FD" w:rsidRPr="00642B82">
        <w:rPr>
          <w:color w:val="000000"/>
        </w:rPr>
        <w:t xml:space="preserve"> numatoma įgyvendinti </w:t>
      </w:r>
      <w:r w:rsidR="00204345" w:rsidRPr="00642B82">
        <w:rPr>
          <w:color w:val="000000"/>
        </w:rPr>
        <w:t xml:space="preserve">Europos ekonomikos gaivinimo ir atsparumo didinimo fondo (toliau </w:t>
      </w:r>
      <w:r w:rsidRPr="00642B82">
        <w:rPr>
          <w:color w:val="000000"/>
        </w:rPr>
        <w:t>–</w:t>
      </w:r>
      <w:r w:rsidR="00204345" w:rsidRPr="00642B82">
        <w:rPr>
          <w:color w:val="000000"/>
        </w:rPr>
        <w:t xml:space="preserve"> </w:t>
      </w:r>
      <w:r w:rsidR="00076126">
        <w:rPr>
          <w:rFonts w:ascii="Helv" w:hAnsi="Helv" w:cs="Helv"/>
          <w:color w:val="000000"/>
          <w:sz w:val="20"/>
          <w:szCs w:val="20"/>
          <w:lang w:val="en-GB"/>
        </w:rPr>
        <w:t xml:space="preserve"> </w:t>
      </w:r>
      <w:r w:rsidR="00076126" w:rsidRPr="00076126">
        <w:rPr>
          <w:color w:val="000000"/>
        </w:rPr>
        <w:t>EGADP</w:t>
      </w:r>
      <w:r w:rsidR="00204345" w:rsidRPr="00642B82">
        <w:rPr>
          <w:color w:val="000000"/>
        </w:rPr>
        <w:t>)</w:t>
      </w:r>
      <w:r w:rsidR="007A39E5" w:rsidRPr="00642B82">
        <w:rPr>
          <w:color w:val="000000"/>
        </w:rPr>
        <w:t xml:space="preserve"> priemones</w:t>
      </w:r>
      <w:r w:rsidR="009720FD" w:rsidRPr="00642B82">
        <w:rPr>
          <w:color w:val="000000"/>
        </w:rPr>
        <w:t>,</w:t>
      </w:r>
      <w:r w:rsidR="00204345" w:rsidRPr="00642B82">
        <w:rPr>
          <w:color w:val="000000"/>
        </w:rPr>
        <w:t xml:space="preserve"> taip pat įvertinus COVID-19 padariniams mažinti vykdomoms priemonėms reikalingas papildomas lėšas, naujai išryškėjusiems ar ilgiau</w:t>
      </w:r>
      <w:r w:rsidRPr="00642B82">
        <w:rPr>
          <w:color w:val="000000"/>
        </w:rPr>
        <w:t>,</w:t>
      </w:r>
      <w:r w:rsidR="00204345" w:rsidRPr="00642B82">
        <w:rPr>
          <w:color w:val="000000"/>
        </w:rPr>
        <w:t xml:space="preserve"> nei planuota</w:t>
      </w:r>
      <w:r w:rsidRPr="00642B82">
        <w:rPr>
          <w:color w:val="000000"/>
        </w:rPr>
        <w:t>,</w:t>
      </w:r>
      <w:r w:rsidR="00204345" w:rsidRPr="00642B82">
        <w:rPr>
          <w:color w:val="000000"/>
        </w:rPr>
        <w:t xml:space="preserve"> trunkantiems poreikiams finansuoti.</w:t>
      </w:r>
      <w:r w:rsidR="00204345" w:rsidRPr="00014CA7">
        <w:rPr>
          <w:color w:val="000000"/>
        </w:rPr>
        <w:t xml:space="preserve"> </w:t>
      </w:r>
    </w:p>
    <w:p w:rsidR="00204345" w:rsidRDefault="00833518" w:rsidP="00F76EE8">
      <w:r>
        <w:rPr>
          <w:bCs/>
          <w:color w:val="000000"/>
        </w:rPr>
        <w:t xml:space="preserve">Lietuvos </w:t>
      </w:r>
      <w:r w:rsidRPr="0083279E">
        <w:rPr>
          <w:bCs/>
          <w:color w:val="000000"/>
        </w:rPr>
        <w:t>Respublikos pelno mokesčio įstatymo Nr.</w:t>
      </w:r>
      <w:r>
        <w:rPr>
          <w:bCs/>
          <w:color w:val="000000"/>
        </w:rPr>
        <w:t> </w:t>
      </w:r>
      <w:r w:rsidRPr="0083279E">
        <w:rPr>
          <w:bCs/>
          <w:color w:val="000000"/>
        </w:rPr>
        <w:t>IX-675 30 straipsnio pakeitimo įstatymo projektas</w:t>
      </w:r>
      <w:r>
        <w:rPr>
          <w:bCs/>
          <w:color w:val="000000"/>
        </w:rPr>
        <w:t xml:space="preserve"> (toliau – Pelno mokesčio įstatymo projektas)</w:t>
      </w:r>
      <w:r w:rsidR="001E6053">
        <w:rPr>
          <w:bCs/>
          <w:color w:val="000000"/>
        </w:rPr>
        <w:t xml:space="preserve"> </w:t>
      </w:r>
      <w:r w:rsidR="00216AB3">
        <w:rPr>
          <w:bCs/>
          <w:color w:val="000000"/>
        </w:rPr>
        <w:t>parengtas</w:t>
      </w:r>
      <w:r w:rsidR="00642B82">
        <w:rPr>
          <w:color w:val="000000"/>
        </w:rPr>
        <w:t xml:space="preserve">, be kita ko, remiantis kitų </w:t>
      </w:r>
      <w:r w:rsidR="00642B82" w:rsidRPr="00281F40">
        <w:t xml:space="preserve">Europos Sąjungos (toliau – </w:t>
      </w:r>
      <w:r w:rsidR="00642B82">
        <w:rPr>
          <w:color w:val="000000"/>
        </w:rPr>
        <w:t xml:space="preserve">ES) valstybių narių patirtimi, siekiant sušvelninti dėl COVID-19 pandemijos atsiradusias neigiamas ekonomines pasekmes – dėl įvairių veiklos apribojimų ir visuminės paklausos sumažėjimo įmonių patiriamus nuostolius ir apyvartinių lėšų trūkumą. </w:t>
      </w:r>
      <w:r w:rsidR="00642B82">
        <w:rPr>
          <w:bCs/>
          <w:color w:val="000000"/>
        </w:rPr>
        <w:t>Pelno mokesčio</w:t>
      </w:r>
      <w:r w:rsidR="00642B82">
        <w:rPr>
          <w:color w:val="000000"/>
        </w:rPr>
        <w:t xml:space="preserve"> įstatymo projekto tikslas – sudaryti galimybes įmonėms, kurios 2019 metais veikė pelningai, o 2020 metais patyrė nuostolių, pasirinkti šiuos nuostolius (jų dalį) atskaityti iš 2019 metų pelno, t. y. sumažinti 2019 metų mokestinio laikotarpio pelno mokesčio sumą, kas leistų joms palengvinti savo finansinę padėtį</w:t>
      </w:r>
      <w:r w:rsidR="007E2882">
        <w:rPr>
          <w:color w:val="000000"/>
        </w:rPr>
        <w:t>.</w:t>
      </w:r>
    </w:p>
    <w:p w:rsidR="007E7B69" w:rsidRPr="00ED368D" w:rsidRDefault="007E7B69" w:rsidP="00272A00">
      <w:pPr>
        <w:keepNext/>
        <w:keepLines/>
        <w:numPr>
          <w:ilvl w:val="0"/>
          <w:numId w:val="1"/>
        </w:numPr>
        <w:tabs>
          <w:tab w:val="clear" w:pos="964"/>
          <w:tab w:val="left" w:pos="1077"/>
        </w:tabs>
        <w:rPr>
          <w:b/>
        </w:rPr>
      </w:pPr>
      <w:r w:rsidRPr="00CA0200">
        <w:rPr>
          <w:b/>
        </w:rPr>
        <w:t>Įstatym</w:t>
      </w:r>
      <w:r w:rsidR="007E2882">
        <w:rPr>
          <w:b/>
        </w:rPr>
        <w:t>ų</w:t>
      </w:r>
      <w:r w:rsidRPr="00CA0200">
        <w:rPr>
          <w:b/>
        </w:rPr>
        <w:t xml:space="preserve"> projekt</w:t>
      </w:r>
      <w:r w:rsidR="007E2882">
        <w:rPr>
          <w:b/>
        </w:rPr>
        <w:t>ų</w:t>
      </w:r>
      <w:r w:rsidRPr="00CA0200">
        <w:rPr>
          <w:b/>
        </w:rPr>
        <w:t xml:space="preserve"> iniciatoriai (institucija, asmenys ar piliečių įgalioti atstovai) ir rengėjai</w:t>
      </w:r>
    </w:p>
    <w:p w:rsidR="00272A00" w:rsidRPr="00272A00" w:rsidRDefault="003B5CCE" w:rsidP="003B5CCE">
      <w:pPr>
        <w:pStyle w:val="Sraopastraipa"/>
        <w:ind w:left="0"/>
        <w:rPr>
          <w:color w:val="000000" w:themeColor="text1"/>
        </w:rPr>
      </w:pPr>
      <w:r>
        <w:rPr>
          <w:bCs/>
        </w:rPr>
        <w:t xml:space="preserve">2021 m. biudžeto įstatymo projekto </w:t>
      </w:r>
      <w:r w:rsidRPr="003B5CCE">
        <w:rPr>
          <w:bCs/>
        </w:rPr>
        <w:t>ir</w:t>
      </w:r>
      <w:r w:rsidRPr="003B5CCE">
        <w:rPr>
          <w:bCs/>
          <w:color w:val="000000"/>
        </w:rPr>
        <w:t xml:space="preserve"> Pelno mokesčio įstatymo projekto</w:t>
      </w:r>
      <w:r>
        <w:rPr>
          <w:bCs/>
          <w:color w:val="000000"/>
        </w:rPr>
        <w:t xml:space="preserve"> </w:t>
      </w:r>
      <w:r w:rsidRPr="007E7B69">
        <w:rPr>
          <w:bCs/>
        </w:rPr>
        <w:t>(toliau</w:t>
      </w:r>
      <w:r>
        <w:rPr>
          <w:bCs/>
        </w:rPr>
        <w:t xml:space="preserve"> kartu</w:t>
      </w:r>
      <w:r w:rsidRPr="007E7B69">
        <w:rPr>
          <w:bCs/>
        </w:rPr>
        <w:t xml:space="preserve"> – </w:t>
      </w:r>
      <w:r>
        <w:rPr>
          <w:bCs/>
        </w:rPr>
        <w:t>Į</w:t>
      </w:r>
      <w:r w:rsidRPr="007E7B69">
        <w:rPr>
          <w:color w:val="000000" w:themeColor="text1"/>
        </w:rPr>
        <w:t>statym</w:t>
      </w:r>
      <w:r>
        <w:rPr>
          <w:color w:val="000000" w:themeColor="text1"/>
        </w:rPr>
        <w:t>ų</w:t>
      </w:r>
      <w:r w:rsidRPr="007E7B69">
        <w:rPr>
          <w:color w:val="000000" w:themeColor="text1"/>
        </w:rPr>
        <w:t xml:space="preserve"> projekta</w:t>
      </w:r>
      <w:r>
        <w:rPr>
          <w:color w:val="000000" w:themeColor="text1"/>
        </w:rPr>
        <w:t>i</w:t>
      </w:r>
      <w:r w:rsidRPr="007E7B69">
        <w:rPr>
          <w:color w:val="000000" w:themeColor="text1"/>
        </w:rPr>
        <w:t xml:space="preserve">) </w:t>
      </w:r>
      <w:r w:rsidRPr="00272A00">
        <w:rPr>
          <w:color w:val="000000" w:themeColor="text1"/>
        </w:rPr>
        <w:t xml:space="preserve"> </w:t>
      </w:r>
      <w:r w:rsidR="00272A00" w:rsidRPr="00272A00">
        <w:rPr>
          <w:color w:val="000000" w:themeColor="text1"/>
        </w:rPr>
        <w:t xml:space="preserve">iniciatorė – </w:t>
      </w:r>
      <w:r w:rsidR="009E2BA5">
        <w:rPr>
          <w:color w:val="000000" w:themeColor="text1"/>
        </w:rPr>
        <w:t>Lietuvos Respublikos f</w:t>
      </w:r>
      <w:r w:rsidR="007F54B2">
        <w:rPr>
          <w:color w:val="000000" w:themeColor="text1"/>
        </w:rPr>
        <w:t>inansų</w:t>
      </w:r>
      <w:r w:rsidR="00272A00" w:rsidRPr="00272A00">
        <w:rPr>
          <w:color w:val="000000" w:themeColor="text1"/>
        </w:rPr>
        <w:t xml:space="preserve"> ministerija.</w:t>
      </w:r>
    </w:p>
    <w:p w:rsidR="00860248" w:rsidRDefault="00272A00" w:rsidP="00860248">
      <w:r w:rsidRPr="00EF73F1">
        <w:t>Įstatym</w:t>
      </w:r>
      <w:r w:rsidR="007E2882">
        <w:t>ų</w:t>
      </w:r>
      <w:r w:rsidRPr="00EF73F1">
        <w:t xml:space="preserve"> </w:t>
      </w:r>
      <w:r>
        <w:t>p</w:t>
      </w:r>
      <w:r w:rsidRPr="00EF73F1">
        <w:t>rojekt</w:t>
      </w:r>
      <w:r w:rsidR="007E2882">
        <w:t>us</w:t>
      </w:r>
      <w:r w:rsidRPr="00EF73F1">
        <w:t xml:space="preserve"> </w:t>
      </w:r>
      <w:r>
        <w:t>pa</w:t>
      </w:r>
      <w:r w:rsidRPr="00EF73F1">
        <w:t xml:space="preserve">rengė Finansų ministerijos Biudžeto departamento (direktorė </w:t>
      </w:r>
      <w:r>
        <w:t>Daiva Kamarauskienė, tel. 239 </w:t>
      </w:r>
      <w:r w:rsidRPr="00EF73F1">
        <w:t xml:space="preserve">0130, el. p. </w:t>
      </w:r>
      <w:hyperlink r:id="rId8" w:history="1">
        <w:r w:rsidRPr="00860248">
          <w:rPr>
            <w:rStyle w:val="Hipersaitas"/>
            <w:u w:val="none"/>
          </w:rPr>
          <w:t>daiva.kamarauskiene@finmin.lt</w:t>
        </w:r>
      </w:hyperlink>
      <w:r w:rsidRPr="00860248">
        <w:t>)</w:t>
      </w:r>
      <w:r w:rsidR="007F54B2">
        <w:t xml:space="preserve"> </w:t>
      </w:r>
      <w:r>
        <w:t>Valstybės ir savivaldybių biudžetų sudarymo</w:t>
      </w:r>
      <w:r w:rsidRPr="00EF73F1">
        <w:t xml:space="preserve"> skyriaus </w:t>
      </w:r>
      <w:r>
        <w:t xml:space="preserve">vedėja Audronė </w:t>
      </w:r>
      <w:proofErr w:type="spellStart"/>
      <w:r>
        <w:t>Čekanavičienė</w:t>
      </w:r>
      <w:proofErr w:type="spellEnd"/>
      <w:r>
        <w:t xml:space="preserve"> </w:t>
      </w:r>
      <w:r w:rsidR="009227DF">
        <w:t>(</w:t>
      </w:r>
      <w:r>
        <w:t xml:space="preserve">tel. 239 0255, el. p. </w:t>
      </w:r>
      <w:hyperlink r:id="rId9" w:history="1">
        <w:r w:rsidRPr="00860248">
          <w:rPr>
            <w:rStyle w:val="Hipersaitas"/>
            <w:u w:val="none"/>
          </w:rPr>
          <w:t>audrone.cekanaviciene@finmin.lt</w:t>
        </w:r>
      </w:hyperlink>
      <w:r w:rsidR="009227DF">
        <w:rPr>
          <w:rStyle w:val="Hipersaitas"/>
          <w:u w:val="none"/>
        </w:rPr>
        <w:t>)</w:t>
      </w:r>
      <w:r>
        <w:t xml:space="preserve"> </w:t>
      </w:r>
      <w:r w:rsidR="009227DF">
        <w:t xml:space="preserve">ir </w:t>
      </w:r>
      <w:r w:rsidR="00860248">
        <w:t xml:space="preserve">vyriausioji specialistė Ona </w:t>
      </w:r>
      <w:proofErr w:type="spellStart"/>
      <w:r w:rsidR="00860248">
        <w:t>Mickėnienė</w:t>
      </w:r>
      <w:proofErr w:type="spellEnd"/>
      <w:r w:rsidR="00860248">
        <w:t xml:space="preserve"> (tel. 239  0024, el. p. </w:t>
      </w:r>
      <w:hyperlink r:id="rId10" w:history="1">
        <w:r w:rsidR="007F54B2" w:rsidRPr="00D64B68">
          <w:rPr>
            <w:rStyle w:val="Hipersaitas"/>
            <w:u w:val="none"/>
          </w:rPr>
          <w:t>ona.mickeniene@finmin.lt</w:t>
        </w:r>
      </w:hyperlink>
      <w:r w:rsidR="007E2882">
        <w:t xml:space="preserve">), </w:t>
      </w:r>
      <w:r w:rsidR="007E2882" w:rsidRPr="00110B33">
        <w:t>Mokesčių politikos departamen</w:t>
      </w:r>
      <w:r w:rsidR="007E2882">
        <w:t xml:space="preserve">to (direktorė Jūratė </w:t>
      </w:r>
      <w:proofErr w:type="spellStart"/>
      <w:r w:rsidR="007E2882">
        <w:t>Laurikėnaitė</w:t>
      </w:r>
      <w:proofErr w:type="spellEnd"/>
      <w:r w:rsidR="007E2882" w:rsidRPr="00110B33">
        <w:t>, tel. 239 0</w:t>
      </w:r>
      <w:r w:rsidR="007E2882">
        <w:t>151</w:t>
      </w:r>
      <w:r w:rsidR="007E2882" w:rsidRPr="00110B33">
        <w:t xml:space="preserve">) </w:t>
      </w:r>
      <w:r w:rsidR="007E2882">
        <w:t>Tiesioginių mokesčių ir tarptautinio apmokestinimo skyriaus</w:t>
      </w:r>
      <w:r w:rsidR="007E2882" w:rsidRPr="00110B33">
        <w:t xml:space="preserve"> (</w:t>
      </w:r>
      <w:r w:rsidR="007E2882">
        <w:rPr>
          <w:rFonts w:eastAsia="Calibri"/>
          <w:color w:val="000000"/>
          <w:lang w:eastAsia="lt-LT"/>
        </w:rPr>
        <w:t>vedėjas Evaldas Putrimas</w:t>
      </w:r>
      <w:r w:rsidR="007E2882" w:rsidRPr="00110B33">
        <w:t>, tel. 2</w:t>
      </w:r>
      <w:r w:rsidR="007E2882">
        <w:t>1</w:t>
      </w:r>
      <w:r w:rsidR="007E2882" w:rsidRPr="00110B33">
        <w:t xml:space="preserve">9 </w:t>
      </w:r>
      <w:r w:rsidR="007E2882">
        <w:t>4476</w:t>
      </w:r>
      <w:r w:rsidR="007E2882" w:rsidRPr="00110B33">
        <w:t xml:space="preserve">) </w:t>
      </w:r>
      <w:r w:rsidR="007E2882">
        <w:t>patarėja</w:t>
      </w:r>
      <w:r w:rsidR="007E2882" w:rsidRPr="00110B33">
        <w:t xml:space="preserve"> </w:t>
      </w:r>
      <w:r w:rsidR="007E2882">
        <w:t xml:space="preserve">Živilė </w:t>
      </w:r>
      <w:proofErr w:type="spellStart"/>
      <w:r w:rsidR="007E2882">
        <w:t>Kvedytė</w:t>
      </w:r>
      <w:proofErr w:type="spellEnd"/>
      <w:r w:rsidR="007E2882">
        <w:t xml:space="preserve"> (tel. </w:t>
      </w:r>
      <w:proofErr w:type="gramStart"/>
      <w:r w:rsidR="007E2882">
        <w:rPr>
          <w:lang w:val="en-US"/>
        </w:rPr>
        <w:t>219 9301)</w:t>
      </w:r>
      <w:r w:rsidR="009E2B18">
        <w:rPr>
          <w:lang w:val="en-US"/>
        </w:rPr>
        <w:t>.</w:t>
      </w:r>
      <w:proofErr w:type="gramEnd"/>
    </w:p>
    <w:p w:rsidR="007F54B2" w:rsidRDefault="007F54B2" w:rsidP="00860248"/>
    <w:p w:rsidR="00272A00" w:rsidRPr="00EF73F1" w:rsidRDefault="00272A00" w:rsidP="00272A00">
      <w:pPr>
        <w:pStyle w:val="Sraopastraipa"/>
        <w:keepNext/>
        <w:keepLines/>
        <w:numPr>
          <w:ilvl w:val="0"/>
          <w:numId w:val="1"/>
        </w:numPr>
        <w:tabs>
          <w:tab w:val="clear" w:pos="964"/>
          <w:tab w:val="left" w:pos="1077"/>
        </w:tabs>
        <w:rPr>
          <w:b/>
        </w:rPr>
      </w:pPr>
      <w:r w:rsidRPr="00EF73F1">
        <w:rPr>
          <w:b/>
        </w:rPr>
        <w:t xml:space="preserve">Kaip šiuo metu yra reguliuojami </w:t>
      </w:r>
      <w:r w:rsidR="009E2BA5">
        <w:rPr>
          <w:b/>
        </w:rPr>
        <w:t>Į</w:t>
      </w:r>
      <w:r w:rsidR="007E2882">
        <w:rPr>
          <w:b/>
        </w:rPr>
        <w:t>statymų</w:t>
      </w:r>
      <w:r w:rsidRPr="00EF73F1">
        <w:rPr>
          <w:b/>
        </w:rPr>
        <w:t xml:space="preserve"> projekt</w:t>
      </w:r>
      <w:r w:rsidR="007E2882">
        <w:rPr>
          <w:b/>
        </w:rPr>
        <w:t>uos</w:t>
      </w:r>
      <w:r w:rsidRPr="00EF73F1">
        <w:rPr>
          <w:b/>
        </w:rPr>
        <w:t>e aptarti teisiniai santykiai</w:t>
      </w:r>
    </w:p>
    <w:p w:rsidR="00272A00" w:rsidRPr="00EF73F1" w:rsidRDefault="00A5159F" w:rsidP="00272A00">
      <w:r>
        <w:t>Valstybės biudžeto ir savivaldybių biudžetų finansini</w:t>
      </w:r>
      <w:r w:rsidR="001C46F5">
        <w:t>ai</w:t>
      </w:r>
      <w:r>
        <w:t xml:space="preserve"> rodikli</w:t>
      </w:r>
      <w:r w:rsidR="001C46F5">
        <w:t>ai</w:t>
      </w:r>
      <w:r>
        <w:t xml:space="preserve"> </w:t>
      </w:r>
      <w:r w:rsidR="001C46F5">
        <w:t xml:space="preserve">nustatomi </w:t>
      </w:r>
      <w:r>
        <w:t>kasmet priimant ir, esant būtinybei, tikslinant Lietuvos Respublikos valstybės biudžeto ir savivaldybių biudžetų finansinių rodiklių patvirtinimo įstatymą.</w:t>
      </w:r>
    </w:p>
    <w:p w:rsidR="00272A00" w:rsidRDefault="007E2882" w:rsidP="007E7B69">
      <w:r w:rsidRPr="00131BD4">
        <w:t xml:space="preserve">Šiuo metu </w:t>
      </w:r>
      <w:r w:rsidR="00422FF9">
        <w:t>Lietuvos Respublikos p</w:t>
      </w:r>
      <w:r w:rsidRPr="00131BD4">
        <w:t xml:space="preserve">elno mokesčio įstatyme nustatyta, kad </w:t>
      </w:r>
      <w:r>
        <w:t>mokestinio laikotarpio nuostoliai gali būti perkeliami tik į vėlesnius po šio mokestinio laikotarpio einančius mokestinius metus. Nuostoliai į kitus mokestinius laikotarpius perkeliami neribotą metų skaičių</w:t>
      </w:r>
      <w:r w:rsidRPr="00384EEE">
        <w:t xml:space="preserve"> </w:t>
      </w:r>
      <w:r>
        <w:t xml:space="preserve">(išskyrus nuostolius, patirtus dėl </w:t>
      </w:r>
      <w:r w:rsidRPr="00587984">
        <w:rPr>
          <w:color w:val="000000"/>
        </w:rPr>
        <w:t>vertybinių popierių ir (arba) išvestinių finansinių priemonių perleidimo</w:t>
      </w:r>
      <w:r>
        <w:rPr>
          <w:color w:val="000000"/>
        </w:rPr>
        <w:t xml:space="preserve"> (ne finansų įstaigų), kurie gali būti perkeliami ne ilgiau kaip penkerius metus)</w:t>
      </w:r>
      <w:r>
        <w:t xml:space="preserve">. Tačiau nuostoliai negali būti perkeliami į ankstesnius metus, t. y. pelningai veikusi įmonė, vėliau patirianti </w:t>
      </w:r>
      <w:r>
        <w:lastRenderedPageBreak/>
        <w:t>nuo jos nepriklausančių finansinių sunkumų, neturi galimybės sumažinti už praeitus mokestinius laikotarpius mokėtino pelno mokesčio.</w:t>
      </w:r>
    </w:p>
    <w:p w:rsidR="007E2882" w:rsidRDefault="007E2882" w:rsidP="007E7B69"/>
    <w:p w:rsidR="00A5159F" w:rsidRDefault="00A5159F" w:rsidP="00A5159F">
      <w:pPr>
        <w:pStyle w:val="Hyperlink1"/>
        <w:keepNext/>
        <w:keepLines/>
        <w:numPr>
          <w:ilvl w:val="0"/>
          <w:numId w:val="1"/>
        </w:numPr>
        <w:tabs>
          <w:tab w:val="clear" w:pos="964"/>
          <w:tab w:val="left" w:pos="1077"/>
        </w:tabs>
        <w:spacing w:before="0" w:beforeAutospacing="0" w:after="0" w:afterAutospacing="0"/>
        <w:rPr>
          <w:b/>
        </w:rPr>
      </w:pPr>
      <w:r w:rsidRPr="00EF73F1">
        <w:rPr>
          <w:b/>
        </w:rPr>
        <w:t>Įstatym</w:t>
      </w:r>
      <w:r w:rsidR="007E2882">
        <w:rPr>
          <w:b/>
        </w:rPr>
        <w:t>ų</w:t>
      </w:r>
      <w:r w:rsidRPr="00EF73F1">
        <w:rPr>
          <w:b/>
        </w:rPr>
        <w:t xml:space="preserve"> projekt</w:t>
      </w:r>
      <w:r w:rsidR="007E2882">
        <w:rPr>
          <w:b/>
        </w:rPr>
        <w:t>uos</w:t>
      </w:r>
      <w:r w:rsidRPr="00EF73F1">
        <w:rPr>
          <w:b/>
        </w:rPr>
        <w:t>e siūlomos naujos teisinio reguliavimo nuostatos ir kokių teigiamų rezultatų laukiama</w:t>
      </w:r>
    </w:p>
    <w:p w:rsidR="00246A20" w:rsidRDefault="00FB2FD4" w:rsidP="00246A20">
      <w:pPr>
        <w:pStyle w:val="Sraopastraipa"/>
        <w:ind w:left="0"/>
        <w:rPr>
          <w:color w:val="000000" w:themeColor="text1"/>
        </w:rPr>
      </w:pPr>
      <w:r>
        <w:rPr>
          <w:bCs/>
        </w:rPr>
        <w:t>2021 m. biudžeto įstatymo projektu</w:t>
      </w:r>
      <w:r w:rsidRPr="00246A20">
        <w:rPr>
          <w:bCs/>
          <w:color w:val="000000" w:themeColor="text1"/>
        </w:rPr>
        <w:t xml:space="preserve"> </w:t>
      </w:r>
      <w:r w:rsidR="00246A20" w:rsidRPr="00246A20">
        <w:rPr>
          <w:bCs/>
          <w:color w:val="000000" w:themeColor="text1"/>
        </w:rPr>
        <w:t>siekiama</w:t>
      </w:r>
      <w:r w:rsidR="00246A20" w:rsidRPr="00246A20">
        <w:rPr>
          <w:color w:val="000000" w:themeColor="text1"/>
        </w:rPr>
        <w:t xml:space="preserve"> patikslinti </w:t>
      </w:r>
      <w:r w:rsidR="009E2BA5">
        <w:rPr>
          <w:color w:val="000000" w:themeColor="text1"/>
        </w:rPr>
        <w:t>Į</w:t>
      </w:r>
      <w:r w:rsidR="00246A20" w:rsidRPr="00246A20">
        <w:rPr>
          <w:color w:val="000000" w:themeColor="text1"/>
        </w:rPr>
        <w:t>statymą.</w:t>
      </w:r>
    </w:p>
    <w:p w:rsidR="00C125C7" w:rsidRPr="00246A20" w:rsidRDefault="00C125C7" w:rsidP="00246A20">
      <w:pPr>
        <w:pStyle w:val="Sraopastraipa"/>
        <w:ind w:left="0"/>
        <w:rPr>
          <w:color w:val="000000" w:themeColor="text1"/>
        </w:rPr>
      </w:pPr>
      <w:r w:rsidRPr="00F230B1">
        <w:rPr>
          <w:rFonts w:eastAsia="Calibri"/>
          <w:lang w:eastAsia="lt-LT"/>
        </w:rPr>
        <w:t>Atsižvelg</w:t>
      </w:r>
      <w:r>
        <w:rPr>
          <w:rFonts w:eastAsia="Calibri"/>
          <w:lang w:eastAsia="lt-LT"/>
        </w:rPr>
        <w:t>us</w:t>
      </w:r>
      <w:r w:rsidRPr="00F230B1">
        <w:rPr>
          <w:rFonts w:eastAsia="Calibri"/>
          <w:lang w:eastAsia="lt-LT"/>
        </w:rPr>
        <w:t xml:space="preserve"> į tai, kad dėl didelio neapibrėžtumo ir </w:t>
      </w:r>
      <w:proofErr w:type="spellStart"/>
      <w:r w:rsidRPr="00F230B1">
        <w:rPr>
          <w:rFonts w:eastAsia="Calibri"/>
          <w:lang w:eastAsia="lt-LT"/>
        </w:rPr>
        <w:t>rizikų</w:t>
      </w:r>
      <w:proofErr w:type="spellEnd"/>
      <w:r w:rsidRPr="00F230B1">
        <w:rPr>
          <w:rFonts w:eastAsia="Calibri"/>
          <w:lang w:eastAsia="lt-LT"/>
        </w:rPr>
        <w:t>, susijusių su COVID-19 pandemijos raida ir jos poveikiu valdžios sektoriaus finansams, išskirtinės aplinkybės 2021 metais neatšaukiamos, atitinkamomis nuostatomis</w:t>
      </w:r>
      <w:r w:rsidRPr="00F230B1">
        <w:rPr>
          <w:color w:val="000000" w:themeColor="text1"/>
        </w:rPr>
        <w:t xml:space="preserve"> patikslinta preambulė</w:t>
      </w:r>
      <w:r>
        <w:rPr>
          <w:color w:val="000000" w:themeColor="text1"/>
        </w:rPr>
        <w:t>.</w:t>
      </w:r>
    </w:p>
    <w:p w:rsidR="00281F40" w:rsidRPr="00331DA0" w:rsidRDefault="00FB2FD4" w:rsidP="00281F40">
      <w:r>
        <w:rPr>
          <w:bCs/>
        </w:rPr>
        <w:t xml:space="preserve">2021 m. biudžeto įstatymo </w:t>
      </w:r>
      <w:r w:rsidR="00281F40" w:rsidRPr="00281F40">
        <w:t>projektu tikslinamos 2021 metų valstybės biudžeto pajamos kartu su</w:t>
      </w:r>
      <w:r w:rsidR="002E4F2B">
        <w:t xml:space="preserve"> ES</w:t>
      </w:r>
      <w:r w:rsidR="00281F40" w:rsidRPr="00281F40">
        <w:t xml:space="preserve"> ir kitomis tarptautinės finansinės paramos lėšomis sudaro 11 824,4 </w:t>
      </w:r>
      <w:r w:rsidR="00281F40" w:rsidRPr="00281F40">
        <w:rPr>
          <w:bCs/>
        </w:rPr>
        <w:t>mln</w:t>
      </w:r>
      <w:r w:rsidR="00281F40" w:rsidRPr="00281F40">
        <w:t xml:space="preserve">. eurų, asignavimai išlaidoms ir turtui įsigyti – </w:t>
      </w:r>
      <w:r w:rsidR="00281F40" w:rsidRPr="00281F40">
        <w:rPr>
          <w:bCs/>
        </w:rPr>
        <w:t xml:space="preserve">16 </w:t>
      </w:r>
      <w:r w:rsidR="00E958CD">
        <w:rPr>
          <w:bCs/>
        </w:rPr>
        <w:t>573,1</w:t>
      </w:r>
      <w:r w:rsidR="00281F40" w:rsidRPr="00281F40">
        <w:rPr>
          <w:bCs/>
        </w:rPr>
        <w:t xml:space="preserve"> mln.</w:t>
      </w:r>
      <w:r w:rsidR="00281F40" w:rsidRPr="00281F40">
        <w:t xml:space="preserve"> eurų (asignavimai viršija pajamas </w:t>
      </w:r>
      <w:r w:rsidR="00E958CD">
        <w:t>4</w:t>
      </w:r>
      <w:r w:rsidR="00281F40" w:rsidRPr="00281F40">
        <w:t> </w:t>
      </w:r>
      <w:r w:rsidR="00E958CD">
        <w:t>748,7</w:t>
      </w:r>
      <w:r w:rsidR="00281F40" w:rsidRPr="00281F40">
        <w:t xml:space="preserve"> mln. eurų) (atitinkamai tikslinami Įstatymo 1 ir 2 priedai). </w:t>
      </w:r>
      <w:bookmarkStart w:id="0" w:name="_GoBack"/>
      <w:bookmarkEnd w:id="0"/>
    </w:p>
    <w:p w:rsidR="00281F40" w:rsidRDefault="00AF42BB" w:rsidP="00281F40">
      <w:pPr>
        <w:pStyle w:val="Tekstas"/>
      </w:pPr>
      <w:r>
        <w:rPr>
          <w:bCs/>
        </w:rPr>
        <w:t>2021 m. biudžeto įstatymo projekte</w:t>
      </w:r>
      <w:r>
        <w:t xml:space="preserve"> </w:t>
      </w:r>
      <w:r w:rsidR="00281F40">
        <w:t>numatoma,</w:t>
      </w:r>
      <w:r w:rsidR="00281F40" w:rsidRPr="0012084D">
        <w:t xml:space="preserve"> kad 2021 metų valstybės biudžeto pajamos kartu su ES ir kitomis tarptautinės finansinės paramos lėšomis sudarys </w:t>
      </w:r>
      <w:r w:rsidR="00281F40" w:rsidRPr="0012084D">
        <w:rPr>
          <w:bCs/>
        </w:rPr>
        <w:t>11</w:t>
      </w:r>
      <w:r w:rsidR="00281F40">
        <w:rPr>
          <w:bCs/>
        </w:rPr>
        <w:t> 824,4</w:t>
      </w:r>
      <w:r w:rsidR="00281F40" w:rsidRPr="0012084D">
        <w:t xml:space="preserve"> mln. eurų, arba </w:t>
      </w:r>
      <w:r w:rsidR="00281F40">
        <w:t>5,1</w:t>
      </w:r>
      <w:r w:rsidR="00281F40" w:rsidRPr="0012084D">
        <w:t xml:space="preserve"> proc. </w:t>
      </w:r>
      <w:r w:rsidR="00281F40">
        <w:t xml:space="preserve">(572,3 mln. eurų) </w:t>
      </w:r>
      <w:r w:rsidR="00281F40" w:rsidRPr="0012084D">
        <w:t xml:space="preserve">daugiau nei </w:t>
      </w:r>
      <w:r w:rsidR="00281F40">
        <w:t>šiuo metu patvirtintame 2021 metų valstybės biudžeto plane</w:t>
      </w:r>
      <w:r w:rsidR="00281F40" w:rsidRPr="0012084D">
        <w:t>. 2021 metais valstybės biudžeto pajamos, neįskaitant ES ir kitų tarptautinės finansinės paramos lėšų, sieks 9</w:t>
      </w:r>
      <w:r w:rsidR="00281F40">
        <w:t> 047,3</w:t>
      </w:r>
      <w:r w:rsidR="00281F40" w:rsidRPr="0012084D">
        <w:rPr>
          <w:bCs/>
        </w:rPr>
        <w:t xml:space="preserve"> </w:t>
      </w:r>
      <w:r w:rsidR="00281F40" w:rsidRPr="0012084D">
        <w:t>mln. eurų, t.</w:t>
      </w:r>
      <w:r w:rsidR="00281F40">
        <w:t xml:space="preserve"> </w:t>
      </w:r>
      <w:r w:rsidR="00281F40" w:rsidRPr="0012084D">
        <w:t xml:space="preserve">y. bus </w:t>
      </w:r>
      <w:r w:rsidR="00281F40">
        <w:t>0,7</w:t>
      </w:r>
      <w:r w:rsidR="00281F40" w:rsidRPr="0012084D">
        <w:t xml:space="preserve"> proc. </w:t>
      </w:r>
      <w:r w:rsidR="00281F40">
        <w:t xml:space="preserve">(58,7 mln. eurų) </w:t>
      </w:r>
      <w:r w:rsidR="00281F40" w:rsidRPr="0012084D">
        <w:t xml:space="preserve">didesnės nei </w:t>
      </w:r>
      <w:r w:rsidR="00281F40">
        <w:t>patvirtintame plane</w:t>
      </w:r>
      <w:r w:rsidR="00281F40" w:rsidRPr="0012084D">
        <w:t>.</w:t>
      </w:r>
    </w:p>
    <w:p w:rsidR="00281F40" w:rsidRDefault="00281F40" w:rsidP="00281F40">
      <w:pPr>
        <w:pStyle w:val="Tekstas"/>
        <w:rPr>
          <w:lang w:eastAsia="lt-LT"/>
        </w:rPr>
      </w:pPr>
      <w:r w:rsidRPr="0012084D">
        <w:rPr>
          <w:lang w:eastAsia="lt-LT"/>
        </w:rPr>
        <w:t xml:space="preserve">Prognozuojama, kad iš 4 pagrindinių mokesčių (pridėtinės vertės, gyventojų pajamų, akcizų ir pelno), kurie sudaro </w:t>
      </w:r>
      <w:r>
        <w:rPr>
          <w:lang w:eastAsia="lt-LT"/>
        </w:rPr>
        <w:t>90,7</w:t>
      </w:r>
      <w:r w:rsidRPr="0012084D">
        <w:rPr>
          <w:lang w:eastAsia="lt-LT"/>
        </w:rPr>
        <w:t xml:space="preserve"> </w:t>
      </w:r>
      <w:r w:rsidRPr="00636CCE">
        <w:rPr>
          <w:lang w:eastAsia="lt-LT"/>
        </w:rPr>
        <w:t>proc. valstybės biudžeto pajamų</w:t>
      </w:r>
      <w:r>
        <w:rPr>
          <w:lang w:eastAsia="lt-LT"/>
        </w:rPr>
        <w:t>,</w:t>
      </w:r>
      <w:r w:rsidRPr="00636CCE">
        <w:rPr>
          <w:lang w:eastAsia="lt-LT"/>
        </w:rPr>
        <w:t xml:space="preserve"> be ES ir kitų tarptautinės finansinės paramos lėšų, </w:t>
      </w:r>
      <w:r w:rsidRPr="00281F40">
        <w:rPr>
          <w:lang w:eastAsia="lt-LT"/>
        </w:rPr>
        <w:t>bus gauta 8 205,2 mln. eurų, arba 0,4 proc. daugiau</w:t>
      </w:r>
      <w:r w:rsidRPr="00636CCE">
        <w:rPr>
          <w:lang w:eastAsia="lt-LT"/>
        </w:rPr>
        <w:t xml:space="preserve"> nei </w:t>
      </w:r>
      <w:r>
        <w:rPr>
          <w:lang w:eastAsia="lt-LT"/>
        </w:rPr>
        <w:t>šiuo metu patvirtintame</w:t>
      </w:r>
      <w:r w:rsidRPr="00636CCE">
        <w:rPr>
          <w:lang w:eastAsia="lt-LT"/>
        </w:rPr>
        <w:t xml:space="preserve"> 202</w:t>
      </w:r>
      <w:r>
        <w:rPr>
          <w:lang w:eastAsia="lt-LT"/>
        </w:rPr>
        <w:t>1</w:t>
      </w:r>
      <w:r w:rsidRPr="00636CCE">
        <w:rPr>
          <w:lang w:eastAsia="lt-LT"/>
        </w:rPr>
        <w:t xml:space="preserve"> met</w:t>
      </w:r>
      <w:r>
        <w:rPr>
          <w:lang w:eastAsia="lt-LT"/>
        </w:rPr>
        <w:t>ų plane</w:t>
      </w:r>
      <w:r w:rsidRPr="00636CCE">
        <w:rPr>
          <w:lang w:eastAsia="lt-LT"/>
        </w:rPr>
        <w:t xml:space="preserve">. </w:t>
      </w:r>
      <w:r>
        <w:rPr>
          <w:lang w:eastAsia="lt-LT"/>
        </w:rPr>
        <w:t xml:space="preserve">Tikslinant pajamų iš šių mokesčių prognozę </w:t>
      </w:r>
      <w:r w:rsidRPr="0012084D">
        <w:rPr>
          <w:lang w:eastAsia="lt-LT"/>
        </w:rPr>
        <w:t>buvo</w:t>
      </w:r>
      <w:r>
        <w:rPr>
          <w:lang w:eastAsia="lt-LT"/>
        </w:rPr>
        <w:t xml:space="preserve"> įvertintas 2021 metų kovą paskelbtas Finansų ministerijos parengtas ekonominės raidos scenarijus, atnaujintos prielaidos dėl </w:t>
      </w:r>
      <w:r w:rsidRPr="0079293A">
        <w:rPr>
          <w:lang w:eastAsia="lt-LT"/>
        </w:rPr>
        <w:t>COVID</w:t>
      </w:r>
      <w:r w:rsidRPr="0079293A">
        <w:t xml:space="preserve">-19 </w:t>
      </w:r>
      <w:r>
        <w:t xml:space="preserve">pandemijos </w:t>
      </w:r>
      <w:r w:rsidRPr="0079293A">
        <w:t>sukelto ekonomikos nuosmukio</w:t>
      </w:r>
      <w:r w:rsidRPr="0079293A">
        <w:rPr>
          <w:lang w:eastAsia="lt-LT"/>
        </w:rPr>
        <w:t xml:space="preserve"> paveiktų įmonių mokesčių mokėjimo atidėjimų srautų ir įvertintas faktinis 2021 m</w:t>
      </w:r>
      <w:r>
        <w:rPr>
          <w:lang w:eastAsia="lt-LT"/>
        </w:rPr>
        <w:t>etų</w:t>
      </w:r>
      <w:r w:rsidRPr="0079293A">
        <w:rPr>
          <w:lang w:eastAsia="lt-LT"/>
        </w:rPr>
        <w:t xml:space="preserve"> pirmojo ketvirčio pajamų iš šių mokesčių surinkimas.</w:t>
      </w:r>
      <w:r>
        <w:rPr>
          <w:lang w:eastAsia="lt-LT"/>
        </w:rPr>
        <w:t xml:space="preserve"> </w:t>
      </w:r>
    </w:p>
    <w:p w:rsidR="00281F40" w:rsidRPr="00C3673C" w:rsidRDefault="00281F40" w:rsidP="00281F40">
      <w:pPr>
        <w:rPr>
          <w:color w:val="000000"/>
          <w:szCs w:val="20"/>
        </w:rPr>
      </w:pPr>
      <w:bookmarkStart w:id="1" w:name="_Hlk70588005"/>
      <w:r w:rsidRPr="00C3673C">
        <w:rPr>
          <w:color w:val="000000"/>
          <w:szCs w:val="20"/>
        </w:rPr>
        <w:t xml:space="preserve">Pajamos iš pridėtinės vertės mokesčio mažinamos </w:t>
      </w:r>
      <w:r>
        <w:rPr>
          <w:color w:val="000000"/>
          <w:szCs w:val="20"/>
        </w:rPr>
        <w:t>65,3</w:t>
      </w:r>
      <w:r w:rsidRPr="00C3673C">
        <w:rPr>
          <w:color w:val="000000"/>
          <w:szCs w:val="20"/>
        </w:rPr>
        <w:t xml:space="preserve"> mln. eurų</w:t>
      </w:r>
      <w:r>
        <w:rPr>
          <w:color w:val="000000"/>
          <w:szCs w:val="20"/>
        </w:rPr>
        <w:t>,</w:t>
      </w:r>
      <w:r w:rsidRPr="00C3673C">
        <w:rPr>
          <w:color w:val="000000"/>
          <w:szCs w:val="20"/>
        </w:rPr>
        <w:t xml:space="preserve"> </w:t>
      </w:r>
      <w:r w:rsidRPr="005A1742">
        <w:rPr>
          <w:color w:val="000000"/>
          <w:szCs w:val="20"/>
        </w:rPr>
        <w:t>įvertinus patikslintas prielaidas dėl atidėtų mokėjimų, mažesnę galutinio vartojimo išlaidų augimo 2021 m</w:t>
      </w:r>
      <w:r>
        <w:rPr>
          <w:color w:val="000000"/>
          <w:szCs w:val="20"/>
        </w:rPr>
        <w:t>etų</w:t>
      </w:r>
      <w:r w:rsidRPr="005A1742">
        <w:rPr>
          <w:color w:val="000000"/>
          <w:szCs w:val="20"/>
        </w:rPr>
        <w:t xml:space="preserve"> prognozę ir numatom</w:t>
      </w:r>
      <w:r>
        <w:rPr>
          <w:color w:val="000000"/>
          <w:szCs w:val="20"/>
        </w:rPr>
        <w:t>a</w:t>
      </w:r>
      <w:r w:rsidRPr="005A1742">
        <w:rPr>
          <w:color w:val="000000"/>
          <w:szCs w:val="20"/>
        </w:rPr>
        <w:t xml:space="preserve">s </w:t>
      </w:r>
      <w:r>
        <w:rPr>
          <w:color w:val="000000"/>
          <w:szCs w:val="20"/>
        </w:rPr>
        <w:t>priimti</w:t>
      </w:r>
      <w:r w:rsidRPr="005A1742">
        <w:rPr>
          <w:color w:val="000000"/>
          <w:szCs w:val="20"/>
        </w:rPr>
        <w:t xml:space="preserve"> laikina</w:t>
      </w:r>
      <w:r>
        <w:rPr>
          <w:color w:val="000000"/>
          <w:szCs w:val="20"/>
        </w:rPr>
        <w:t>s</w:t>
      </w:r>
      <w:r w:rsidRPr="005A1742">
        <w:rPr>
          <w:color w:val="000000"/>
          <w:szCs w:val="20"/>
        </w:rPr>
        <w:t xml:space="preserve"> </w:t>
      </w:r>
      <w:r>
        <w:rPr>
          <w:color w:val="000000"/>
          <w:szCs w:val="20"/>
        </w:rPr>
        <w:t>pridėtinės vertės mokesčio lengvatas maitinimo, sporto ir kultūros paslaugoms</w:t>
      </w:r>
      <w:r w:rsidRPr="00C3673C">
        <w:rPr>
          <w:rStyle w:val="Puslapioinaosnuoroda"/>
          <w:color w:val="000000"/>
          <w:szCs w:val="20"/>
        </w:rPr>
        <w:footnoteReference w:id="1"/>
      </w:r>
      <w:r w:rsidRPr="00C3673C">
        <w:rPr>
          <w:color w:val="000000"/>
          <w:szCs w:val="20"/>
        </w:rPr>
        <w:t>.</w:t>
      </w:r>
      <w:bookmarkEnd w:id="1"/>
      <w:r>
        <w:rPr>
          <w:color w:val="000000"/>
          <w:szCs w:val="20"/>
        </w:rPr>
        <w:t xml:space="preserve"> D</w:t>
      </w:r>
      <w:r>
        <w:t>ėl pakeitimų 2021 m</w:t>
      </w:r>
      <w:r w:rsidR="00E20754">
        <w:t>etų</w:t>
      </w:r>
      <w:r>
        <w:t xml:space="preserve"> pajamos mažės apie 36,5 mln. eurų.</w:t>
      </w:r>
    </w:p>
    <w:p w:rsidR="00281F40" w:rsidRPr="00C3673C" w:rsidRDefault="00281F40" w:rsidP="00281F40">
      <w:pPr>
        <w:rPr>
          <w:iCs/>
          <w:color w:val="000000"/>
          <w:szCs w:val="20"/>
        </w:rPr>
      </w:pPr>
      <w:bookmarkStart w:id="2" w:name="_Hlk70588962"/>
      <w:r w:rsidRPr="007C37A1">
        <w:rPr>
          <w:color w:val="000000"/>
          <w:szCs w:val="20"/>
        </w:rPr>
        <w:t xml:space="preserve">Pelno mokesčio pajamos didinamos 33,4 mln. eurų </w:t>
      </w:r>
      <w:r w:rsidRPr="00C76DC6">
        <w:rPr>
          <w:color w:val="000000"/>
          <w:szCs w:val="20"/>
        </w:rPr>
        <w:t>dėl prognozuojamų didesnių avansinio pelno mokesčio įmokų už 2021 m</w:t>
      </w:r>
      <w:r>
        <w:rPr>
          <w:color w:val="000000"/>
          <w:szCs w:val="20"/>
        </w:rPr>
        <w:t>etus</w:t>
      </w:r>
      <w:r w:rsidRPr="00C76DC6">
        <w:rPr>
          <w:iCs/>
          <w:color w:val="000000"/>
          <w:szCs w:val="20"/>
        </w:rPr>
        <w:t xml:space="preserve"> ir </w:t>
      </w:r>
      <w:r>
        <w:rPr>
          <w:iCs/>
          <w:color w:val="000000"/>
          <w:szCs w:val="20"/>
        </w:rPr>
        <w:t xml:space="preserve">dėl </w:t>
      </w:r>
      <w:r w:rsidRPr="00C76DC6">
        <w:rPr>
          <w:iCs/>
          <w:color w:val="000000"/>
          <w:szCs w:val="20"/>
        </w:rPr>
        <w:t>didesnės 2021 m</w:t>
      </w:r>
      <w:r>
        <w:rPr>
          <w:iCs/>
          <w:color w:val="000000"/>
          <w:szCs w:val="20"/>
        </w:rPr>
        <w:t>etų</w:t>
      </w:r>
      <w:r w:rsidRPr="00C76DC6">
        <w:rPr>
          <w:iCs/>
          <w:color w:val="000000"/>
          <w:szCs w:val="20"/>
        </w:rPr>
        <w:t xml:space="preserve"> </w:t>
      </w:r>
      <w:r w:rsidRPr="00DD48A7">
        <w:rPr>
          <w:iCs/>
          <w:color w:val="000000"/>
          <w:szCs w:val="20"/>
        </w:rPr>
        <w:t>bendrojo vidaus</w:t>
      </w:r>
      <w:r>
        <w:rPr>
          <w:iCs/>
          <w:color w:val="000000"/>
          <w:szCs w:val="20"/>
        </w:rPr>
        <w:t xml:space="preserve"> produkto (toliau – </w:t>
      </w:r>
      <w:r w:rsidRPr="00C76DC6">
        <w:rPr>
          <w:iCs/>
          <w:color w:val="000000"/>
          <w:szCs w:val="20"/>
        </w:rPr>
        <w:t>BVP</w:t>
      </w:r>
      <w:r>
        <w:rPr>
          <w:iCs/>
          <w:color w:val="000000"/>
          <w:szCs w:val="20"/>
        </w:rPr>
        <w:t>)</w:t>
      </w:r>
      <w:r w:rsidRPr="00C76DC6">
        <w:rPr>
          <w:iCs/>
          <w:color w:val="000000"/>
          <w:szCs w:val="20"/>
        </w:rPr>
        <w:t xml:space="preserve"> augimo prognozės. Kartu įvertinta ir Vyriausybės siūloma papildoma pagalbos nuo COVID-19 pandemijos nukentėjusiam verslui priemonė</w:t>
      </w:r>
      <w:r>
        <w:rPr>
          <w:rStyle w:val="Puslapioinaosnuoroda"/>
          <w:iCs/>
          <w:color w:val="000000"/>
          <w:szCs w:val="20"/>
        </w:rPr>
        <w:footnoteReference w:id="2"/>
      </w:r>
      <w:r w:rsidRPr="00C76DC6">
        <w:rPr>
          <w:iCs/>
          <w:color w:val="000000"/>
          <w:szCs w:val="20"/>
        </w:rPr>
        <w:t xml:space="preserve"> – </w:t>
      </w:r>
      <w:r w:rsidRPr="007C37A1">
        <w:rPr>
          <w:iCs/>
          <w:color w:val="000000"/>
          <w:szCs w:val="20"/>
        </w:rPr>
        <w:t>sudaryta galimybė įmonėms 2020 metais dėl COVID-19 pandemijos patirtus nuostolius perkelti ne tik į ateinančius mokestinius laikotarpius, bet ir atgal į 2019 metus.</w:t>
      </w:r>
      <w:r w:rsidRPr="002F0AA2">
        <w:t xml:space="preserve"> </w:t>
      </w:r>
      <w:r>
        <w:rPr>
          <w:iCs/>
          <w:color w:val="000000"/>
          <w:szCs w:val="20"/>
        </w:rPr>
        <w:t>D</w:t>
      </w:r>
      <w:r w:rsidRPr="002F0AA2">
        <w:rPr>
          <w:iCs/>
          <w:color w:val="000000"/>
          <w:szCs w:val="20"/>
        </w:rPr>
        <w:t>ėl šios priemonės, prognozuojama, pajamos iš pelno mokesčio 2021 m</w:t>
      </w:r>
      <w:r w:rsidR="00E20754">
        <w:rPr>
          <w:iCs/>
          <w:color w:val="000000"/>
          <w:szCs w:val="20"/>
        </w:rPr>
        <w:t>etais</w:t>
      </w:r>
      <w:r w:rsidRPr="002F0AA2">
        <w:rPr>
          <w:iCs/>
          <w:color w:val="000000"/>
          <w:szCs w:val="20"/>
        </w:rPr>
        <w:t xml:space="preserve"> bus apie 66 mln. eurų mažesnės.</w:t>
      </w:r>
    </w:p>
    <w:p w:rsidR="00281F40" w:rsidRPr="00C3673C" w:rsidRDefault="00281F40" w:rsidP="00281F40">
      <w:pPr>
        <w:rPr>
          <w:color w:val="000000"/>
        </w:rPr>
      </w:pPr>
      <w:bookmarkStart w:id="3" w:name="_Hlk70588913"/>
      <w:bookmarkEnd w:id="2"/>
      <w:r w:rsidRPr="00DA2F0D">
        <w:rPr>
          <w:color w:val="000000"/>
          <w:szCs w:val="20"/>
        </w:rPr>
        <w:t xml:space="preserve">Gyventojų pajamų mokesčio pajamos į valstybės ir savivaldybių biudžetus </w:t>
      </w:r>
      <w:r w:rsidRPr="00DA2F0D">
        <w:rPr>
          <w:color w:val="000000"/>
        </w:rPr>
        <w:t xml:space="preserve">didinamos 106,7 mln. eurų dėl spartesnio prognozuojamo darbo užmokesčio fondo augimo 2021 metais. Valstybės biudžeto pajamos tik iš gyventojų pajamų mokesčio </w:t>
      </w:r>
      <w:r w:rsidRPr="00281F40">
        <w:rPr>
          <w:color w:val="000000"/>
        </w:rPr>
        <w:t>didinamos 61 mln. eurų.</w:t>
      </w:r>
    </w:p>
    <w:bookmarkEnd w:id="3"/>
    <w:p w:rsidR="00281F40" w:rsidRDefault="00281F40" w:rsidP="00281F40">
      <w:pPr>
        <w:rPr>
          <w:color w:val="000000"/>
          <w:szCs w:val="20"/>
        </w:rPr>
      </w:pPr>
      <w:r>
        <w:rPr>
          <w:color w:val="000000"/>
          <w:szCs w:val="20"/>
        </w:rPr>
        <w:t>Tarptautinės prekybos ir sandorių mokesčių, dividendų ir valstybės įmonių pelno įmokos bei Lietuvos banko pelno įmokos</w:t>
      </w:r>
      <w:bookmarkStart w:id="4" w:name="_Hlk70589018"/>
      <w:r>
        <w:rPr>
          <w:color w:val="000000"/>
          <w:szCs w:val="20"/>
        </w:rPr>
        <w:t>, įvertinus priimtus atsakingų institucijų sprendimus ir prognozes,</w:t>
      </w:r>
      <w:bookmarkEnd w:id="4"/>
      <w:r>
        <w:rPr>
          <w:color w:val="000000"/>
          <w:szCs w:val="20"/>
        </w:rPr>
        <w:t xml:space="preserve"> didinamos atitinkamai 13 mln. eurų, 13,8 mln. eurų ir 2,9 mln. eurų. </w:t>
      </w:r>
    </w:p>
    <w:p w:rsidR="00281F40" w:rsidRDefault="009753F5" w:rsidP="00281F40">
      <w:pPr>
        <w:rPr>
          <w:color w:val="000000"/>
          <w:szCs w:val="20"/>
        </w:rPr>
      </w:pPr>
      <w:r>
        <w:rPr>
          <w:color w:val="000000"/>
          <w:szCs w:val="20"/>
        </w:rPr>
        <w:t xml:space="preserve">Pajamos iš </w:t>
      </w:r>
      <w:r w:rsidR="00281F40">
        <w:rPr>
          <w:color w:val="000000"/>
          <w:szCs w:val="20"/>
        </w:rPr>
        <w:t>ES ir kitos tarptautinės finansinės paramos didinamos 513,6 mln. eurų.</w:t>
      </w:r>
    </w:p>
    <w:p w:rsidR="00763BB8" w:rsidRPr="008C558A" w:rsidRDefault="00AF42BB" w:rsidP="00763BB8">
      <w:pPr>
        <w:rPr>
          <w:color w:val="000000" w:themeColor="text1"/>
          <w:lang w:val="en-GB"/>
        </w:rPr>
      </w:pPr>
      <w:r>
        <w:rPr>
          <w:bCs/>
        </w:rPr>
        <w:t>2021 m. biudžeto įstatymo projekte</w:t>
      </w:r>
      <w:r w:rsidRPr="002015B2">
        <w:t xml:space="preserve"> </w:t>
      </w:r>
      <w:r w:rsidR="00763BB8" w:rsidRPr="002015B2">
        <w:t xml:space="preserve">asignavimai tikslinami atsižvelgiant į tai, kad 2021 metais numatoma įgyvendinti </w:t>
      </w:r>
      <w:r w:rsidR="00076126" w:rsidRPr="00076126">
        <w:rPr>
          <w:color w:val="000000"/>
        </w:rPr>
        <w:t>EGADP</w:t>
      </w:r>
      <w:r w:rsidR="007A39E5" w:rsidRPr="007A39E5">
        <w:t xml:space="preserve"> </w:t>
      </w:r>
      <w:r w:rsidR="007A39E5" w:rsidRPr="002015B2">
        <w:t>priemones</w:t>
      </w:r>
      <w:r w:rsidR="00763BB8" w:rsidRPr="002015B2">
        <w:t xml:space="preserve"> joms </w:t>
      </w:r>
      <w:r w:rsidR="00417AEF">
        <w:t xml:space="preserve">įgyvendinti </w:t>
      </w:r>
      <w:r w:rsidR="00763BB8" w:rsidRPr="002015B2">
        <w:t xml:space="preserve">skiriant 149,3 mln. eurų. </w:t>
      </w:r>
      <w:r w:rsidR="00763BB8" w:rsidRPr="000070ED">
        <w:t>„</w:t>
      </w:r>
      <w:r w:rsidR="00763BB8" w:rsidRPr="002015B2">
        <w:t xml:space="preserve">Naujos kartos </w:t>
      </w:r>
      <w:r w:rsidR="00076126">
        <w:t>Lietuva</w:t>
      </w:r>
      <w:r w:rsidR="00763BB8" w:rsidRPr="000070ED">
        <w:t>“</w:t>
      </w:r>
      <w:r w:rsidR="00763BB8" w:rsidRPr="002015B2">
        <w:t xml:space="preserve"> </w:t>
      </w:r>
      <w:r w:rsidR="001E0BCD">
        <w:t xml:space="preserve">plano </w:t>
      </w:r>
      <w:r w:rsidR="00763BB8" w:rsidRPr="002015B2">
        <w:t xml:space="preserve">investicijoms didžioji dalis </w:t>
      </w:r>
      <w:r w:rsidR="007A39E5">
        <w:t xml:space="preserve">– </w:t>
      </w:r>
      <w:r w:rsidR="00763BB8" w:rsidRPr="002015B2">
        <w:t>92 mln. eurų (62 proc.)</w:t>
      </w:r>
      <w:r w:rsidR="007A39E5">
        <w:t xml:space="preserve"> –</w:t>
      </w:r>
      <w:r w:rsidR="00763BB8" w:rsidRPr="002015B2">
        <w:t xml:space="preserve"> investicijų numatyta elektros tvarios gamybos plėtrai, 11,2 mln. eurų (7 proc.) planuojama skirti būtinosioms sąlygoms </w:t>
      </w:r>
      <w:proofErr w:type="spellStart"/>
      <w:r w:rsidR="00763BB8" w:rsidRPr="002015B2">
        <w:t>inovatyviems</w:t>
      </w:r>
      <w:proofErr w:type="spellEnd"/>
      <w:r w:rsidR="00763BB8" w:rsidRPr="002015B2">
        <w:t xml:space="preserve"> technologiniams sprendimams versle ir kasdieniame gyvenime užtikrinti, mokslui ir inovacijoms, taip pat 11 mln. eurų (7 proc.) – šiuolaikiškam bendrajam ugdymui </w:t>
      </w:r>
      <w:r w:rsidR="00763BB8" w:rsidRPr="002015B2">
        <w:lastRenderedPageBreak/>
        <w:t>užtikrinti, siekiant sudaryti geresnes sąlygas bazinėms kompetencijoms įgyti. Be to, numatomos ir pirmosios 4,1 mln. eurų (3</w:t>
      </w:r>
      <w:r w:rsidR="00417AEF">
        <w:t> </w:t>
      </w:r>
      <w:r w:rsidR="00763BB8" w:rsidRPr="002015B2">
        <w:t xml:space="preserve">proc.) investicijos į šias svarbias sritis: finansiniam raštingumui didinti, orientuojantis į atsiskaitymo negrynaisiais pinigais skatinimą; išmaniajam mokesčių administravimui skatinti; sveikatos paslaugų kokybei ir prieinamumui gerinti ir inovacijoms sveikatos srityje skatinti bei darnaus </w:t>
      </w:r>
      <w:proofErr w:type="spellStart"/>
      <w:r w:rsidR="00763BB8" w:rsidRPr="002015B2">
        <w:t>judumo</w:t>
      </w:r>
      <w:proofErr w:type="spellEnd"/>
      <w:r w:rsidR="00763BB8" w:rsidRPr="002015B2">
        <w:t xml:space="preserve"> plėtrai. Siekiant spartinti į Lietuvos ekonomikos augimą orientuotas </w:t>
      </w:r>
      <w:r w:rsidR="00763BB8" w:rsidRPr="000070ED">
        <w:t>„</w:t>
      </w:r>
      <w:r w:rsidR="00763BB8" w:rsidRPr="002015B2">
        <w:t xml:space="preserve">Naujos kartos </w:t>
      </w:r>
      <w:r w:rsidR="00F068AA">
        <w:t>Lietuva</w:t>
      </w:r>
      <w:r w:rsidR="00763BB8" w:rsidRPr="002015B2">
        <w:t>“</w:t>
      </w:r>
      <w:r w:rsidR="00F068AA">
        <w:t xml:space="preserve"> plano</w:t>
      </w:r>
      <w:r w:rsidR="00763BB8" w:rsidRPr="002015B2">
        <w:t xml:space="preserve"> investicijas, </w:t>
      </w:r>
      <w:r w:rsidR="007A39E5">
        <w:t xml:space="preserve">Įstatymo </w:t>
      </w:r>
      <w:r w:rsidR="00763BB8" w:rsidRPr="002015B2">
        <w:t>projekte numatytas 31 mln. eurų (21 proc.) lėšų rezervas (</w:t>
      </w:r>
      <w:r w:rsidR="00417AEF">
        <w:t>prireikus</w:t>
      </w:r>
      <w:r w:rsidR="00417AEF" w:rsidRPr="002015B2">
        <w:t xml:space="preserve"> </w:t>
      </w:r>
      <w:r w:rsidR="00763BB8" w:rsidRPr="002015B2">
        <w:t xml:space="preserve">lėšos būtų </w:t>
      </w:r>
      <w:r w:rsidR="007A39E5" w:rsidRPr="002015B2">
        <w:t xml:space="preserve">sparčiau </w:t>
      </w:r>
      <w:r w:rsidR="00763BB8" w:rsidRPr="002015B2">
        <w:t>perskirstomos asignavimus panaudojusioms ministerijoms</w:t>
      </w:r>
      <w:r w:rsidR="00763BB8" w:rsidRPr="00763BB8">
        <w:rPr>
          <w:lang w:val="en-GB"/>
        </w:rPr>
        <w:t xml:space="preserve">). </w:t>
      </w:r>
      <w:proofErr w:type="spellStart"/>
      <w:r w:rsidR="008C558A" w:rsidRPr="008C558A">
        <w:rPr>
          <w:color w:val="000000" w:themeColor="text1"/>
          <w:lang w:val="en-GB"/>
        </w:rPr>
        <w:t>Taip</w:t>
      </w:r>
      <w:proofErr w:type="spellEnd"/>
      <w:r w:rsidR="008C558A" w:rsidRPr="008C558A">
        <w:rPr>
          <w:color w:val="000000" w:themeColor="text1"/>
          <w:lang w:val="en-GB"/>
        </w:rPr>
        <w:t xml:space="preserve"> pat</w:t>
      </w:r>
      <w:r w:rsidR="00DD1FB2" w:rsidRPr="008C558A">
        <w:rPr>
          <w:color w:val="000000" w:themeColor="text1"/>
          <w:lang w:val="en-GB"/>
        </w:rPr>
        <w:t xml:space="preserve"> </w:t>
      </w:r>
      <w:r w:rsidR="00DD1FB2" w:rsidRPr="008C558A">
        <w:rPr>
          <w:bCs/>
          <w:color w:val="000000" w:themeColor="text1"/>
        </w:rPr>
        <w:t>2021 m. biudžeto įstatymo projekte</w:t>
      </w:r>
      <w:r w:rsidR="00DD1FB2" w:rsidRPr="008C558A">
        <w:rPr>
          <w:color w:val="000000" w:themeColor="text1"/>
        </w:rPr>
        <w:t xml:space="preserve"> asignavimai tikslinami atsižvelgiant į numatomas gauti iš </w:t>
      </w:r>
      <w:proofErr w:type="spellStart"/>
      <w:r w:rsidR="00DD1FB2" w:rsidRPr="008C558A">
        <w:rPr>
          <w:color w:val="000000" w:themeColor="text1"/>
        </w:rPr>
        <w:t>Brexit</w:t>
      </w:r>
      <w:proofErr w:type="spellEnd"/>
      <w:r w:rsidR="00DD1FB2" w:rsidRPr="008C558A">
        <w:rPr>
          <w:color w:val="000000" w:themeColor="text1"/>
        </w:rPr>
        <w:t xml:space="preserve"> rezervinio fondo 1</w:t>
      </w:r>
      <w:proofErr w:type="gramStart"/>
      <w:r w:rsidR="00DD1FB2" w:rsidRPr="008C558A">
        <w:rPr>
          <w:color w:val="000000" w:themeColor="text1"/>
        </w:rPr>
        <w:t>,7</w:t>
      </w:r>
      <w:proofErr w:type="gramEnd"/>
      <w:r w:rsidR="00DD1FB2" w:rsidRPr="008C558A">
        <w:rPr>
          <w:color w:val="000000" w:themeColor="text1"/>
        </w:rPr>
        <w:t xml:space="preserve"> mln. eurų. </w:t>
      </w:r>
    </w:p>
    <w:p w:rsidR="00090D4C" w:rsidRPr="008C558A" w:rsidRDefault="00AF6CD8" w:rsidP="00090D4C">
      <w:pPr>
        <w:rPr>
          <w:color w:val="000000" w:themeColor="text1"/>
        </w:rPr>
      </w:pPr>
      <w:r w:rsidRPr="008C558A">
        <w:rPr>
          <w:color w:val="000000" w:themeColor="text1"/>
        </w:rPr>
        <w:t xml:space="preserve">Įvertinus COVID-19 </w:t>
      </w:r>
      <w:r w:rsidR="00417AEF" w:rsidRPr="008C558A">
        <w:rPr>
          <w:color w:val="000000" w:themeColor="text1"/>
        </w:rPr>
        <w:t xml:space="preserve">pandemijos </w:t>
      </w:r>
      <w:r w:rsidRPr="008C558A">
        <w:rPr>
          <w:color w:val="000000" w:themeColor="text1"/>
        </w:rPr>
        <w:t xml:space="preserve">padariniams mažinti </w:t>
      </w:r>
      <w:r w:rsidR="007A39E5" w:rsidRPr="008C558A">
        <w:rPr>
          <w:color w:val="000000" w:themeColor="text1"/>
        </w:rPr>
        <w:t xml:space="preserve">įgyvendinamoms </w:t>
      </w:r>
      <w:r w:rsidRPr="008C558A">
        <w:rPr>
          <w:color w:val="000000" w:themeColor="text1"/>
        </w:rPr>
        <w:t>priemonėms reikalingas papildomas lėšas, naujai išryškėjusiems ar ilgiau</w:t>
      </w:r>
      <w:r w:rsidR="007A39E5" w:rsidRPr="008C558A">
        <w:rPr>
          <w:color w:val="000000" w:themeColor="text1"/>
        </w:rPr>
        <w:t>,</w:t>
      </w:r>
      <w:r w:rsidRPr="008C558A">
        <w:rPr>
          <w:color w:val="000000" w:themeColor="text1"/>
        </w:rPr>
        <w:t xml:space="preserve"> nei planuota</w:t>
      </w:r>
      <w:r w:rsidR="007A39E5" w:rsidRPr="008C558A">
        <w:rPr>
          <w:color w:val="000000" w:themeColor="text1"/>
        </w:rPr>
        <w:t>,</w:t>
      </w:r>
      <w:r w:rsidRPr="008C558A">
        <w:rPr>
          <w:color w:val="000000" w:themeColor="text1"/>
        </w:rPr>
        <w:t xml:space="preserve"> trunkantiems poreikiams finansuoti </w:t>
      </w:r>
      <w:r w:rsidR="001C46F5" w:rsidRPr="008C558A">
        <w:rPr>
          <w:color w:val="000000" w:themeColor="text1"/>
        </w:rPr>
        <w:t>Į</w:t>
      </w:r>
      <w:r w:rsidRPr="008C558A">
        <w:rPr>
          <w:color w:val="000000" w:themeColor="text1"/>
        </w:rPr>
        <w:t xml:space="preserve">statymo projekte numatyta </w:t>
      </w:r>
      <w:r w:rsidR="00EB44A9" w:rsidRPr="008C558A">
        <w:rPr>
          <w:color w:val="000000" w:themeColor="text1"/>
        </w:rPr>
        <w:t>58</w:t>
      </w:r>
      <w:r w:rsidR="00524840">
        <w:rPr>
          <w:color w:val="000000" w:themeColor="text1"/>
        </w:rPr>
        <w:t>1</w:t>
      </w:r>
      <w:r w:rsidR="00F86389">
        <w:rPr>
          <w:color w:val="000000" w:themeColor="text1"/>
        </w:rPr>
        <w:t>,</w:t>
      </w:r>
      <w:r w:rsidR="00F85090">
        <w:rPr>
          <w:color w:val="000000" w:themeColor="text1"/>
        </w:rPr>
        <w:t>3</w:t>
      </w:r>
      <w:r w:rsidRPr="008C558A">
        <w:rPr>
          <w:color w:val="000000" w:themeColor="text1"/>
        </w:rPr>
        <w:t xml:space="preserve"> mln. eurų, iš kurių 4</w:t>
      </w:r>
      <w:r w:rsidR="00874C7C" w:rsidRPr="008C558A">
        <w:rPr>
          <w:color w:val="000000" w:themeColor="text1"/>
        </w:rPr>
        <w:t>6</w:t>
      </w:r>
      <w:r w:rsidR="00F86389">
        <w:rPr>
          <w:color w:val="000000" w:themeColor="text1"/>
        </w:rPr>
        <w:t>7,2</w:t>
      </w:r>
      <w:r w:rsidRPr="008C558A">
        <w:rPr>
          <w:color w:val="000000" w:themeColor="text1"/>
        </w:rPr>
        <w:t xml:space="preserve"> mln. eurų</w:t>
      </w:r>
      <w:r w:rsidR="00092054" w:rsidRPr="008C558A">
        <w:rPr>
          <w:color w:val="000000" w:themeColor="text1"/>
        </w:rPr>
        <w:t xml:space="preserve"> (neįskaitant perskirstytų asignavimų)</w:t>
      </w:r>
      <w:r w:rsidRPr="008C558A">
        <w:rPr>
          <w:color w:val="000000" w:themeColor="text1"/>
        </w:rPr>
        <w:t xml:space="preserve"> numatyta Vyriausybės rezerve.</w:t>
      </w:r>
      <w:r w:rsidR="006715A6" w:rsidRPr="008C558A">
        <w:rPr>
          <w:color w:val="000000" w:themeColor="text1"/>
        </w:rPr>
        <w:t xml:space="preserve"> </w:t>
      </w:r>
      <w:r w:rsidRPr="008C558A">
        <w:rPr>
          <w:color w:val="000000" w:themeColor="text1"/>
        </w:rPr>
        <w:t>Didžiąją</w:t>
      </w:r>
      <w:r w:rsidR="00092054" w:rsidRPr="008C558A">
        <w:rPr>
          <w:color w:val="000000" w:themeColor="text1"/>
        </w:rPr>
        <w:t xml:space="preserve"> </w:t>
      </w:r>
      <w:r w:rsidRPr="008C558A">
        <w:rPr>
          <w:color w:val="000000" w:themeColor="text1"/>
        </w:rPr>
        <w:t xml:space="preserve">COVID-19 </w:t>
      </w:r>
      <w:r w:rsidR="00417AEF" w:rsidRPr="008C558A">
        <w:rPr>
          <w:color w:val="000000" w:themeColor="text1"/>
        </w:rPr>
        <w:t xml:space="preserve">pandemijos </w:t>
      </w:r>
      <w:r w:rsidRPr="008C558A">
        <w:rPr>
          <w:color w:val="000000" w:themeColor="text1"/>
        </w:rPr>
        <w:t xml:space="preserve">padariniams mažinti </w:t>
      </w:r>
      <w:r w:rsidR="007A39E5" w:rsidRPr="008C558A">
        <w:rPr>
          <w:color w:val="000000" w:themeColor="text1"/>
        </w:rPr>
        <w:t xml:space="preserve">įgyvendinamoms </w:t>
      </w:r>
      <w:r w:rsidRPr="008C558A">
        <w:rPr>
          <w:color w:val="000000" w:themeColor="text1"/>
        </w:rPr>
        <w:t xml:space="preserve">priemonėms lėšų dalį numatoma skirti sveikatos apsaugos </w:t>
      </w:r>
      <w:r w:rsidR="007A39E5" w:rsidRPr="008C558A">
        <w:rPr>
          <w:color w:val="000000" w:themeColor="text1"/>
        </w:rPr>
        <w:t>(</w:t>
      </w:r>
      <w:r w:rsidRPr="008C558A">
        <w:rPr>
          <w:color w:val="000000" w:themeColor="text1"/>
        </w:rPr>
        <w:t>265,3 mln. eurų</w:t>
      </w:r>
      <w:r w:rsidR="007A39E5" w:rsidRPr="008C558A">
        <w:rPr>
          <w:color w:val="000000" w:themeColor="text1"/>
        </w:rPr>
        <w:t>)</w:t>
      </w:r>
      <w:r w:rsidRPr="008C558A">
        <w:rPr>
          <w:color w:val="000000" w:themeColor="text1"/>
        </w:rPr>
        <w:t xml:space="preserve"> ir socialinės apsaugos </w:t>
      </w:r>
      <w:r w:rsidR="007A39E5" w:rsidRPr="008C558A">
        <w:rPr>
          <w:color w:val="000000" w:themeColor="text1"/>
        </w:rPr>
        <w:t>(</w:t>
      </w:r>
      <w:r w:rsidR="00134144" w:rsidRPr="008C558A">
        <w:rPr>
          <w:color w:val="000000" w:themeColor="text1"/>
        </w:rPr>
        <w:t>23</w:t>
      </w:r>
      <w:r w:rsidR="007353F5" w:rsidRPr="008C558A">
        <w:rPr>
          <w:color w:val="000000" w:themeColor="text1"/>
        </w:rPr>
        <w:t>8,5</w:t>
      </w:r>
      <w:r w:rsidRPr="008C558A">
        <w:rPr>
          <w:color w:val="000000" w:themeColor="text1"/>
        </w:rPr>
        <w:t xml:space="preserve"> mln. eurų</w:t>
      </w:r>
      <w:r w:rsidR="007A39E5" w:rsidRPr="008C558A">
        <w:rPr>
          <w:color w:val="000000" w:themeColor="text1"/>
        </w:rPr>
        <w:t>)</w:t>
      </w:r>
      <w:r w:rsidRPr="008C558A">
        <w:rPr>
          <w:color w:val="000000" w:themeColor="text1"/>
        </w:rPr>
        <w:t xml:space="preserve"> sritims. Likusią </w:t>
      </w:r>
      <w:r w:rsidR="00524840">
        <w:rPr>
          <w:color w:val="000000" w:themeColor="text1"/>
        </w:rPr>
        <w:t xml:space="preserve">beveik 78 </w:t>
      </w:r>
      <w:r w:rsidRPr="008C558A">
        <w:rPr>
          <w:color w:val="000000" w:themeColor="text1"/>
        </w:rPr>
        <w:t xml:space="preserve">mln. eurų </w:t>
      </w:r>
      <w:r w:rsidR="007A39E5" w:rsidRPr="008C558A">
        <w:rPr>
          <w:color w:val="000000" w:themeColor="text1"/>
        </w:rPr>
        <w:t xml:space="preserve">dalį </w:t>
      </w:r>
      <w:r w:rsidRPr="008C558A">
        <w:rPr>
          <w:color w:val="000000" w:themeColor="text1"/>
        </w:rPr>
        <w:t>numatoma skirti kitų institucijų, dalyvaujančių vald</w:t>
      </w:r>
      <w:r w:rsidR="007A39E5" w:rsidRPr="008C558A">
        <w:rPr>
          <w:color w:val="000000" w:themeColor="text1"/>
        </w:rPr>
        <w:t>ant COVID-19 pandemiją</w:t>
      </w:r>
      <w:r w:rsidRPr="008C558A">
        <w:rPr>
          <w:color w:val="000000" w:themeColor="text1"/>
        </w:rPr>
        <w:t>, poreikiams finansuoti</w:t>
      </w:r>
      <w:r w:rsidR="00417AEF" w:rsidRPr="008C558A">
        <w:rPr>
          <w:color w:val="000000" w:themeColor="text1"/>
        </w:rPr>
        <w:t>.</w:t>
      </w:r>
      <w:r w:rsidR="005C4299" w:rsidRPr="008C558A">
        <w:rPr>
          <w:color w:val="000000" w:themeColor="text1"/>
        </w:rPr>
        <w:t xml:space="preserve"> </w:t>
      </w:r>
    </w:p>
    <w:p w:rsidR="00763BB8" w:rsidRPr="00763BB8" w:rsidRDefault="00763BB8" w:rsidP="00763BB8">
      <w:r w:rsidRPr="00763BB8">
        <w:t xml:space="preserve">Be to, </w:t>
      </w:r>
      <w:r w:rsidR="00AF42BB">
        <w:rPr>
          <w:bCs/>
        </w:rPr>
        <w:t>2021 m. biudžeto įstatymo projekt</w:t>
      </w:r>
      <w:r w:rsidR="00BF00D5">
        <w:rPr>
          <w:bCs/>
        </w:rPr>
        <w:t>e</w:t>
      </w:r>
      <w:r w:rsidRPr="00763BB8">
        <w:t xml:space="preserve"> </w:t>
      </w:r>
      <w:r w:rsidR="00F6376C">
        <w:t xml:space="preserve">socialiniams </w:t>
      </w:r>
      <w:r w:rsidR="000654A4">
        <w:t xml:space="preserve">ir </w:t>
      </w:r>
      <w:r w:rsidR="000654A4" w:rsidRPr="00763BB8">
        <w:t xml:space="preserve">kitiems </w:t>
      </w:r>
      <w:r w:rsidRPr="00763BB8">
        <w:t xml:space="preserve">poreikiams papildomai siūloma skirti </w:t>
      </w:r>
      <w:r w:rsidR="00417AEF" w:rsidRPr="00763BB8">
        <w:t>15,3 mln. eurų</w:t>
      </w:r>
      <w:r w:rsidR="00417AEF">
        <w:t xml:space="preserve"> –</w:t>
      </w:r>
      <w:r w:rsidR="00231687">
        <w:t xml:space="preserve"> </w:t>
      </w:r>
      <w:r w:rsidRPr="00763BB8">
        <w:t xml:space="preserve">universaliai vienišo asmens išmokai mokėti, </w:t>
      </w:r>
      <w:r w:rsidR="00EA3B93" w:rsidRPr="00076126">
        <w:rPr>
          <w:color w:val="000000"/>
        </w:rPr>
        <w:t>EGADP</w:t>
      </w:r>
      <w:r w:rsidRPr="00763BB8">
        <w:t xml:space="preserve"> projektų netinkamam </w:t>
      </w:r>
      <w:r w:rsidR="00DD48A7">
        <w:rPr>
          <w:color w:val="000000"/>
          <w:szCs w:val="20"/>
        </w:rPr>
        <w:t xml:space="preserve">pridėtinės vertės mokesčiui </w:t>
      </w:r>
      <w:r w:rsidRPr="00763BB8">
        <w:t>apmokėti</w:t>
      </w:r>
      <w:r w:rsidR="00417AEF">
        <w:t> </w:t>
      </w:r>
      <w:r w:rsidR="007A39E5">
        <w:t xml:space="preserve">– </w:t>
      </w:r>
      <w:r w:rsidRPr="00763BB8">
        <w:t xml:space="preserve">7,5 mln. eurų, neįgaliųjų </w:t>
      </w:r>
      <w:r w:rsidR="00396F5F">
        <w:t>įdarbinimo</w:t>
      </w:r>
      <w:r w:rsidRPr="00763BB8">
        <w:t xml:space="preserve"> priemonėms finansuoti </w:t>
      </w:r>
      <w:r w:rsidR="007A39E5">
        <w:t xml:space="preserve">– </w:t>
      </w:r>
      <w:r w:rsidRPr="00763BB8">
        <w:t>2,4 mln. eurų</w:t>
      </w:r>
      <w:r w:rsidR="000654A4">
        <w:t xml:space="preserve">, </w:t>
      </w:r>
      <w:r w:rsidR="000654A4" w:rsidRPr="000654A4">
        <w:t>prieigai prie elektroninių mokslo duomenų bazių finansuoti</w:t>
      </w:r>
      <w:r w:rsidR="000654A4" w:rsidRPr="00763BB8">
        <w:t xml:space="preserve"> </w:t>
      </w:r>
      <w:r w:rsidR="000654A4">
        <w:t>– 5</w:t>
      </w:r>
      <w:r w:rsidR="000654A4" w:rsidRPr="00763BB8">
        <w:t xml:space="preserve"> mln. eurų</w:t>
      </w:r>
      <w:r w:rsidR="00231687">
        <w:t>, s</w:t>
      </w:r>
      <w:r w:rsidR="00231687" w:rsidRPr="00231687">
        <w:t>ocialiai remtinų asmenų ir gyvūnų globėjų laikomų naminių gyvūnų ženklinimo ir registravimo išlaido</w:t>
      </w:r>
      <w:r w:rsidR="00231687">
        <w:t>m</w:t>
      </w:r>
      <w:r w:rsidR="00231687" w:rsidRPr="00231687">
        <w:t>s kompensuo</w:t>
      </w:r>
      <w:r w:rsidR="00231687">
        <w:t>ti</w:t>
      </w:r>
      <w:r w:rsidR="005E04D1">
        <w:t xml:space="preserve"> – </w:t>
      </w:r>
      <w:r w:rsidR="00524840">
        <w:t>0,3</w:t>
      </w:r>
      <w:r w:rsidR="00231687">
        <w:t xml:space="preserve"> mln. eurų.</w:t>
      </w:r>
      <w:r w:rsidR="006D337A">
        <w:t xml:space="preserve"> </w:t>
      </w:r>
    </w:p>
    <w:p w:rsidR="00E20754" w:rsidRDefault="00E20754" w:rsidP="00E20754">
      <w:r>
        <w:t>A</w:t>
      </w:r>
      <w:r w:rsidRPr="00763BB8">
        <w:t>tsižvelgus į asignavimų valdytojų prašymus ir siekiant efektyviau panaudoti lėšas</w:t>
      </w:r>
      <w:r>
        <w:t>,</w:t>
      </w:r>
      <w:r w:rsidRPr="00763BB8">
        <w:t xml:space="preserve"> </w:t>
      </w:r>
      <w:r w:rsidR="00AF42BB">
        <w:rPr>
          <w:bCs/>
        </w:rPr>
        <w:t xml:space="preserve">2021 m. biudžeto įstatymo </w:t>
      </w:r>
      <w:r w:rsidRPr="00763BB8">
        <w:t xml:space="preserve">projekte </w:t>
      </w:r>
      <w:r>
        <w:t>t</w:t>
      </w:r>
      <w:r w:rsidRPr="00763BB8">
        <w:t xml:space="preserve">aip pat siūloma perskirstyti 2021 metų valstybės biudžeto asignavimus tarp asignavimų valdytojų ir išlaidų grupių. </w:t>
      </w:r>
      <w:r>
        <w:t>Įvertinus, kad Lietuvos Respublikos Vyriausybės 2021 m. kovo 31 d. nutarimu Nr. 196 „</w:t>
      </w:r>
      <w:r w:rsidRPr="00760372">
        <w:t>Dėl 2020 metų savivaldybių biudžetų negautų pajamų padengimo</w:t>
      </w:r>
      <w:r>
        <w:t>“ savivaldybėms negautoms pajamoms kompensuoti iš valstybės biudžete suplanuotų 102 mln. eurų buvo paskirstyta 55,5 mln. eurų suma, s</w:t>
      </w:r>
      <w:r w:rsidRPr="00F80E70">
        <w:t xml:space="preserve">utaupyta </w:t>
      </w:r>
      <w:r>
        <w:t>46,5</w:t>
      </w:r>
      <w:r w:rsidRPr="00F80E70">
        <w:t xml:space="preserve"> mln. eurų suma perskirstoma tarp Finansų mi</w:t>
      </w:r>
      <w:r>
        <w:t>ni</w:t>
      </w:r>
      <w:r w:rsidRPr="00F80E70">
        <w:t xml:space="preserve">sterijos </w:t>
      </w:r>
      <w:r>
        <w:t xml:space="preserve">įgyvendinamų </w:t>
      </w:r>
      <w:r w:rsidRPr="00F80E70">
        <w:t xml:space="preserve">priemonių, lėšas numatant </w:t>
      </w:r>
      <w:r w:rsidRPr="007922F5">
        <w:rPr>
          <w:rFonts w:eastAsia="Times New Roman"/>
          <w:color w:val="000000"/>
          <w:lang w:eastAsia="lt-LT"/>
        </w:rPr>
        <w:t xml:space="preserve">Lietuvos Respublikos </w:t>
      </w:r>
      <w:r w:rsidRPr="00F80E70">
        <w:t xml:space="preserve">Vyriausybės rezerve </w:t>
      </w:r>
      <w:r w:rsidRPr="00F80E70">
        <w:rPr>
          <w:bCs/>
        </w:rPr>
        <w:t>COVID-19 pandemijos padariniams šalinti</w:t>
      </w:r>
      <w:r w:rsidRPr="00F80E70">
        <w:rPr>
          <w:color w:val="76923C" w:themeColor="accent3" w:themeShade="BF"/>
        </w:rPr>
        <w:t>.</w:t>
      </w:r>
      <w:r>
        <w:rPr>
          <w:color w:val="76923C" w:themeColor="accent3" w:themeShade="BF"/>
        </w:rPr>
        <w:t xml:space="preserve"> </w:t>
      </w:r>
      <w:r w:rsidRPr="00763BB8">
        <w:t>Pažymėtina, kad dėl šių siūlomų pakeitimų 2021 metų valstybės biudžeto balansas nesikeičia.</w:t>
      </w:r>
    </w:p>
    <w:p w:rsidR="002C1AB8" w:rsidRPr="00763BB8" w:rsidRDefault="002C1AB8" w:rsidP="00833518">
      <w:pPr>
        <w:autoSpaceDE w:val="0"/>
        <w:autoSpaceDN w:val="0"/>
        <w:adjustRightInd w:val="0"/>
      </w:pPr>
      <w:r w:rsidRPr="0043339C">
        <w:t xml:space="preserve">Be to, </w:t>
      </w:r>
      <w:r w:rsidR="00F623C5" w:rsidRPr="0043339C">
        <w:t xml:space="preserve">įvertinus </w:t>
      </w:r>
      <w:r w:rsidR="00F623C5" w:rsidRPr="0043339C">
        <w:rPr>
          <w:color w:val="000000"/>
        </w:rPr>
        <w:t xml:space="preserve">2021-2027 </w:t>
      </w:r>
      <w:r w:rsidR="00F623C5">
        <w:rPr>
          <w:color w:val="000000"/>
        </w:rPr>
        <w:t xml:space="preserve">metų </w:t>
      </w:r>
      <w:r w:rsidR="00F623C5" w:rsidRPr="0043339C">
        <w:rPr>
          <w:color w:val="000000"/>
        </w:rPr>
        <w:t>E</w:t>
      </w:r>
      <w:r w:rsidR="00350260">
        <w:rPr>
          <w:color w:val="000000"/>
        </w:rPr>
        <w:t xml:space="preserve">uropos </w:t>
      </w:r>
      <w:r w:rsidR="00F623C5" w:rsidRPr="0043339C">
        <w:rPr>
          <w:color w:val="000000"/>
        </w:rPr>
        <w:t>S</w:t>
      </w:r>
      <w:r w:rsidR="00350260">
        <w:rPr>
          <w:color w:val="000000"/>
        </w:rPr>
        <w:t>ąjungos</w:t>
      </w:r>
      <w:r w:rsidR="00F623C5" w:rsidRPr="0043339C">
        <w:rPr>
          <w:color w:val="000000"/>
        </w:rPr>
        <w:t xml:space="preserve"> </w:t>
      </w:r>
      <w:r w:rsidR="00F623C5">
        <w:rPr>
          <w:color w:val="000000"/>
        </w:rPr>
        <w:t xml:space="preserve">struktūrinių </w:t>
      </w:r>
      <w:r w:rsidR="00F623C5" w:rsidRPr="0043339C">
        <w:rPr>
          <w:color w:val="000000"/>
        </w:rPr>
        <w:t>fondų lėšų poreikį 2021 metams</w:t>
      </w:r>
      <w:r w:rsidR="00350260">
        <w:rPr>
          <w:color w:val="000000"/>
        </w:rPr>
        <w:t>,</w:t>
      </w:r>
      <w:r w:rsidR="00350260" w:rsidRPr="00350260">
        <w:t xml:space="preserve"> </w:t>
      </w:r>
      <w:r w:rsidR="00350260">
        <w:t>2021 metų biudžeto įstatymo projekte</w:t>
      </w:r>
      <w:r w:rsidR="00F623C5" w:rsidRPr="0043339C">
        <w:t xml:space="preserve"> </w:t>
      </w:r>
      <w:r w:rsidR="00F623C5">
        <w:t xml:space="preserve">jos mažinamos </w:t>
      </w:r>
      <w:r w:rsidR="00F623C5" w:rsidRPr="0043339C">
        <w:rPr>
          <w:color w:val="000000"/>
        </w:rPr>
        <w:t>30 mln. eurų</w:t>
      </w:r>
      <w:r w:rsidR="00F623C5">
        <w:rPr>
          <w:color w:val="000000"/>
        </w:rPr>
        <w:t>.</w:t>
      </w:r>
      <w:r w:rsidR="00F623C5" w:rsidRPr="0043339C">
        <w:rPr>
          <w:color w:val="000000"/>
        </w:rPr>
        <w:t xml:space="preserve"> </w:t>
      </w:r>
      <w:r w:rsidR="00F623C5">
        <w:rPr>
          <w:color w:val="000000"/>
        </w:rPr>
        <w:t xml:space="preserve">Taip pat dėl numatomų nepanaudoti </w:t>
      </w:r>
      <w:r w:rsidR="00F623C5" w:rsidRPr="0043339C">
        <w:t>Europos žemės ūkio fondo kaimo plėtros lėšų</w:t>
      </w:r>
      <w:r w:rsidR="00833518">
        <w:t xml:space="preserve"> </w:t>
      </w:r>
      <w:r w:rsidR="00350260">
        <w:t>2021 metų biudžeto įstatymo projekte</w:t>
      </w:r>
      <w:r w:rsidR="00F623C5" w:rsidRPr="0043339C">
        <w:t xml:space="preserve"> </w:t>
      </w:r>
      <w:r w:rsidR="00F623C5">
        <w:t xml:space="preserve">jos mažinamos </w:t>
      </w:r>
      <w:r w:rsidR="00F623C5" w:rsidRPr="0043339C">
        <w:t>3,4 mln. eurų</w:t>
      </w:r>
      <w:r w:rsidR="00833518">
        <w:t>,</w:t>
      </w:r>
      <w:r w:rsidR="00F623C5">
        <w:t xml:space="preserve"> atitinkamai sumažinant Finansų ir Žemės ūkio ministerijų asignavimus.</w:t>
      </w:r>
    </w:p>
    <w:p w:rsidR="00E20754" w:rsidRPr="00763BB8" w:rsidRDefault="00E20754" w:rsidP="00E20754">
      <w:r>
        <w:t>Dėl nurodytų pakeitimų atitinkamai tikslinamas Įstatymo 1 straipsnis ir su juo susiję priedai.</w:t>
      </w:r>
    </w:p>
    <w:p w:rsidR="00E20754" w:rsidRPr="00FA02E2" w:rsidRDefault="00E20754" w:rsidP="00E20754">
      <w:r w:rsidRPr="00FA02E2">
        <w:t xml:space="preserve">Dėl gyventojų pajamų mokesčio pajamų į valstybės ir savivaldybių biudžetus padidinimo 106,7 mln. eurų pajamos iš šio mokesčio, vadovaujantis </w:t>
      </w:r>
      <w:r>
        <w:t>Lietuvos Respublikos s</w:t>
      </w:r>
      <w:r w:rsidRPr="00FA02E2">
        <w:t>avivaldybių biudžetų pajamų nustatymo metodikos įstatymo nuostatomis, į savivaldybių biudžetus padidės 45,7 mln. eurų pagal pastoviąją gyventojų pajamų mokesčio dalį. Dėl to tikslinamas Įstatymo 2 straipsnio 1 dalies 1 punktas, atitinkamai keičiamas Įstatymo 6 priedas, kuriame nustatomos savivaldybės prognozuojamos pajamos ir savivaldybės biudžetui skiriama gyventojų pajamų mokesčio dalis (procentais).</w:t>
      </w:r>
    </w:p>
    <w:p w:rsidR="002404D8" w:rsidRDefault="002404D8" w:rsidP="002404D8">
      <w:pPr>
        <w:pStyle w:val="Sraopastraipa"/>
        <w:ind w:left="0" w:firstLine="709"/>
      </w:pPr>
      <w:r w:rsidRPr="002404D8">
        <w:t xml:space="preserve">Taip pat </w:t>
      </w:r>
      <w:r w:rsidR="00AF42BB">
        <w:rPr>
          <w:bCs/>
        </w:rPr>
        <w:t>2021 m. biudžeto įstatymo projektas</w:t>
      </w:r>
      <w:r w:rsidR="00AF42BB" w:rsidRPr="002404D8">
        <w:t xml:space="preserve"> </w:t>
      </w:r>
      <w:r w:rsidRPr="002404D8">
        <w:t xml:space="preserve">parengtas atsižvelgiant į Švietimo, mokslo ir sporto ministerijos pasiūlymus papildyti </w:t>
      </w:r>
      <w:r w:rsidR="001C46F5">
        <w:t>Į</w:t>
      </w:r>
      <w:r w:rsidRPr="002404D8">
        <w:t xml:space="preserve">statymo 3 straipsnio 4 dalį nuostata, kad savivaldybės ir </w:t>
      </w:r>
      <w:r w:rsidRPr="002404D8">
        <w:rPr>
          <w:bCs/>
        </w:rPr>
        <w:t>ne pagal tikslinę paskirtį panaudotas</w:t>
      </w:r>
      <w:r w:rsidRPr="002404D8">
        <w:t xml:space="preserve"> valstybės biudžeto dotacijų sumas grąžina valstybės institucijoms ir įstaigoms, iš kurių jos buvo gautos.</w:t>
      </w:r>
    </w:p>
    <w:p w:rsidR="00131F25" w:rsidRPr="002404D8" w:rsidRDefault="00131F25" w:rsidP="002404D8">
      <w:pPr>
        <w:pStyle w:val="Sraopastraipa"/>
        <w:ind w:left="0" w:firstLine="709"/>
      </w:pPr>
      <w:r>
        <w:t>Įvertinus biudžetinių įstaigų pajamų</w:t>
      </w:r>
      <w:r w:rsidR="00317F7D">
        <w:t xml:space="preserve"> ir </w:t>
      </w:r>
      <w:r w:rsidR="00317F7D" w:rsidRPr="00D13B1F">
        <w:rPr>
          <w:rFonts w:eastAsia="Calibri"/>
          <w:lang w:eastAsia="lt-LT"/>
        </w:rPr>
        <w:t>valstybės biudžeto pajamų iš mokesčių dali</w:t>
      </w:r>
      <w:r w:rsidR="00317F7D">
        <w:rPr>
          <w:rFonts w:eastAsia="Calibri"/>
          <w:lang w:eastAsia="lt-LT"/>
        </w:rPr>
        <w:t>e</w:t>
      </w:r>
      <w:r w:rsidR="00317F7D" w:rsidRPr="00D13B1F">
        <w:rPr>
          <w:rFonts w:eastAsia="Calibri"/>
          <w:lang w:eastAsia="lt-LT"/>
        </w:rPr>
        <w:t>s</w:t>
      </w:r>
      <w:r w:rsidR="003E2FD7">
        <w:rPr>
          <w:rFonts w:eastAsia="Calibri"/>
          <w:lang w:eastAsia="lt-LT"/>
        </w:rPr>
        <w:t>,</w:t>
      </w:r>
      <w:r w:rsidR="00317F7D" w:rsidRPr="00D13B1F">
        <w:rPr>
          <w:rFonts w:eastAsia="Calibri"/>
          <w:lang w:eastAsia="lt-LT"/>
        </w:rPr>
        <w:t xml:space="preserve"> skiriamos programoms finansuoti</w:t>
      </w:r>
      <w:r w:rsidR="003E2FD7">
        <w:rPr>
          <w:rFonts w:eastAsia="Calibri"/>
          <w:lang w:eastAsia="lt-LT"/>
        </w:rPr>
        <w:t>,</w:t>
      </w:r>
      <w:r>
        <w:t xml:space="preserve"> įmokų pasikeitimus</w:t>
      </w:r>
      <w:r w:rsidR="003E2FD7">
        <w:t>,</w:t>
      </w:r>
      <w:r>
        <w:t xml:space="preserve"> patikslinta </w:t>
      </w:r>
      <w:r w:rsidR="003E2FD7">
        <w:t xml:space="preserve">Įstatymo </w:t>
      </w:r>
      <w:r>
        <w:t xml:space="preserve">9 straipsnyje </w:t>
      </w:r>
      <w:r w:rsidR="003E2FD7">
        <w:t xml:space="preserve">nustatytų </w:t>
      </w:r>
      <w:r>
        <w:lastRenderedPageBreak/>
        <w:t>įmok</w:t>
      </w:r>
      <w:r w:rsidR="00317F7D">
        <w:t>ų</w:t>
      </w:r>
      <w:r>
        <w:t xml:space="preserve"> į valstybės biudžetą, skiriam</w:t>
      </w:r>
      <w:r w:rsidR="00317F7D">
        <w:t>ų</w:t>
      </w:r>
      <w:r>
        <w:t xml:space="preserve"> asignavimų valdytojų programoms finansuoti</w:t>
      </w:r>
      <w:r w:rsidR="003E2FD7">
        <w:t>,</w:t>
      </w:r>
      <w:r w:rsidR="00317F7D">
        <w:t xml:space="preserve"> suma</w:t>
      </w:r>
      <w:r>
        <w:t xml:space="preserve">. Atitinkamai patikslintas </w:t>
      </w:r>
      <w:r w:rsidR="003E2FD7">
        <w:t xml:space="preserve">Įstatymo </w:t>
      </w:r>
      <w:r>
        <w:t>3 priedas.</w:t>
      </w:r>
    </w:p>
    <w:p w:rsidR="007B0148" w:rsidRPr="00B6707B" w:rsidRDefault="007B0148" w:rsidP="00243044">
      <w:pPr>
        <w:pStyle w:val="Sraopastraipa"/>
        <w:ind w:left="0"/>
      </w:pPr>
      <w:r w:rsidRPr="00B6707B">
        <w:t>Atsižvelgus į atnaujintus UAB „Valstybės investicinis kapitalas“ planus dėl ne nuosavybės vertybinių popierių išleidimo apimties,</w:t>
      </w:r>
      <w:r w:rsidRPr="00B6707B">
        <w:rPr>
          <w:rFonts w:ascii="Calibri" w:hAnsi="Calibri" w:cs="Calibri"/>
        </w:rPr>
        <w:t xml:space="preserve"> </w:t>
      </w:r>
      <w:r w:rsidRPr="00B6707B">
        <w:t xml:space="preserve">patikslintas </w:t>
      </w:r>
      <w:r w:rsidR="003E2FD7">
        <w:t xml:space="preserve">Įstatymo </w:t>
      </w:r>
      <w:r w:rsidRPr="00B6707B">
        <w:rPr>
          <w:bCs/>
        </w:rPr>
        <w:t>10 straipsnio</w:t>
      </w:r>
      <w:r w:rsidRPr="00B6707B">
        <w:t xml:space="preserve"> 4 punktas – valstybės garantijų</w:t>
      </w:r>
      <w:r w:rsidR="003E2FD7">
        <w:t>,</w:t>
      </w:r>
      <w:r w:rsidRPr="00B6707B">
        <w:t xml:space="preserve"> teikiamų dėl paskolų ir ne nuosavybės vertybinių popierių, naudojamų ekstremaliųjų situacijų paveiktos ekonomikos skatinimo tikslams įgyvendinti ir verslo finansiniam likvidumui didinti, limitas.</w:t>
      </w:r>
    </w:p>
    <w:p w:rsidR="00486E89" w:rsidRPr="00D30416" w:rsidRDefault="00243044" w:rsidP="00243044">
      <w:pPr>
        <w:pStyle w:val="Sraopastraipa"/>
        <w:ind w:left="0"/>
        <w:rPr>
          <w:color w:val="000000"/>
        </w:rPr>
      </w:pPr>
      <w:r>
        <w:rPr>
          <w:color w:val="000000"/>
        </w:rPr>
        <w:t>A</w:t>
      </w:r>
      <w:r w:rsidR="00F51D14" w:rsidRPr="00D30416">
        <w:rPr>
          <w:color w:val="000000"/>
        </w:rPr>
        <w:t>tsižvelg</w:t>
      </w:r>
      <w:r w:rsidR="007B0148">
        <w:rPr>
          <w:color w:val="000000"/>
        </w:rPr>
        <w:t>us</w:t>
      </w:r>
      <w:r w:rsidR="00F51D14" w:rsidRPr="00D30416">
        <w:rPr>
          <w:color w:val="000000"/>
        </w:rPr>
        <w:t xml:space="preserve"> į atnaujintus 2021 metų valstybės biudžeto asignavimus ir pajamas, įskaitant </w:t>
      </w:r>
      <w:r w:rsidR="001C46F5">
        <w:rPr>
          <w:color w:val="000000"/>
        </w:rPr>
        <w:t xml:space="preserve">ES </w:t>
      </w:r>
      <w:r w:rsidR="00F51D14" w:rsidRPr="00D30416">
        <w:rPr>
          <w:color w:val="000000"/>
        </w:rPr>
        <w:t>ir kitos tarptautinės finansinės paramos lėšas</w:t>
      </w:r>
      <w:r w:rsidR="003E2FD7">
        <w:rPr>
          <w:color w:val="000000"/>
        </w:rPr>
        <w:t>,</w:t>
      </w:r>
      <w:r w:rsidR="00F51D14" w:rsidRPr="00D30416">
        <w:rPr>
          <w:color w:val="000000"/>
        </w:rPr>
        <w:t xml:space="preserve"> </w:t>
      </w:r>
      <w:r w:rsidR="00486E89" w:rsidRPr="00D30416">
        <w:rPr>
          <w:color w:val="000000"/>
        </w:rPr>
        <w:t xml:space="preserve">patikslintas </w:t>
      </w:r>
      <w:r w:rsidR="003E2FD7">
        <w:rPr>
          <w:color w:val="000000"/>
        </w:rPr>
        <w:t>Į</w:t>
      </w:r>
      <w:r w:rsidR="00F51D14">
        <w:rPr>
          <w:color w:val="000000"/>
        </w:rPr>
        <w:t xml:space="preserve">statymo </w:t>
      </w:r>
      <w:r w:rsidR="00486E89" w:rsidRPr="000070ED">
        <w:rPr>
          <w:bCs/>
          <w:color w:val="000000"/>
        </w:rPr>
        <w:t>11 straipsnis</w:t>
      </w:r>
      <w:r w:rsidR="00F51D14" w:rsidRPr="000070ED">
        <w:rPr>
          <w:bCs/>
          <w:color w:val="000000"/>
        </w:rPr>
        <w:t>.</w:t>
      </w:r>
      <w:r w:rsidR="00486E89" w:rsidRPr="00D30416">
        <w:rPr>
          <w:color w:val="000000"/>
        </w:rPr>
        <w:t xml:space="preserve"> </w:t>
      </w:r>
      <w:r w:rsidR="00417AEF">
        <w:rPr>
          <w:color w:val="000000"/>
        </w:rPr>
        <w:t xml:space="preserve">Siūloma nustatyti, kad </w:t>
      </w:r>
      <w:r w:rsidR="00486E89" w:rsidRPr="00D30416">
        <w:rPr>
          <w:color w:val="000000"/>
        </w:rPr>
        <w:t xml:space="preserve">Vyriausybės grynojo skolinių įsipareigojimų pokyčio limitas yra </w:t>
      </w:r>
      <w:r w:rsidR="003C049F" w:rsidRPr="00331DA0">
        <w:t>3 842,5</w:t>
      </w:r>
      <w:r w:rsidR="00486E89" w:rsidRPr="00331DA0">
        <w:t xml:space="preserve"> </w:t>
      </w:r>
      <w:r w:rsidR="003C049F">
        <w:rPr>
          <w:color w:val="000000"/>
        </w:rPr>
        <w:t>mln</w:t>
      </w:r>
      <w:r w:rsidR="00486E89" w:rsidRPr="00D30416">
        <w:rPr>
          <w:color w:val="000000"/>
        </w:rPr>
        <w:t>. eurų vietoj 4</w:t>
      </w:r>
      <w:r w:rsidR="00417AEF">
        <w:rPr>
          <w:color w:val="000000"/>
        </w:rPr>
        <w:t> </w:t>
      </w:r>
      <w:r w:rsidR="00486E89" w:rsidRPr="00D30416">
        <w:rPr>
          <w:color w:val="000000"/>
        </w:rPr>
        <w:t>027</w:t>
      </w:r>
      <w:r w:rsidR="003C049F">
        <w:rPr>
          <w:color w:val="000000"/>
        </w:rPr>
        <w:t>,7 mln</w:t>
      </w:r>
      <w:r w:rsidR="00486E89" w:rsidRPr="00D30416">
        <w:rPr>
          <w:color w:val="000000"/>
        </w:rPr>
        <w:t xml:space="preserve">. eurų. </w:t>
      </w:r>
    </w:p>
    <w:p w:rsidR="001274EA" w:rsidRDefault="00E4432A" w:rsidP="00131F25">
      <w:pPr>
        <w:pStyle w:val="Sraopastraipa"/>
        <w:ind w:left="0" w:firstLine="709"/>
        <w:rPr>
          <w:bCs/>
        </w:rPr>
      </w:pPr>
      <w:r>
        <w:t xml:space="preserve">Atsižvelgus į </w:t>
      </w:r>
      <w:r w:rsidRPr="00E4432A">
        <w:t>Švietimo, mokslo ir sporto ministerij</w:t>
      </w:r>
      <w:r>
        <w:t>os</w:t>
      </w:r>
      <w:r w:rsidRPr="00E4432A">
        <w:t xml:space="preserve"> </w:t>
      </w:r>
      <w:r>
        <w:t>pa</w:t>
      </w:r>
      <w:r w:rsidRPr="00E4432A">
        <w:t>siūl</w:t>
      </w:r>
      <w:r>
        <w:t>ymą</w:t>
      </w:r>
      <w:r w:rsidR="003E2FD7">
        <w:t>,</w:t>
      </w:r>
      <w:r w:rsidRPr="00E4432A">
        <w:t xml:space="preserve"> </w:t>
      </w:r>
      <w:r w:rsidR="001C46F5">
        <w:t>Į</w:t>
      </w:r>
      <w:r w:rsidRPr="00E4432A">
        <w:t>statymo 14 straipsnio 4 dal</w:t>
      </w:r>
      <w:r w:rsidR="00131F25">
        <w:t>is</w:t>
      </w:r>
      <w:r w:rsidRPr="00E4432A">
        <w:t xml:space="preserve"> </w:t>
      </w:r>
      <w:r w:rsidR="003E2FD7" w:rsidRPr="00E4432A">
        <w:t>papildyt</w:t>
      </w:r>
      <w:r w:rsidR="003E2FD7">
        <w:t>a</w:t>
      </w:r>
      <w:r w:rsidR="003E2FD7" w:rsidRPr="00E4432A">
        <w:t xml:space="preserve"> </w:t>
      </w:r>
      <w:r w:rsidRPr="00E4432A">
        <w:t>6</w:t>
      </w:r>
      <w:r w:rsidR="001274EA">
        <w:t xml:space="preserve"> ir 7 </w:t>
      </w:r>
      <w:r w:rsidRPr="00E4432A">
        <w:t>punkt</w:t>
      </w:r>
      <w:r w:rsidR="001274EA">
        <w:t>ais.</w:t>
      </w:r>
      <w:r w:rsidRPr="00E4432A">
        <w:t xml:space="preserve"> </w:t>
      </w:r>
      <w:r w:rsidR="001274EA">
        <w:t>6 punktu</w:t>
      </w:r>
      <w:r w:rsidRPr="00E4432A">
        <w:t xml:space="preserve"> suteikta teisė paskirstyti </w:t>
      </w:r>
      <w:r w:rsidRPr="00E4432A">
        <w:rPr>
          <w:bCs/>
        </w:rPr>
        <w:t>pagal savivaldybes ir valstybines mokyklas Švietimo, mokslo ir sporto ministerijos asignavimuose numatytas lėšas, skirtas COVID-19 pandemijos padariniams šalinti</w:t>
      </w:r>
      <w:r w:rsidRPr="00E4432A">
        <w:t xml:space="preserve">. </w:t>
      </w:r>
      <w:r w:rsidR="001C46F5">
        <w:t>Į</w:t>
      </w:r>
      <w:r w:rsidRPr="00E4432A">
        <w:t>statym</w:t>
      </w:r>
      <w:r w:rsidR="001C46F5">
        <w:t>ą</w:t>
      </w:r>
      <w:r w:rsidRPr="00E4432A">
        <w:t xml:space="preserve"> </w:t>
      </w:r>
      <w:r w:rsidR="003E2FD7">
        <w:t>p</w:t>
      </w:r>
      <w:r w:rsidR="003E2FD7" w:rsidRPr="00E4432A">
        <w:t xml:space="preserve">apildžius </w:t>
      </w:r>
      <w:r w:rsidRPr="00E4432A">
        <w:t xml:space="preserve">šia nuostata atsiras galimybė operatyviau paskirstyti </w:t>
      </w:r>
      <w:r w:rsidRPr="00E4432A">
        <w:rPr>
          <w:bCs/>
        </w:rPr>
        <w:t>COVID-19 pandemijos padariniams šalinti skirtas lėšas</w:t>
      </w:r>
      <w:r w:rsidR="00A42F6C">
        <w:rPr>
          <w:bCs/>
        </w:rPr>
        <w:t>.</w:t>
      </w:r>
      <w:r w:rsidR="008F0CE9">
        <w:rPr>
          <w:bCs/>
        </w:rPr>
        <w:t xml:space="preserve"> </w:t>
      </w:r>
      <w:r w:rsidR="001274EA">
        <w:t>7 punktu</w:t>
      </w:r>
      <w:r w:rsidR="001274EA" w:rsidRPr="00E4432A">
        <w:t xml:space="preserve"> suteikta teisė </w:t>
      </w:r>
      <w:r w:rsidR="001274EA" w:rsidRPr="00E4432A">
        <w:rPr>
          <w:bCs/>
        </w:rPr>
        <w:t>Švietimo, mokslo ir sporto ministerijos asignavimuose numatytas lėšas</w:t>
      </w:r>
      <w:r w:rsidR="008F0CE9">
        <w:rPr>
          <w:bCs/>
        </w:rPr>
        <w:t>, skirtas</w:t>
      </w:r>
      <w:r w:rsidR="008F0CE9" w:rsidRPr="008F0CE9">
        <w:rPr>
          <w:rFonts w:ascii="Calibri" w:hAnsi="Calibri" w:cs="Calibri"/>
          <w:b/>
          <w:bCs/>
          <w:color w:val="000000"/>
          <w:lang w:val="en-GB"/>
        </w:rPr>
        <w:t xml:space="preserve"> </w:t>
      </w:r>
      <w:r w:rsidR="008F0CE9" w:rsidRPr="00B51331">
        <w:rPr>
          <w:bCs/>
        </w:rPr>
        <w:t xml:space="preserve">mokslo duomenų bazių </w:t>
      </w:r>
      <w:proofErr w:type="spellStart"/>
      <w:r w:rsidR="008F0CE9" w:rsidRPr="00B51331">
        <w:rPr>
          <w:bCs/>
        </w:rPr>
        <w:t>prenumeratoms</w:t>
      </w:r>
      <w:proofErr w:type="spellEnd"/>
      <w:r w:rsidR="00B51331" w:rsidRPr="00B51331">
        <w:rPr>
          <w:bCs/>
        </w:rPr>
        <w:t xml:space="preserve"> finansuoti</w:t>
      </w:r>
      <w:r w:rsidR="008F0CE9" w:rsidRPr="00B51331">
        <w:rPr>
          <w:bCs/>
        </w:rPr>
        <w:t>,</w:t>
      </w:r>
      <w:r w:rsidR="001274EA" w:rsidRPr="00B51331">
        <w:rPr>
          <w:bCs/>
        </w:rPr>
        <w:t xml:space="preserve"> skirti Lietuvos mokslinių bibliotekų asociacijai</w:t>
      </w:r>
      <w:r w:rsidR="008F0CE9" w:rsidRPr="00B51331">
        <w:rPr>
          <w:bCs/>
        </w:rPr>
        <w:t>.</w:t>
      </w:r>
    </w:p>
    <w:p w:rsidR="00CA0226" w:rsidRDefault="00243044" w:rsidP="00243044">
      <w:pPr>
        <w:pStyle w:val="Sraopastraipa"/>
        <w:ind w:left="0"/>
        <w:rPr>
          <w:color w:val="000000"/>
        </w:rPr>
      </w:pPr>
      <w:r>
        <w:rPr>
          <w:bCs/>
          <w:color w:val="000000" w:themeColor="text1"/>
        </w:rPr>
        <w:t>Be to, a</w:t>
      </w:r>
      <w:r w:rsidR="00680888">
        <w:rPr>
          <w:bCs/>
          <w:color w:val="000000" w:themeColor="text1"/>
        </w:rPr>
        <w:t>tsižvelg</w:t>
      </w:r>
      <w:r>
        <w:rPr>
          <w:bCs/>
          <w:color w:val="000000" w:themeColor="text1"/>
        </w:rPr>
        <w:t>us</w:t>
      </w:r>
      <w:r w:rsidR="00486E89" w:rsidRPr="00125818">
        <w:rPr>
          <w:bCs/>
          <w:color w:val="000000" w:themeColor="text1"/>
        </w:rPr>
        <w:t xml:space="preserve"> į Susisiekimo ministerijos pasiūlymą </w:t>
      </w:r>
      <w:r w:rsidR="00486E89" w:rsidRPr="00125818">
        <w:rPr>
          <w:color w:val="000000" w:themeColor="text1"/>
        </w:rPr>
        <w:t>sudaryti sąlygas savivaldybėms vietinės reikšmės žvyrkeli</w:t>
      </w:r>
      <w:r w:rsidR="003E2FD7">
        <w:rPr>
          <w:color w:val="000000" w:themeColor="text1"/>
        </w:rPr>
        <w:t>ams</w:t>
      </w:r>
      <w:r w:rsidR="00486E89" w:rsidRPr="00125818">
        <w:rPr>
          <w:color w:val="000000" w:themeColor="text1"/>
        </w:rPr>
        <w:t xml:space="preserve"> asfalt</w:t>
      </w:r>
      <w:r w:rsidR="003E2FD7">
        <w:rPr>
          <w:color w:val="000000" w:themeColor="text1"/>
        </w:rPr>
        <w:t>uoti</w:t>
      </w:r>
      <w:r w:rsidR="00486E89" w:rsidRPr="00125818">
        <w:rPr>
          <w:color w:val="000000" w:themeColor="text1"/>
        </w:rPr>
        <w:t xml:space="preserve"> numatytas lėšas panaudoti visų savivaldybių kelių priežiūrai ir plėtrai pagal savivaldybių nusistatytus prioritetus, siūloma pakeisti </w:t>
      </w:r>
      <w:r w:rsidR="001C46F5">
        <w:rPr>
          <w:color w:val="000000" w:themeColor="text1"/>
        </w:rPr>
        <w:t>Į</w:t>
      </w:r>
      <w:r w:rsidR="00486E89" w:rsidRPr="00125818">
        <w:rPr>
          <w:color w:val="000000" w:themeColor="text1"/>
        </w:rPr>
        <w:t>statymo 14 straipsnio 6 dalį, patikslinant vietinės reikšmės žvyrkelių asfaltavimo lėšų paskirtį</w:t>
      </w:r>
      <w:r w:rsidR="000F7560">
        <w:rPr>
          <w:bCs/>
        </w:rPr>
        <w:t>.</w:t>
      </w:r>
      <w:r w:rsidR="00CA0226" w:rsidRPr="008C2E0B">
        <w:rPr>
          <w:color w:val="000000"/>
        </w:rPr>
        <w:t xml:space="preserve"> </w:t>
      </w:r>
    </w:p>
    <w:p w:rsidR="00CE0309" w:rsidRDefault="00CE0309" w:rsidP="00243044">
      <w:pPr>
        <w:pStyle w:val="Sraopastraipa"/>
        <w:ind w:left="0"/>
        <w:rPr>
          <w:color w:val="000000"/>
        </w:rPr>
      </w:pPr>
      <w:r w:rsidRPr="00DE041D">
        <w:rPr>
          <w:color w:val="000000"/>
        </w:rPr>
        <w:t xml:space="preserve">Taip Įstatymo 14 straipsnio 8 dalies 1 punktas patikslintas dėl papildomai skirtų </w:t>
      </w:r>
      <w:r w:rsidR="005A12BC" w:rsidRPr="00DE041D">
        <w:rPr>
          <w:color w:val="000000"/>
        </w:rPr>
        <w:t>0,</w:t>
      </w:r>
      <w:r w:rsidRPr="00DE041D">
        <w:rPr>
          <w:color w:val="000000"/>
        </w:rPr>
        <w:t xml:space="preserve">34 </w:t>
      </w:r>
      <w:r w:rsidR="005A12BC" w:rsidRPr="00DE041D">
        <w:rPr>
          <w:color w:val="000000"/>
        </w:rPr>
        <w:t>mln</w:t>
      </w:r>
      <w:r w:rsidRPr="00DE041D">
        <w:rPr>
          <w:color w:val="000000"/>
        </w:rPr>
        <w:t xml:space="preserve">. eurų Kauno miesto savivaldybės </w:t>
      </w:r>
      <w:r w:rsidR="005A12BC" w:rsidRPr="00DE041D">
        <w:rPr>
          <w:color w:val="000000"/>
        </w:rPr>
        <w:t xml:space="preserve">vykdomai </w:t>
      </w:r>
      <w:r w:rsidRPr="00DE041D">
        <w:rPr>
          <w:color w:val="000000"/>
        </w:rPr>
        <w:t>programai „Europos kultūros sostinė 2022“ finansuoti.</w:t>
      </w:r>
    </w:p>
    <w:p w:rsidR="00F80E70" w:rsidRDefault="001C46F5" w:rsidP="00F80E70">
      <w:pPr>
        <w:rPr>
          <w:lang w:eastAsia="lt-LT"/>
        </w:rPr>
      </w:pPr>
      <w:r>
        <w:rPr>
          <w:lang w:eastAsia="lt-LT"/>
        </w:rPr>
        <w:t>Į</w:t>
      </w:r>
      <w:r w:rsidR="00F80E70" w:rsidRPr="008246DC">
        <w:rPr>
          <w:lang w:eastAsia="lt-LT"/>
        </w:rPr>
        <w:t>statym</w:t>
      </w:r>
      <w:r w:rsidR="00763BB8">
        <w:rPr>
          <w:lang w:eastAsia="lt-LT"/>
        </w:rPr>
        <w:t>o</w:t>
      </w:r>
      <w:r w:rsidR="00F80E70">
        <w:rPr>
          <w:lang w:eastAsia="lt-LT"/>
        </w:rPr>
        <w:t xml:space="preserve"> </w:t>
      </w:r>
      <w:r w:rsidR="00763BB8">
        <w:rPr>
          <w:lang w:eastAsia="lt-LT"/>
        </w:rPr>
        <w:t xml:space="preserve">20 straipsnyje </w:t>
      </w:r>
      <w:r w:rsidR="00F80E70">
        <w:rPr>
          <w:lang w:eastAsia="lt-LT"/>
        </w:rPr>
        <w:t>suplanuotas</w:t>
      </w:r>
      <w:r w:rsidR="00F80E70" w:rsidRPr="008246DC">
        <w:rPr>
          <w:lang w:eastAsia="lt-LT"/>
        </w:rPr>
        <w:t xml:space="preserve"> </w:t>
      </w:r>
      <w:r w:rsidR="00F80E70">
        <w:rPr>
          <w:lang w:eastAsia="lt-LT"/>
        </w:rPr>
        <w:t>7</w:t>
      </w:r>
      <w:r w:rsidR="00F80E70" w:rsidRPr="008246DC">
        <w:rPr>
          <w:lang w:eastAsia="lt-LT"/>
        </w:rPr>
        <w:t xml:space="preserve"> proc</w:t>
      </w:r>
      <w:r w:rsidR="00F80E70">
        <w:rPr>
          <w:lang w:eastAsia="lt-LT"/>
        </w:rPr>
        <w:t>ent</w:t>
      </w:r>
      <w:r w:rsidR="003E2FD7">
        <w:rPr>
          <w:lang w:eastAsia="lt-LT"/>
        </w:rPr>
        <w:t>ų</w:t>
      </w:r>
      <w:r w:rsidR="00F80E70" w:rsidRPr="008246DC">
        <w:rPr>
          <w:lang w:eastAsia="lt-LT"/>
        </w:rPr>
        <w:t xml:space="preserve"> BVP valdžios </w:t>
      </w:r>
      <w:r w:rsidR="00F80E70">
        <w:rPr>
          <w:lang w:eastAsia="lt-LT"/>
        </w:rPr>
        <w:t>sektoriaus deficitas</w:t>
      </w:r>
      <w:r w:rsidR="00F80E70" w:rsidRPr="008246DC">
        <w:rPr>
          <w:lang w:eastAsia="lt-LT"/>
        </w:rPr>
        <w:t>.</w:t>
      </w:r>
      <w:r w:rsidR="00F80E70">
        <w:rPr>
          <w:lang w:eastAsia="lt-LT"/>
        </w:rPr>
        <w:t xml:space="preserve"> </w:t>
      </w:r>
      <w:r w:rsidR="00F80E70" w:rsidRPr="007F33E0">
        <w:rPr>
          <w:lang w:eastAsia="lt-LT"/>
        </w:rPr>
        <w:t xml:space="preserve">Įvertinus iki 2021 m. balandžio </w:t>
      </w:r>
      <w:r w:rsidR="00F80E70">
        <w:rPr>
          <w:lang w:eastAsia="lt-LT"/>
        </w:rPr>
        <w:t>30</w:t>
      </w:r>
      <w:r w:rsidR="00F80E70" w:rsidRPr="007F33E0">
        <w:rPr>
          <w:lang w:eastAsia="lt-LT"/>
        </w:rPr>
        <w:t xml:space="preserve"> d. Finansų ministerijos gautus naujausius valdžios sektoriui priskiriamų biudžetų vykdymo duomenis, </w:t>
      </w:r>
      <w:r w:rsidR="00F80E70">
        <w:rPr>
          <w:lang w:eastAsia="lt-LT"/>
        </w:rPr>
        <w:t>Finansų ministerijos atnaujintą ir 2021 m</w:t>
      </w:r>
      <w:r w:rsidR="003E2FD7">
        <w:rPr>
          <w:lang w:eastAsia="lt-LT"/>
        </w:rPr>
        <w:t>.</w:t>
      </w:r>
      <w:r w:rsidR="00F80E70">
        <w:rPr>
          <w:lang w:eastAsia="lt-LT"/>
        </w:rPr>
        <w:t xml:space="preserve"> kovo 19 d. paskelbtą ekonominės raidos scenarijų, produkcijos atotrūkio nuo potencialo </w:t>
      </w:r>
      <w:proofErr w:type="spellStart"/>
      <w:r w:rsidR="00F80E70">
        <w:rPr>
          <w:lang w:eastAsia="lt-LT"/>
        </w:rPr>
        <w:t>įverčius</w:t>
      </w:r>
      <w:proofErr w:type="spellEnd"/>
      <w:r w:rsidR="00F80E70">
        <w:rPr>
          <w:lang w:eastAsia="lt-LT"/>
        </w:rPr>
        <w:t>,</w:t>
      </w:r>
      <w:r w:rsidR="00F80E70" w:rsidRPr="007B40CD">
        <w:rPr>
          <w:lang w:eastAsia="lt-LT"/>
        </w:rPr>
        <w:t xml:space="preserve"> atnaujintas valstybės, savivaldybių, socialinio draudimo fondų pajamų ir išlaidų projekcijas, </w:t>
      </w:r>
      <w:r w:rsidR="00F80E70">
        <w:rPr>
          <w:lang w:eastAsia="lt-LT"/>
        </w:rPr>
        <w:t xml:space="preserve">vietos valdžios </w:t>
      </w:r>
      <w:proofErr w:type="spellStart"/>
      <w:r w:rsidR="00F80E70">
        <w:rPr>
          <w:lang w:eastAsia="lt-LT"/>
        </w:rPr>
        <w:t>subsektoriaus</w:t>
      </w:r>
      <w:proofErr w:type="spellEnd"/>
      <w:r w:rsidR="00F80E70">
        <w:rPr>
          <w:lang w:eastAsia="lt-LT"/>
        </w:rPr>
        <w:t xml:space="preserve"> balanso tendencijas ir papildomas lėšas s</w:t>
      </w:r>
      <w:r w:rsidR="00F80E70" w:rsidRPr="00584B5D">
        <w:rPr>
          <w:lang w:eastAsia="lt-LT"/>
        </w:rPr>
        <w:t>u COVID-19 pandemijos valdymu ir jos neigiamų padarinių švelninimu susijusi</w:t>
      </w:r>
      <w:r w:rsidR="00F80E70">
        <w:rPr>
          <w:lang w:eastAsia="lt-LT"/>
        </w:rPr>
        <w:t xml:space="preserve">oms </w:t>
      </w:r>
      <w:r w:rsidR="00F80E70" w:rsidRPr="00584B5D">
        <w:rPr>
          <w:lang w:eastAsia="lt-LT"/>
        </w:rPr>
        <w:t>priemonė</w:t>
      </w:r>
      <w:r w:rsidR="00F80E70">
        <w:rPr>
          <w:lang w:eastAsia="lt-LT"/>
        </w:rPr>
        <w:t>m</w:t>
      </w:r>
      <w:r w:rsidR="00F80E70" w:rsidRPr="00584B5D">
        <w:rPr>
          <w:lang w:eastAsia="lt-LT"/>
        </w:rPr>
        <w:t>s</w:t>
      </w:r>
      <w:r w:rsidR="00F80E70">
        <w:rPr>
          <w:lang w:eastAsia="lt-LT"/>
        </w:rPr>
        <w:t xml:space="preserve"> finansuoti, numatoma, kad </w:t>
      </w:r>
      <w:r w:rsidR="00F80E70" w:rsidRPr="007B40CD">
        <w:rPr>
          <w:lang w:eastAsia="lt-LT"/>
        </w:rPr>
        <w:t>20</w:t>
      </w:r>
      <w:r w:rsidR="00F80E70">
        <w:rPr>
          <w:lang w:eastAsia="lt-LT"/>
        </w:rPr>
        <w:t>21</w:t>
      </w:r>
      <w:r w:rsidR="00F80E70" w:rsidRPr="007B40CD">
        <w:rPr>
          <w:lang w:eastAsia="lt-LT"/>
        </w:rPr>
        <w:t xml:space="preserve"> metais valdžios sektoriaus </w:t>
      </w:r>
      <w:r w:rsidR="00F80E70">
        <w:rPr>
          <w:lang w:eastAsia="lt-LT"/>
        </w:rPr>
        <w:t xml:space="preserve">deficitas sudarys </w:t>
      </w:r>
      <w:r w:rsidR="00F80E70" w:rsidRPr="008464BC">
        <w:rPr>
          <w:lang w:eastAsia="lt-LT"/>
        </w:rPr>
        <w:t>8,</w:t>
      </w:r>
      <w:r w:rsidR="008C78B8" w:rsidRPr="008464BC">
        <w:rPr>
          <w:lang w:eastAsia="lt-LT"/>
        </w:rPr>
        <w:t>4</w:t>
      </w:r>
      <w:r w:rsidR="00F80E70" w:rsidRPr="008464BC">
        <w:rPr>
          <w:lang w:eastAsia="lt-LT"/>
        </w:rPr>
        <w:t xml:space="preserve"> procento BVP. 2021 metų valdžios sektoriaus deficitas, palyginti su </w:t>
      </w:r>
      <w:r w:rsidRPr="008464BC">
        <w:rPr>
          <w:lang w:eastAsia="lt-LT"/>
        </w:rPr>
        <w:t>Į</w:t>
      </w:r>
      <w:r w:rsidR="00F80E70" w:rsidRPr="008464BC">
        <w:rPr>
          <w:lang w:eastAsia="lt-LT"/>
        </w:rPr>
        <w:t xml:space="preserve">statyme pateiktu </w:t>
      </w:r>
      <w:r w:rsidR="003E2FD7" w:rsidRPr="008464BC">
        <w:rPr>
          <w:lang w:eastAsia="lt-LT"/>
        </w:rPr>
        <w:t>–</w:t>
      </w:r>
      <w:r w:rsidR="00F80E70" w:rsidRPr="008464BC">
        <w:rPr>
          <w:lang w:eastAsia="lt-LT"/>
        </w:rPr>
        <w:t>7 procentų BVP rodikliu, didės 1,</w:t>
      </w:r>
      <w:r w:rsidR="008C78B8" w:rsidRPr="008464BC">
        <w:rPr>
          <w:lang w:eastAsia="lt-LT"/>
        </w:rPr>
        <w:t>4</w:t>
      </w:r>
      <w:r w:rsidR="00F80E70">
        <w:rPr>
          <w:lang w:eastAsia="lt-LT"/>
        </w:rPr>
        <w:t xml:space="preserve"> procentinio punkto BVP</w:t>
      </w:r>
      <w:r w:rsidR="00763BB8">
        <w:rPr>
          <w:lang w:eastAsia="lt-LT"/>
        </w:rPr>
        <w:t>.</w:t>
      </w:r>
    </w:p>
    <w:p w:rsidR="00F80E70" w:rsidRDefault="00616A28" w:rsidP="00F80E70">
      <w:r>
        <w:rPr>
          <w:bCs/>
        </w:rPr>
        <w:t>2021 m. biudžeto įstatymo projekto</w:t>
      </w:r>
      <w:r>
        <w:t xml:space="preserve"> </w:t>
      </w:r>
      <w:r w:rsidR="00F80E70">
        <w:t xml:space="preserve">20 straipsnyje numatomos vidutinio laikotarpio valdžios sektoriaus finansų politikos gairės atitinka </w:t>
      </w:r>
      <w:r w:rsidR="003E2FD7">
        <w:t xml:space="preserve">numatytąsias </w:t>
      </w:r>
      <w:r w:rsidR="00F80E70">
        <w:t>Lietuvos stabilumo 2021 metų programoje.</w:t>
      </w:r>
    </w:p>
    <w:p w:rsidR="00F80E70" w:rsidRDefault="00F80E70" w:rsidP="00F80E70">
      <w:pPr>
        <w:rPr>
          <w:color w:val="000000" w:themeColor="text1"/>
          <w:lang w:eastAsia="lt-LT"/>
        </w:rPr>
      </w:pPr>
      <w:r>
        <w:t>Lietuvos stabilumo 2021 metų programoje numatyta, kad</w:t>
      </w:r>
      <w:r w:rsidR="003E2FD7">
        <w:t>,</w:t>
      </w:r>
      <w:r>
        <w:t xml:space="preserve"> atsižvelgiant į </w:t>
      </w:r>
      <w:r>
        <w:rPr>
          <w:rFonts w:eastAsia="Calibri"/>
          <w:lang w:eastAsia="lt-LT"/>
        </w:rPr>
        <w:t xml:space="preserve">2020 m. gegužės 20 d. Tarybos rekomendaciją dėl 2020 m. Lietuvos nacionalinės reformų programos su Tarybos nuomone dėl 2020 m. Lietuvos stabilumo programos ir </w:t>
      </w:r>
      <w:r>
        <w:rPr>
          <w:color w:val="000000" w:themeColor="text1"/>
          <w:lang w:eastAsia="lt-LT"/>
        </w:rPr>
        <w:t>Europos Komisijos 2021 m. kovo 3 d. Europos Sąjungos valstybėms pateiktas fiskalinės politikos formavimo gaires, vidutiniu laikotarpiu turėtų būti vykdoma ekonomikos atsigavimą palaikanti fiskalinė politika, o pagalbos priemonių</w:t>
      </w:r>
      <w:r w:rsidR="003E2FD7">
        <w:rPr>
          <w:color w:val="000000" w:themeColor="text1"/>
          <w:lang w:eastAsia="lt-LT"/>
        </w:rPr>
        <w:t>,</w:t>
      </w:r>
      <w:r>
        <w:rPr>
          <w:color w:val="000000" w:themeColor="text1"/>
          <w:lang w:eastAsia="lt-LT"/>
        </w:rPr>
        <w:t xml:space="preserve"> susijusių su COVID-19 </w:t>
      </w:r>
      <w:r w:rsidR="003E2FD7">
        <w:rPr>
          <w:color w:val="000000" w:themeColor="text1"/>
          <w:lang w:eastAsia="lt-LT"/>
        </w:rPr>
        <w:t xml:space="preserve">pandemijos valdymu, </w:t>
      </w:r>
      <w:r>
        <w:rPr>
          <w:color w:val="000000" w:themeColor="text1"/>
          <w:lang w:eastAsia="lt-LT"/>
        </w:rPr>
        <w:t>apimtis turėtų būti palaipsniui mažinama, atsižvelgiant į pandemi</w:t>
      </w:r>
      <w:r w:rsidR="003E2FD7">
        <w:rPr>
          <w:color w:val="000000" w:themeColor="text1"/>
          <w:lang w:eastAsia="lt-LT"/>
        </w:rPr>
        <w:t>jos</w:t>
      </w:r>
      <w:r>
        <w:rPr>
          <w:color w:val="000000" w:themeColor="text1"/>
          <w:lang w:eastAsia="lt-LT"/>
        </w:rPr>
        <w:t xml:space="preserve"> situaciją ir ekonomikos būklę. Visa tai įvertinus ir siekiant, kad Lietuvos valdžios sektoriaus skolos augimas vidutiniu laikotarpiu būtų stabilizuotas, o valdžios sektoriaus struktūrinis deficitas artėtų vidutinio laikotarpio tikslo link, tikslinga palaipsniui mažinti valdžios sektoriaus deficitą. Deficito mažinimo reikalavimas, tikėtina, vidutiniu laikotarpiu kils pradėjus vėl taikyti </w:t>
      </w:r>
      <w:r w:rsidR="001C46F5">
        <w:rPr>
          <w:color w:val="000000" w:themeColor="text1"/>
          <w:lang w:eastAsia="lt-LT"/>
        </w:rPr>
        <w:t xml:space="preserve">ES </w:t>
      </w:r>
      <w:r>
        <w:rPr>
          <w:color w:val="000000" w:themeColor="text1"/>
          <w:lang w:eastAsia="lt-LT"/>
        </w:rPr>
        <w:t>ir nacionaliniais teisės aktais nustatytas fiskalin</w:t>
      </w:r>
      <w:r w:rsidR="003E2FD7">
        <w:rPr>
          <w:color w:val="000000" w:themeColor="text1"/>
          <w:lang w:eastAsia="lt-LT"/>
        </w:rPr>
        <w:t>ė</w:t>
      </w:r>
      <w:r>
        <w:rPr>
          <w:color w:val="000000" w:themeColor="text1"/>
          <w:lang w:eastAsia="lt-LT"/>
        </w:rPr>
        <w:t>s drausmės taisykle</w:t>
      </w:r>
      <w:r w:rsidR="003E2FD7">
        <w:rPr>
          <w:color w:val="000000" w:themeColor="text1"/>
          <w:lang w:eastAsia="lt-LT"/>
        </w:rPr>
        <w:t>s</w:t>
      </w:r>
      <w:r>
        <w:rPr>
          <w:color w:val="000000" w:themeColor="text1"/>
          <w:lang w:eastAsia="lt-LT"/>
        </w:rPr>
        <w:t xml:space="preserve">, kurios šiuo metu laikinai nėra taikomos dėl išskirtinai sudėtingos COVID-19 pandemijos ir jos neigiamų padarinių sukeltos situacijos. </w:t>
      </w:r>
    </w:p>
    <w:p w:rsidR="003F657D" w:rsidRPr="00A16684" w:rsidRDefault="003F657D" w:rsidP="003F657D">
      <w:r w:rsidRPr="00A16684">
        <w:t>Pagal asignavimų valdytojų pateiktus prašymus perskirstyti jiems skirtus asignavimus tarp investicijų projektų arba išlaidų grupių</w:t>
      </w:r>
      <w:r>
        <w:t>, įvertinus papildomai skirtus arba sumažintus asignavimus investicijų projektams</w:t>
      </w:r>
      <w:r w:rsidR="003A1ADA">
        <w:t>,</w:t>
      </w:r>
      <w:r w:rsidR="003A1ADA" w:rsidRPr="003A1ADA">
        <w:t xml:space="preserve"> </w:t>
      </w:r>
      <w:r w:rsidR="003A1ADA" w:rsidRPr="00E70361">
        <w:t xml:space="preserve">Valstybės investicijų 2021–2023 metų programos pakeitimo projekte 2021 </w:t>
      </w:r>
      <w:r w:rsidR="003A1ADA" w:rsidRPr="00E70361">
        <w:lastRenderedPageBreak/>
        <w:t xml:space="preserve">metų valstybės kapitalo investicijoms asignavimai iš valstybės biudžeto </w:t>
      </w:r>
      <w:r w:rsidR="003A1ADA" w:rsidRPr="00C64D4F">
        <w:rPr>
          <w:color w:val="000000" w:themeColor="text1"/>
        </w:rPr>
        <w:t xml:space="preserve">sumažinti </w:t>
      </w:r>
      <w:r w:rsidR="00C64D4F" w:rsidRPr="00C64D4F">
        <w:rPr>
          <w:color w:val="000000" w:themeColor="text1"/>
        </w:rPr>
        <w:t>7</w:t>
      </w:r>
      <w:r w:rsidR="003A1ADA" w:rsidRPr="00C64D4F">
        <w:rPr>
          <w:color w:val="000000" w:themeColor="text1"/>
        </w:rPr>
        <w:t>,1 mln. eurų</w:t>
      </w:r>
      <w:r w:rsidRPr="00C64D4F">
        <w:rPr>
          <w:color w:val="000000" w:themeColor="text1"/>
        </w:rPr>
        <w:t xml:space="preserve">, </w:t>
      </w:r>
      <w:r>
        <w:t>atitinkamai</w:t>
      </w:r>
      <w:r w:rsidRPr="00A16684">
        <w:t xml:space="preserve"> patikslintas Įstatymo 7 prie</w:t>
      </w:r>
      <w:r w:rsidR="00616A28">
        <w:t>das</w:t>
      </w:r>
      <w:r w:rsidRPr="00A16684">
        <w:rPr>
          <w:rFonts w:eastAsia="Calibri"/>
        </w:rPr>
        <w:t>.</w:t>
      </w:r>
      <w:r w:rsidR="003A1ADA" w:rsidRPr="00AB5880">
        <w:rPr>
          <w:rFonts w:eastAsia="Calibri"/>
          <w:lang w:eastAsia="lt-LT"/>
        </w:rPr>
        <w:t xml:space="preserve"> </w:t>
      </w:r>
    </w:p>
    <w:p w:rsidR="00F80E70" w:rsidRPr="00F80E70" w:rsidRDefault="00F80E70" w:rsidP="00F80E70">
      <w:pPr>
        <w:rPr>
          <w:color w:val="76923C" w:themeColor="accent3" w:themeShade="BF"/>
        </w:rPr>
      </w:pPr>
      <w:r w:rsidRPr="00F80E70">
        <w:t>Vadovaujantis Rezervinio (stabilizavimo) fondo nuostatų, patvirtintų Lietuvos Respublikos Seimo 2002 m. gegužės 30 d. nutarimu Nr. IX-912 „Dėl Rezervinio (stabilizavimo) fondo nuostatų patvirtinimo“</w:t>
      </w:r>
      <w:r w:rsidR="003E2FD7">
        <w:t>,</w:t>
      </w:r>
      <w:r w:rsidRPr="00F80E70">
        <w:t xml:space="preserve"> pakeitimu ir atsižvelgiant į tai, kad šiame fonde </w:t>
      </w:r>
      <w:r w:rsidR="00795113">
        <w:t xml:space="preserve">nuo </w:t>
      </w:r>
      <w:r w:rsidRPr="00F80E70">
        <w:t>2021 m</w:t>
      </w:r>
      <w:r w:rsidR="00795113">
        <w:t>. gegužės 1 d.</w:t>
      </w:r>
      <w:r w:rsidRPr="00F80E70">
        <w:t xml:space="preserve"> bus kaupiamos lėšos tik radioaktyviųjų atliekų giluminiam </w:t>
      </w:r>
      <w:proofErr w:type="spellStart"/>
      <w:r w:rsidRPr="00F80E70">
        <w:t>atliekynui</w:t>
      </w:r>
      <w:proofErr w:type="spellEnd"/>
      <w:r w:rsidRPr="00F80E70">
        <w:t xml:space="preserve"> įrengti ir radioaktyviosioms atliekoms tvarkyti, tikslinamas Įstatymo 8 priedas, patikslinant 2021 metų Rezervinio (stabilizavimo) fondo lėšų sąmatą. Sutaupyta </w:t>
      </w:r>
      <w:r w:rsidR="000C345D">
        <w:t>23,1</w:t>
      </w:r>
      <w:r w:rsidRPr="00F80E70">
        <w:t xml:space="preserve"> mln. eurų suma perskirstoma tarp Finansų mi</w:t>
      </w:r>
      <w:r w:rsidR="00E20754">
        <w:t>ni</w:t>
      </w:r>
      <w:r w:rsidRPr="00F80E70">
        <w:t xml:space="preserve">sterijos </w:t>
      </w:r>
      <w:r w:rsidR="003E2FD7">
        <w:t xml:space="preserve">įgyvendinamų </w:t>
      </w:r>
      <w:r w:rsidRPr="00F80E70">
        <w:t xml:space="preserve">priemonių, lėšas numatant </w:t>
      </w:r>
      <w:r w:rsidR="00375BB2" w:rsidRPr="007922F5">
        <w:rPr>
          <w:rFonts w:eastAsia="Times New Roman"/>
          <w:color w:val="000000"/>
          <w:lang w:eastAsia="lt-LT"/>
        </w:rPr>
        <w:t xml:space="preserve">Lietuvos Respublikos </w:t>
      </w:r>
      <w:r w:rsidRPr="00F80E70">
        <w:t xml:space="preserve">Vyriausybės rezerve </w:t>
      </w:r>
      <w:r w:rsidRPr="00F80E70">
        <w:rPr>
          <w:bCs/>
        </w:rPr>
        <w:t>COVID-19 pandemijos padariniams šalinti</w:t>
      </w:r>
      <w:r w:rsidRPr="00F80E70">
        <w:rPr>
          <w:color w:val="76923C" w:themeColor="accent3" w:themeShade="BF"/>
        </w:rPr>
        <w:t>.</w:t>
      </w:r>
    </w:p>
    <w:p w:rsidR="004A7D11" w:rsidRPr="00DE54C6" w:rsidRDefault="004A7D11" w:rsidP="004A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Pelno mokesčio </w:t>
      </w:r>
      <w:r w:rsidR="002E4F2B">
        <w:t>į</w:t>
      </w:r>
      <w:r w:rsidRPr="00DE54C6">
        <w:t xml:space="preserve">statymo projektu siūloma sudaryti galimybę 2020 metais apmokestinamųjų vienetų patirtais nuostoliais sumažinti 2019 metų mokestinio laikotarpio pelną ir atitinkamai perskaičiuoti 2019 metų mokėtino pelno mokesčio sumą. Ši pelno mokesčio suma būtų perskaičiuojama teikiant patikslintą 2019 metų metinę pelno mokesčio deklaraciją, o susidariusi mokesčio permoka būtų įskaitoma ar grąžinama Lietuvos Respublikos mokesčių administravimo įstatymo nustatyta bendra tvarka.  </w:t>
      </w:r>
    </w:p>
    <w:p w:rsidR="004A7D11" w:rsidRPr="00DE54C6" w:rsidRDefault="004A7D11" w:rsidP="004A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E54C6">
        <w:t>Perkeliant 2020 metų mokestinio laikotarpio nuostolius į ankstesnius metus, turės būti laikomasi tų pačių taisyklių</w:t>
      </w:r>
      <w:r w:rsidR="002E4F2B">
        <w:t>,</w:t>
      </w:r>
      <w:r w:rsidRPr="00DE54C6">
        <w:t xml:space="preserve"> kaip perkeliant nuostolius į vėlesnius mokestinius laikotarpius:</w:t>
      </w:r>
    </w:p>
    <w:p w:rsidR="004A7D11" w:rsidRPr="00DE54C6" w:rsidRDefault="004A7D11" w:rsidP="004A7D11">
      <w:pPr>
        <w:pStyle w:val="Sraopastraipa"/>
        <w:numPr>
          <w:ilvl w:val="0"/>
          <w:numId w:val="4"/>
        </w:numPr>
        <w:tabs>
          <w:tab w:val="left" w:pos="993"/>
        </w:tabs>
        <w:ind w:left="0" w:firstLine="709"/>
      </w:pPr>
      <w:r w:rsidRPr="00DE54C6">
        <w:rPr>
          <w:color w:val="000000"/>
        </w:rPr>
        <w:t xml:space="preserve">perkeliamų iš pajamų atskaitomų mokestinių laikotarpių nuostolių suma negali būti didesnė kaip 70 procentų mokestinio laikotarpio pajamų, apskaičiuotų iš pajamų atėmus neapmokestinamąsias pajamas, leidžiamus atskaitymus ir ribojamų dydžių leidžiamus atskaitymus, išskyrus </w:t>
      </w:r>
      <w:r w:rsidRPr="00DE54C6">
        <w:t>ankstesnių metų mokestinių laikotarpių nuostolius.</w:t>
      </w:r>
      <w:r w:rsidRPr="00DE54C6">
        <w:rPr>
          <w:color w:val="000000"/>
        </w:rPr>
        <w:t xml:space="preserve"> Šis ribojimas netaikomas perkeliant mažų įmonių (t. y. tų</w:t>
      </w:r>
      <w:r w:rsidRPr="00DE54C6">
        <w:t>, kuriose vidutinis darbuotojų skaičius neviršija 10 žmonių ir mokestinio laikotarpio pajamos neviršija 300 000 eurų) nuostolius ir ne finansų įstaigų nuostolius dėl vertybinių popierių ir išvestinių finansinių priemonių perleidimo;</w:t>
      </w:r>
    </w:p>
    <w:p w:rsidR="004A7D11" w:rsidRPr="006842F9" w:rsidRDefault="004A7D11" w:rsidP="004A7D11">
      <w:pPr>
        <w:pStyle w:val="Sraopastraipa"/>
        <w:numPr>
          <w:ilvl w:val="0"/>
          <w:numId w:val="4"/>
        </w:numPr>
        <w:tabs>
          <w:tab w:val="left" w:pos="993"/>
        </w:tabs>
        <w:ind w:left="0" w:firstLine="709"/>
      </w:pPr>
      <w:r w:rsidRPr="006842F9">
        <w:t>n</w:t>
      </w:r>
      <w:r w:rsidR="009E2B18">
        <w:rPr>
          <w:color w:val="000000"/>
        </w:rPr>
        <w:t>uostoliai, patirti dėl paties</w:t>
      </w:r>
      <w:r w:rsidRPr="006842F9">
        <w:rPr>
          <w:color w:val="000000"/>
        </w:rPr>
        <w:t xml:space="preserve"> apmokestinamojo vieneto sukurtų </w:t>
      </w:r>
      <w:r w:rsidRPr="006842F9">
        <w:t xml:space="preserve">kompiuterio programų ar </w:t>
      </w:r>
      <w:proofErr w:type="spellStart"/>
      <w:r w:rsidRPr="006842F9">
        <w:t>patentabilumo</w:t>
      </w:r>
      <w:proofErr w:type="spellEnd"/>
      <w:r w:rsidRPr="006842F9">
        <w:t xml:space="preserve"> kriterijus atitinkančių išradimų </w:t>
      </w:r>
      <w:r w:rsidRPr="006842F9">
        <w:rPr>
          <w:color w:val="000000"/>
        </w:rPr>
        <w:t xml:space="preserve">naudojimo, pardavimo ar kitokio perleidimo nuosavybėn, </w:t>
      </w:r>
      <w:r w:rsidRPr="006842F9">
        <w:t xml:space="preserve">gali būti dengiami tik </w:t>
      </w:r>
      <w:r w:rsidRPr="006842F9">
        <w:rPr>
          <w:color w:val="000000"/>
        </w:rPr>
        <w:t>iš tokio turto gauto apmokestinamojo pelno dalimi</w:t>
      </w:r>
      <w:r w:rsidRPr="006842F9">
        <w:t>;</w:t>
      </w:r>
    </w:p>
    <w:p w:rsidR="004A7D11" w:rsidRPr="006842F9" w:rsidRDefault="004A7D11" w:rsidP="004A7D11">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r w:rsidRPr="006842F9">
        <w:t>vertybinių popierių ir išvestinių finansinių priemonių perleidimo nuostoliai gali būti dengiami tik šios veiklos pajamomis.</w:t>
      </w:r>
    </w:p>
    <w:p w:rsidR="004A7D11" w:rsidRPr="009469C1" w:rsidRDefault="004A7D11" w:rsidP="004A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6842F9">
        <w:t xml:space="preserve">Nuostolių suma, kuria buvo sumažintas 2019 metų apmokestinamasis pelnas, negalės būti perkeliama į vėlesnius mokestinius laikotarpius. Vertybinių popierių ir išvestinių finansinių priemonių perleidimo nuostolių, patirtų 2020 metais, dalies perkėlimas į 2019 metų mokestinį laikotarpį neturės įtakos laikotarpio, kurį šie nuostoliai gali būti perkeliami, skaičiavimui. Taip pat galimybė 2020 metų nuostoliais mažinti 2019 metų pelną nebus taikoma iš grupės </w:t>
      </w:r>
      <w:r w:rsidR="002E4F2B">
        <w:t xml:space="preserve">apmokestinamųjų </w:t>
      </w:r>
      <w:r w:rsidRPr="006842F9">
        <w:t xml:space="preserve">vienetų perkeltiems nuostoliams, taip pat nuostolių, susidariusių </w:t>
      </w:r>
      <w:r w:rsidR="002E4F2B">
        <w:t xml:space="preserve">apmokestinamuosius </w:t>
      </w:r>
      <w:r w:rsidRPr="006842F9">
        <w:t xml:space="preserve">vienetus reorganizuojant, likviduojant, pertvarkant, Lietuvos </w:t>
      </w:r>
      <w:r w:rsidR="002E4F2B">
        <w:t xml:space="preserve">apmokestinamajam </w:t>
      </w:r>
      <w:r w:rsidRPr="006842F9">
        <w:t>vienetui (Europos bendrovei ar Europos kooperatinei bendrovei) perkeliant registruotą buveinę į kitą Europos Sąjungos valstybę narę, perkėlimui</w:t>
      </w:r>
      <w:r w:rsidRPr="009469C1">
        <w:t xml:space="preserve">. </w:t>
      </w:r>
    </w:p>
    <w:p w:rsidR="00122E44" w:rsidRDefault="00122E44" w:rsidP="007E7B69"/>
    <w:p w:rsidR="00122E44" w:rsidRPr="00EF73F1" w:rsidRDefault="00122E44" w:rsidP="00122E44">
      <w:pPr>
        <w:pStyle w:val="Hyperlink1"/>
        <w:keepNext/>
        <w:keepLines/>
        <w:numPr>
          <w:ilvl w:val="0"/>
          <w:numId w:val="1"/>
        </w:numPr>
        <w:tabs>
          <w:tab w:val="clear" w:pos="964"/>
          <w:tab w:val="left" w:pos="1077"/>
        </w:tabs>
        <w:spacing w:before="0" w:beforeAutospacing="0" w:after="0" w:afterAutospacing="0"/>
        <w:rPr>
          <w:b/>
        </w:rPr>
      </w:pPr>
      <w:r w:rsidRPr="00EF73F1">
        <w:rPr>
          <w:b/>
        </w:rPr>
        <w:t>Numatomo teisinio reguliavimo poveikio vertinimo rezultatai, galimos neigiamos priimt</w:t>
      </w:r>
      <w:r w:rsidR="0090101D">
        <w:rPr>
          <w:b/>
        </w:rPr>
        <w:t>ų</w:t>
      </w:r>
      <w:r w:rsidRPr="00EF73F1">
        <w:rPr>
          <w:b/>
        </w:rPr>
        <w:t xml:space="preserve"> įstatym</w:t>
      </w:r>
      <w:r w:rsidR="0090101D">
        <w:rPr>
          <w:b/>
        </w:rPr>
        <w:t>ų</w:t>
      </w:r>
      <w:r w:rsidRPr="00EF73F1">
        <w:rPr>
          <w:b/>
        </w:rPr>
        <w:t xml:space="preserve"> pasekmės ir kokių priemonių reikėtų imtis, kad tokių pasekmių būtų išvengta</w:t>
      </w:r>
    </w:p>
    <w:p w:rsidR="00122E44" w:rsidRDefault="00122E44" w:rsidP="00122E44">
      <w:r>
        <w:t xml:space="preserve">Priėmus </w:t>
      </w:r>
      <w:r w:rsidR="001C46F5">
        <w:t>Į</w:t>
      </w:r>
      <w:r w:rsidRPr="00EF73F1">
        <w:t>statym</w:t>
      </w:r>
      <w:r w:rsidR="0090101D">
        <w:t>ų</w:t>
      </w:r>
      <w:r w:rsidRPr="00EF73F1">
        <w:t xml:space="preserve"> projekt</w:t>
      </w:r>
      <w:r w:rsidR="0090101D">
        <w:t>us</w:t>
      </w:r>
      <w:r w:rsidRPr="00EF73F1">
        <w:t>, neigiamų pasekmių nenumatoma.</w:t>
      </w:r>
    </w:p>
    <w:p w:rsidR="00B707C3" w:rsidRDefault="00B707C3" w:rsidP="00122E44"/>
    <w:p w:rsidR="00122E44" w:rsidRPr="00EF73F1" w:rsidRDefault="009227DF" w:rsidP="00122E44">
      <w:pPr>
        <w:pStyle w:val="Hyperlink1"/>
        <w:keepNext/>
        <w:keepLines/>
        <w:numPr>
          <w:ilvl w:val="0"/>
          <w:numId w:val="1"/>
        </w:numPr>
        <w:tabs>
          <w:tab w:val="clear" w:pos="964"/>
          <w:tab w:val="left" w:pos="1077"/>
        </w:tabs>
        <w:spacing w:before="0" w:beforeAutospacing="0" w:after="0" w:afterAutospacing="0"/>
        <w:rPr>
          <w:b/>
        </w:rPr>
      </w:pPr>
      <w:r w:rsidRPr="00A45C2E">
        <w:rPr>
          <w:b/>
        </w:rPr>
        <w:t>Galima priimt</w:t>
      </w:r>
      <w:r w:rsidR="004A7D11">
        <w:rPr>
          <w:b/>
        </w:rPr>
        <w:t>ų</w:t>
      </w:r>
      <w:r w:rsidRPr="00A45C2E">
        <w:rPr>
          <w:b/>
        </w:rPr>
        <w:t xml:space="preserve"> įstatym</w:t>
      </w:r>
      <w:r w:rsidR="004A7D11">
        <w:rPr>
          <w:b/>
        </w:rPr>
        <w:t>ų</w:t>
      </w:r>
      <w:r w:rsidRPr="00A45C2E">
        <w:rPr>
          <w:b/>
        </w:rPr>
        <w:t xml:space="preserve"> įtaka kriminogeninei situacijai, korupcijai</w:t>
      </w:r>
    </w:p>
    <w:p w:rsidR="00122E44" w:rsidRDefault="00122E44" w:rsidP="00122E44">
      <w:pPr>
        <w:pStyle w:val="Hyperlink1"/>
        <w:spacing w:before="0" w:beforeAutospacing="0" w:after="0" w:afterAutospacing="0"/>
        <w:ind w:firstLine="720"/>
        <w:rPr>
          <w:color w:val="000000"/>
        </w:rPr>
      </w:pPr>
      <w:r w:rsidRPr="00CA0200">
        <w:t xml:space="preserve">Priėmus </w:t>
      </w:r>
      <w:r w:rsidR="003E2FD7">
        <w:t>Į</w:t>
      </w:r>
      <w:r>
        <w:t>statym</w:t>
      </w:r>
      <w:r w:rsidR="004A7D11">
        <w:t>ų</w:t>
      </w:r>
      <w:r>
        <w:t xml:space="preserve"> p</w:t>
      </w:r>
      <w:r w:rsidRPr="00CA0200">
        <w:t>rojekt</w:t>
      </w:r>
      <w:r w:rsidR="004A7D11">
        <w:t>us</w:t>
      </w:r>
      <w:r w:rsidRPr="00CA0200">
        <w:t>, įtakos kriminogeninei situacijai, korupcijai nenumatoma</w:t>
      </w:r>
      <w:r w:rsidRPr="00EF73F1">
        <w:rPr>
          <w:color w:val="000000"/>
        </w:rPr>
        <w:t>.</w:t>
      </w:r>
    </w:p>
    <w:p w:rsidR="00B707C3" w:rsidRPr="00EF73F1" w:rsidRDefault="00B707C3" w:rsidP="00122E44">
      <w:pPr>
        <w:pStyle w:val="Hyperlink1"/>
        <w:spacing w:before="0" w:beforeAutospacing="0" w:after="0" w:afterAutospacing="0"/>
        <w:ind w:firstLine="720"/>
        <w:rPr>
          <w:color w:val="000000"/>
        </w:rPr>
      </w:pPr>
    </w:p>
    <w:p w:rsidR="00122E44" w:rsidRPr="00EF73F1" w:rsidRDefault="009227DF" w:rsidP="00A32A8D">
      <w:pPr>
        <w:pStyle w:val="Hyperlink1"/>
        <w:keepNext/>
        <w:keepLines/>
        <w:numPr>
          <w:ilvl w:val="0"/>
          <w:numId w:val="1"/>
        </w:numPr>
        <w:tabs>
          <w:tab w:val="clear" w:pos="964"/>
          <w:tab w:val="left" w:pos="1077"/>
        </w:tabs>
        <w:spacing w:before="0" w:beforeAutospacing="0" w:after="0" w:afterAutospacing="0"/>
        <w:rPr>
          <w:b/>
        </w:rPr>
      </w:pPr>
      <w:r>
        <w:rPr>
          <w:b/>
        </w:rPr>
        <w:t>Galima priimt</w:t>
      </w:r>
      <w:r w:rsidR="004A7D11">
        <w:rPr>
          <w:b/>
        </w:rPr>
        <w:t>ų</w:t>
      </w:r>
      <w:r w:rsidR="00122E44">
        <w:rPr>
          <w:b/>
        </w:rPr>
        <w:t xml:space="preserve"> į</w:t>
      </w:r>
      <w:r w:rsidR="00122E44" w:rsidRPr="00CA0200">
        <w:rPr>
          <w:b/>
        </w:rPr>
        <w:t>statym</w:t>
      </w:r>
      <w:r w:rsidR="004A7D11">
        <w:rPr>
          <w:b/>
        </w:rPr>
        <w:t>ų</w:t>
      </w:r>
      <w:r w:rsidR="00122E44" w:rsidRPr="00CA0200">
        <w:rPr>
          <w:b/>
        </w:rPr>
        <w:t xml:space="preserve"> </w:t>
      </w:r>
      <w:r>
        <w:rPr>
          <w:b/>
        </w:rPr>
        <w:t>įtaka</w:t>
      </w:r>
      <w:r w:rsidR="00122E44" w:rsidRPr="00CA0200">
        <w:rPr>
          <w:b/>
        </w:rPr>
        <w:t xml:space="preserve"> verslo sąlygoms ir jo plėtrai</w:t>
      </w:r>
    </w:p>
    <w:p w:rsidR="00115490" w:rsidRPr="004719E4" w:rsidRDefault="00115490" w:rsidP="00115490">
      <w:pPr>
        <w:ind w:firstLine="709"/>
        <w:rPr>
          <w:color w:val="000000"/>
        </w:rPr>
      </w:pPr>
      <w:r w:rsidRPr="004719E4">
        <w:rPr>
          <w:color w:val="000000"/>
        </w:rPr>
        <w:t xml:space="preserve">Galimybė 2020 metų mokestinio laikotarpio nuostoliais sumažinti 2019 metų mokestinio laikotarpio apmokestinamąjį pelną leistų tikėtis teigiamos įtakos verslui, nes būtų sudarytos sąlygos nuostolių patiriantiems apmokestinamiesiems vienetams padidinti apyvartines lėšas susigrąžinant </w:t>
      </w:r>
      <w:r w:rsidRPr="004719E4">
        <w:rPr>
          <w:color w:val="000000"/>
        </w:rPr>
        <w:lastRenderedPageBreak/>
        <w:t xml:space="preserve">dalį sumokėto pelno mokesčio arba susimažinti turimus finansinius įsipareigojimus, įskaitant mokesčio permoką. </w:t>
      </w:r>
    </w:p>
    <w:p w:rsidR="00B707C3" w:rsidRPr="0079724F" w:rsidRDefault="00B707C3" w:rsidP="00122E44">
      <w:pPr>
        <w:pStyle w:val="Hyperlink1"/>
        <w:spacing w:before="0" w:beforeAutospacing="0" w:after="0" w:afterAutospacing="0"/>
        <w:ind w:firstLine="720"/>
        <w:rPr>
          <w:color w:val="000000" w:themeColor="text1"/>
        </w:rPr>
      </w:pPr>
    </w:p>
    <w:p w:rsidR="00122E44" w:rsidRPr="00EF73F1" w:rsidRDefault="00122E44" w:rsidP="00A32A8D">
      <w:pPr>
        <w:pStyle w:val="Hyperlink1"/>
        <w:keepNext/>
        <w:keepLines/>
        <w:numPr>
          <w:ilvl w:val="0"/>
          <w:numId w:val="1"/>
        </w:numPr>
        <w:tabs>
          <w:tab w:val="clear" w:pos="964"/>
          <w:tab w:val="left" w:pos="1077"/>
        </w:tabs>
        <w:spacing w:before="0" w:beforeAutospacing="0" w:after="0" w:afterAutospacing="0"/>
        <w:rPr>
          <w:b/>
        </w:rPr>
      </w:pPr>
      <w:r w:rsidRPr="00EF73F1">
        <w:rPr>
          <w:b/>
        </w:rPr>
        <w:t>Įstatym</w:t>
      </w:r>
      <w:r w:rsidR="004A7D11">
        <w:rPr>
          <w:b/>
        </w:rPr>
        <w:t>ų</w:t>
      </w:r>
      <w:r w:rsidRPr="00EF73F1">
        <w:rPr>
          <w:b/>
        </w:rPr>
        <w:t xml:space="preserve"> </w:t>
      </w:r>
      <w:r w:rsidR="009227DF">
        <w:rPr>
          <w:b/>
        </w:rPr>
        <w:t>projekt</w:t>
      </w:r>
      <w:r w:rsidR="004A7D11">
        <w:rPr>
          <w:b/>
        </w:rPr>
        <w:t>ų</w:t>
      </w:r>
      <w:r w:rsidR="009227DF">
        <w:rPr>
          <w:b/>
        </w:rPr>
        <w:t xml:space="preserve"> atitiktis </w:t>
      </w:r>
      <w:r w:rsidR="009227DF" w:rsidRPr="004F7326">
        <w:rPr>
          <w:b/>
        </w:rPr>
        <w:t>strateginio lygmens planavimo dokumentams</w:t>
      </w:r>
      <w:r w:rsidR="009227DF" w:rsidRPr="00EF73F1">
        <w:rPr>
          <w:b/>
        </w:rPr>
        <w:t xml:space="preserve"> </w:t>
      </w:r>
    </w:p>
    <w:p w:rsidR="00122E44" w:rsidRDefault="006C1119" w:rsidP="00122E44">
      <w:r w:rsidRPr="004F7326">
        <w:t>Įstatym</w:t>
      </w:r>
      <w:r w:rsidR="004A7D11">
        <w:t>ų</w:t>
      </w:r>
      <w:r w:rsidRPr="004F7326">
        <w:t xml:space="preserve"> projekta</w:t>
      </w:r>
      <w:r w:rsidR="004A7D11">
        <w:t>i</w:t>
      </w:r>
      <w:r w:rsidRPr="004F7326">
        <w:t xml:space="preserve"> neprieštarauja strateginio lygmens</w:t>
      </w:r>
      <w:r>
        <w:t xml:space="preserve"> planavimo dokumentams</w:t>
      </w:r>
      <w:r w:rsidR="00122E44" w:rsidRPr="004D4392">
        <w:rPr>
          <w:color w:val="000000"/>
          <w:shd w:val="clear" w:color="auto" w:fill="FFFFFF"/>
        </w:rPr>
        <w:t>.</w:t>
      </w:r>
    </w:p>
    <w:p w:rsidR="00122E44" w:rsidRDefault="00122E44" w:rsidP="007E7B69"/>
    <w:p w:rsidR="006C1119" w:rsidRDefault="006C1119" w:rsidP="00A32A8D">
      <w:pPr>
        <w:pStyle w:val="Hyperlink1"/>
        <w:keepNext/>
        <w:keepLines/>
        <w:numPr>
          <w:ilvl w:val="0"/>
          <w:numId w:val="1"/>
        </w:numPr>
        <w:tabs>
          <w:tab w:val="clear" w:pos="964"/>
          <w:tab w:val="left" w:pos="1077"/>
        </w:tabs>
        <w:spacing w:before="0" w:beforeAutospacing="0" w:after="0" w:afterAutospacing="0"/>
        <w:rPr>
          <w:b/>
        </w:rPr>
      </w:pPr>
      <w:r w:rsidRPr="00A45C2E">
        <w:rPr>
          <w:b/>
        </w:rPr>
        <w:t>Įstatym</w:t>
      </w:r>
      <w:r w:rsidR="004A7D11">
        <w:rPr>
          <w:b/>
        </w:rPr>
        <w:t>ų</w:t>
      </w:r>
      <w:r w:rsidRPr="00A45C2E">
        <w:rPr>
          <w:b/>
        </w:rPr>
        <w:t xml:space="preserve"> inkorporavimas į teisinę sistemą, kokius teisės aktus būtina priimti ir kokius galiojančius teisės aktus reikia pakeisti ar pripažinti netekusiais</w:t>
      </w:r>
      <w:r>
        <w:rPr>
          <w:b/>
        </w:rPr>
        <w:t xml:space="preserve"> galios</w:t>
      </w:r>
    </w:p>
    <w:p w:rsidR="006C1119" w:rsidRDefault="006C1119" w:rsidP="000070ED">
      <w:pPr>
        <w:pStyle w:val="Pagrindinistekstas"/>
        <w:spacing w:after="0"/>
        <w:ind w:firstLine="720"/>
        <w:jc w:val="both"/>
      </w:pPr>
      <w:r w:rsidRPr="00A45C2E" w:rsidDel="004E7AE5">
        <w:t>Priėmus Įstatym</w:t>
      </w:r>
      <w:r w:rsidR="004A7D11">
        <w:t>ų</w:t>
      </w:r>
      <w:r w:rsidRPr="00A45C2E" w:rsidDel="004E7AE5">
        <w:t xml:space="preserve"> projekt</w:t>
      </w:r>
      <w:r w:rsidR="004A7D11">
        <w:t>us</w:t>
      </w:r>
      <w:r>
        <w:t>,</w:t>
      </w:r>
      <w:r w:rsidRPr="00A45C2E" w:rsidDel="004E7AE5">
        <w:t xml:space="preserve"> </w:t>
      </w:r>
      <w:r w:rsidRPr="00DD403E">
        <w:rPr>
          <w:lang w:eastAsia="lt-LT"/>
        </w:rPr>
        <w:t>kitų galiojančių teisės aktų keisti ar pripažinti negaliojančiais nereikės</w:t>
      </w:r>
      <w:r>
        <w:rPr>
          <w:lang w:eastAsia="lt-LT"/>
        </w:rPr>
        <w:t>.</w:t>
      </w:r>
    </w:p>
    <w:p w:rsidR="006C1119" w:rsidRPr="006C1119" w:rsidRDefault="006C1119" w:rsidP="006C1119">
      <w:pPr>
        <w:pStyle w:val="Hyperlink1"/>
        <w:keepNext/>
        <w:keepLines/>
        <w:tabs>
          <w:tab w:val="left" w:pos="1077"/>
        </w:tabs>
        <w:spacing w:before="0" w:beforeAutospacing="0" w:after="0" w:afterAutospacing="0"/>
        <w:ind w:left="720"/>
      </w:pPr>
    </w:p>
    <w:p w:rsidR="00A32A8D" w:rsidRPr="00EF73F1" w:rsidRDefault="006C1119" w:rsidP="00A32A8D">
      <w:pPr>
        <w:pStyle w:val="Hyperlink1"/>
        <w:keepNext/>
        <w:keepLines/>
        <w:numPr>
          <w:ilvl w:val="0"/>
          <w:numId w:val="1"/>
        </w:numPr>
        <w:tabs>
          <w:tab w:val="clear" w:pos="964"/>
          <w:tab w:val="left" w:pos="1077"/>
        </w:tabs>
        <w:spacing w:before="0" w:beforeAutospacing="0" w:after="0" w:afterAutospacing="0"/>
        <w:rPr>
          <w:b/>
        </w:rPr>
      </w:pPr>
      <w:r>
        <w:rPr>
          <w:b/>
        </w:rPr>
        <w:t>Į</w:t>
      </w:r>
      <w:r w:rsidR="00A32A8D" w:rsidRPr="00EF73F1">
        <w:rPr>
          <w:b/>
        </w:rPr>
        <w:t>statym</w:t>
      </w:r>
      <w:r w:rsidR="004A7D11">
        <w:rPr>
          <w:b/>
        </w:rPr>
        <w:t>ų</w:t>
      </w:r>
      <w:r w:rsidR="00A32A8D" w:rsidRPr="00EF73F1">
        <w:rPr>
          <w:b/>
        </w:rPr>
        <w:t xml:space="preserve"> projekt</w:t>
      </w:r>
      <w:r w:rsidR="004A7D11">
        <w:rPr>
          <w:b/>
        </w:rPr>
        <w:t>ų</w:t>
      </w:r>
      <w:r w:rsidR="00A32A8D" w:rsidRPr="00EF73F1">
        <w:rPr>
          <w:b/>
        </w:rPr>
        <w:t xml:space="preserve"> </w:t>
      </w:r>
      <w:r w:rsidRPr="004F7326">
        <w:rPr>
          <w:b/>
        </w:rPr>
        <w:t>atitiktis Lietuvos Respublikos valstybinės kalbos, Teisėkūros pagrindų įstatymų reikalavimams ir Įstatym</w:t>
      </w:r>
      <w:r w:rsidR="009E2B18">
        <w:rPr>
          <w:b/>
        </w:rPr>
        <w:t>ų</w:t>
      </w:r>
      <w:r w:rsidRPr="004F7326">
        <w:rPr>
          <w:b/>
        </w:rPr>
        <w:t xml:space="preserve"> projekt</w:t>
      </w:r>
      <w:r w:rsidR="009E2B18">
        <w:rPr>
          <w:b/>
        </w:rPr>
        <w:t>ų</w:t>
      </w:r>
      <w:r w:rsidRPr="004F7326">
        <w:rPr>
          <w:b/>
        </w:rPr>
        <w:t xml:space="preserve"> sąvokų ir jas įvardijančių terminų įvertinimas Terminų banko įstatymo ir jo įgyvendinamųjų teisės</w:t>
      </w:r>
      <w:r w:rsidR="00A32A8D" w:rsidRPr="00EF73F1">
        <w:rPr>
          <w:b/>
        </w:rPr>
        <w:t xml:space="preserve"> aktų nustatyta tvarka</w:t>
      </w:r>
    </w:p>
    <w:p w:rsidR="00A32A8D" w:rsidRPr="00EF73F1" w:rsidRDefault="00A32A8D" w:rsidP="00A32A8D">
      <w:pPr>
        <w:pStyle w:val="Pagrindiniotekstotrauka"/>
        <w:rPr>
          <w:i w:val="0"/>
          <w:szCs w:val="24"/>
        </w:rPr>
      </w:pPr>
      <w:r>
        <w:rPr>
          <w:i w:val="0"/>
          <w:szCs w:val="24"/>
        </w:rPr>
        <w:t>Įstatym</w:t>
      </w:r>
      <w:r w:rsidR="004A7D11">
        <w:rPr>
          <w:i w:val="0"/>
          <w:szCs w:val="24"/>
        </w:rPr>
        <w:t>ų</w:t>
      </w:r>
      <w:r>
        <w:rPr>
          <w:i w:val="0"/>
          <w:szCs w:val="24"/>
        </w:rPr>
        <w:t xml:space="preserve"> p</w:t>
      </w:r>
      <w:r w:rsidRPr="00CA0200">
        <w:rPr>
          <w:i w:val="0"/>
          <w:szCs w:val="24"/>
        </w:rPr>
        <w:t>rojekta</w:t>
      </w:r>
      <w:r w:rsidR="004A7D11">
        <w:rPr>
          <w:i w:val="0"/>
          <w:szCs w:val="24"/>
        </w:rPr>
        <w:t>i</w:t>
      </w:r>
      <w:r w:rsidRPr="00CA0200">
        <w:rPr>
          <w:i w:val="0"/>
          <w:szCs w:val="24"/>
        </w:rPr>
        <w:t xml:space="preserve"> parengt</w:t>
      </w:r>
      <w:r w:rsidR="004A7D11">
        <w:rPr>
          <w:i w:val="0"/>
          <w:szCs w:val="24"/>
        </w:rPr>
        <w:t>i</w:t>
      </w:r>
      <w:r w:rsidRPr="00CA0200">
        <w:rPr>
          <w:i w:val="0"/>
          <w:szCs w:val="24"/>
        </w:rPr>
        <w:t xml:space="preserve"> laikantis </w:t>
      </w:r>
      <w:r w:rsidRPr="00211401">
        <w:rPr>
          <w:i w:val="0"/>
        </w:rPr>
        <w:t>Lietuvos Respublikos valstybinės kalbos, Teisėkūros pagrindų įstatymų reikalavimų</w:t>
      </w:r>
      <w:r w:rsidRPr="00211401">
        <w:rPr>
          <w:i w:val="0"/>
          <w:szCs w:val="24"/>
        </w:rPr>
        <w:t>.</w:t>
      </w:r>
      <w:r w:rsidRPr="00CA0200">
        <w:rPr>
          <w:i w:val="0"/>
          <w:szCs w:val="24"/>
        </w:rPr>
        <w:t xml:space="preserve"> </w:t>
      </w:r>
      <w:r w:rsidRPr="00531C85">
        <w:rPr>
          <w:i w:val="0"/>
          <w:color w:val="000000"/>
        </w:rPr>
        <w:t>Įstatym</w:t>
      </w:r>
      <w:r w:rsidR="004A7D11">
        <w:rPr>
          <w:i w:val="0"/>
          <w:color w:val="000000"/>
        </w:rPr>
        <w:t>ų</w:t>
      </w:r>
      <w:r w:rsidRPr="00531C85">
        <w:rPr>
          <w:i w:val="0"/>
          <w:color w:val="000000"/>
        </w:rPr>
        <w:t xml:space="preserve"> projekt</w:t>
      </w:r>
      <w:r w:rsidR="004A7D11">
        <w:rPr>
          <w:i w:val="0"/>
          <w:color w:val="000000"/>
        </w:rPr>
        <w:t>uos</w:t>
      </w:r>
      <w:r w:rsidRPr="00531C85">
        <w:rPr>
          <w:i w:val="0"/>
          <w:color w:val="000000"/>
        </w:rPr>
        <w:t>e</w:t>
      </w:r>
      <w:r w:rsidR="00F41CEE">
        <w:rPr>
          <w:i w:val="0"/>
          <w:color w:val="000000"/>
        </w:rPr>
        <w:t xml:space="preserve"> </w:t>
      </w:r>
      <w:r w:rsidR="004A7D11">
        <w:rPr>
          <w:i w:val="0"/>
          <w:color w:val="000000"/>
        </w:rPr>
        <w:t>ne</w:t>
      </w:r>
      <w:r w:rsidR="00F41CEE">
        <w:rPr>
          <w:i w:val="0"/>
          <w:color w:val="000000"/>
        </w:rPr>
        <w:t>apibrėžiam</w:t>
      </w:r>
      <w:r w:rsidR="004A7D11">
        <w:rPr>
          <w:i w:val="0"/>
          <w:color w:val="000000"/>
        </w:rPr>
        <w:t>os naujos</w:t>
      </w:r>
      <w:r w:rsidRPr="00531C85">
        <w:rPr>
          <w:i w:val="0"/>
          <w:color w:val="000000"/>
        </w:rPr>
        <w:t xml:space="preserve"> sąvok</w:t>
      </w:r>
      <w:r w:rsidR="004A7D11">
        <w:rPr>
          <w:i w:val="0"/>
          <w:color w:val="000000"/>
        </w:rPr>
        <w:t>os ir nekeičiamos esamos sąvokos ir terminai</w:t>
      </w:r>
      <w:r w:rsidRPr="00EF73F1">
        <w:rPr>
          <w:i w:val="0"/>
          <w:szCs w:val="24"/>
        </w:rPr>
        <w:t>.</w:t>
      </w:r>
    </w:p>
    <w:p w:rsidR="00A32A8D" w:rsidRPr="00EF73F1" w:rsidRDefault="00A32A8D" w:rsidP="00A32A8D">
      <w:pPr>
        <w:pStyle w:val="Pagrindiniotekstotrauka"/>
        <w:rPr>
          <w:b/>
          <w:i w:val="0"/>
          <w:szCs w:val="24"/>
        </w:rPr>
      </w:pPr>
    </w:p>
    <w:p w:rsidR="00A32A8D" w:rsidRPr="00EF73F1" w:rsidRDefault="006C1119" w:rsidP="00A32A8D">
      <w:pPr>
        <w:pStyle w:val="Pagrindiniotekstotrauka"/>
        <w:keepNext/>
        <w:keepLines/>
        <w:numPr>
          <w:ilvl w:val="0"/>
          <w:numId w:val="1"/>
        </w:numPr>
        <w:tabs>
          <w:tab w:val="clear" w:pos="964"/>
          <w:tab w:val="num" w:pos="1134"/>
        </w:tabs>
        <w:rPr>
          <w:b/>
          <w:i w:val="0"/>
          <w:szCs w:val="24"/>
        </w:rPr>
      </w:pPr>
      <w:r w:rsidRPr="006C1119">
        <w:rPr>
          <w:b/>
          <w:i w:val="0"/>
        </w:rPr>
        <w:t>Įstatym</w:t>
      </w:r>
      <w:r w:rsidR="004A7D11">
        <w:rPr>
          <w:b/>
          <w:i w:val="0"/>
        </w:rPr>
        <w:t>ų</w:t>
      </w:r>
      <w:r w:rsidRPr="006C1119">
        <w:rPr>
          <w:b/>
          <w:i w:val="0"/>
        </w:rPr>
        <w:t xml:space="preserve"> projekt</w:t>
      </w:r>
      <w:r w:rsidR="004A7D11">
        <w:rPr>
          <w:b/>
          <w:i w:val="0"/>
        </w:rPr>
        <w:t>ų</w:t>
      </w:r>
      <w:r w:rsidRPr="006C1119">
        <w:rPr>
          <w:b/>
          <w:i w:val="0"/>
        </w:rPr>
        <w:t xml:space="preserve"> atitiktis</w:t>
      </w:r>
      <w:r w:rsidRPr="004F7326">
        <w:rPr>
          <w:b/>
        </w:rPr>
        <w:t xml:space="preserve"> </w:t>
      </w:r>
      <w:r w:rsidR="00A32A8D" w:rsidRPr="00EF73F1">
        <w:rPr>
          <w:b/>
          <w:i w:val="0"/>
          <w:szCs w:val="24"/>
        </w:rPr>
        <w:t xml:space="preserve">Žmogaus teisių ir pagrindinių laisvių apsaugos konvencijos nuostatas ir Europos Sąjungos </w:t>
      </w:r>
      <w:r>
        <w:rPr>
          <w:b/>
          <w:i w:val="0"/>
          <w:szCs w:val="24"/>
        </w:rPr>
        <w:t>teisei</w:t>
      </w:r>
    </w:p>
    <w:p w:rsidR="00A32A8D" w:rsidRPr="00EF73F1" w:rsidRDefault="00A32A8D" w:rsidP="00A32A8D">
      <w:pPr>
        <w:pStyle w:val="Pagrindiniotekstotrauka"/>
        <w:rPr>
          <w:i w:val="0"/>
          <w:szCs w:val="24"/>
        </w:rPr>
      </w:pPr>
      <w:r w:rsidRPr="00EF73F1">
        <w:rPr>
          <w:i w:val="0"/>
          <w:szCs w:val="24"/>
        </w:rPr>
        <w:t>Įstatym</w:t>
      </w:r>
      <w:r w:rsidR="004A7D11">
        <w:rPr>
          <w:i w:val="0"/>
          <w:szCs w:val="24"/>
        </w:rPr>
        <w:t>ų</w:t>
      </w:r>
      <w:r w:rsidRPr="00EF73F1">
        <w:rPr>
          <w:i w:val="0"/>
          <w:szCs w:val="24"/>
        </w:rPr>
        <w:t xml:space="preserve"> projekt</w:t>
      </w:r>
      <w:r w:rsidR="004A7D11">
        <w:rPr>
          <w:i w:val="0"/>
          <w:szCs w:val="24"/>
        </w:rPr>
        <w:t>ų</w:t>
      </w:r>
      <w:r w:rsidRPr="00EF73F1">
        <w:rPr>
          <w:i w:val="0"/>
          <w:szCs w:val="24"/>
        </w:rPr>
        <w:t xml:space="preserve"> nuostatos neprieštarauja Žmogaus teisių ir pagrindinių laisvių apsaugos konvencijos nuostatoms</w:t>
      </w:r>
      <w:r>
        <w:rPr>
          <w:i w:val="0"/>
          <w:szCs w:val="24"/>
        </w:rPr>
        <w:t>,</w:t>
      </w:r>
      <w:r w:rsidRPr="00EF73F1">
        <w:rPr>
          <w:i w:val="0"/>
          <w:szCs w:val="24"/>
        </w:rPr>
        <w:t xml:space="preserve"> </w:t>
      </w:r>
      <w:r w:rsidR="009E2B18">
        <w:rPr>
          <w:i w:val="0"/>
          <w:szCs w:val="24"/>
        </w:rPr>
        <w:t>ES</w:t>
      </w:r>
      <w:r w:rsidR="001C46F5">
        <w:rPr>
          <w:i w:val="0"/>
          <w:szCs w:val="24"/>
        </w:rPr>
        <w:t xml:space="preserve"> </w:t>
      </w:r>
      <w:r w:rsidRPr="00EF73F1">
        <w:rPr>
          <w:i w:val="0"/>
          <w:szCs w:val="24"/>
        </w:rPr>
        <w:t>dokumentams.</w:t>
      </w:r>
    </w:p>
    <w:p w:rsidR="00A32A8D" w:rsidRPr="00EF73F1" w:rsidRDefault="00A32A8D" w:rsidP="00A32A8D">
      <w:pPr>
        <w:pStyle w:val="Pagrindiniotekstotrauka"/>
        <w:rPr>
          <w:i w:val="0"/>
          <w:szCs w:val="24"/>
        </w:rPr>
      </w:pPr>
    </w:p>
    <w:p w:rsidR="00A32A8D" w:rsidRPr="00EF73F1" w:rsidRDefault="006C1119" w:rsidP="00A32A8D">
      <w:pPr>
        <w:pStyle w:val="Pagrindiniotekstotrauka"/>
        <w:keepNext/>
        <w:keepLines/>
        <w:numPr>
          <w:ilvl w:val="0"/>
          <w:numId w:val="1"/>
        </w:numPr>
        <w:tabs>
          <w:tab w:val="left" w:pos="1134"/>
        </w:tabs>
        <w:outlineLvl w:val="0"/>
        <w:rPr>
          <w:b/>
          <w:i w:val="0"/>
          <w:szCs w:val="24"/>
        </w:rPr>
      </w:pPr>
      <w:r>
        <w:rPr>
          <w:b/>
          <w:i w:val="0"/>
          <w:szCs w:val="24"/>
        </w:rPr>
        <w:t>Į</w:t>
      </w:r>
      <w:r w:rsidR="00A32A8D" w:rsidRPr="00EF73F1">
        <w:rPr>
          <w:b/>
          <w:i w:val="0"/>
          <w:szCs w:val="24"/>
        </w:rPr>
        <w:t>statym</w:t>
      </w:r>
      <w:r w:rsidR="0090101D">
        <w:rPr>
          <w:b/>
          <w:i w:val="0"/>
          <w:szCs w:val="24"/>
        </w:rPr>
        <w:t>ams</w:t>
      </w:r>
      <w:r w:rsidR="00A32A8D" w:rsidRPr="00EF73F1">
        <w:rPr>
          <w:b/>
          <w:i w:val="0"/>
          <w:szCs w:val="24"/>
        </w:rPr>
        <w:t xml:space="preserve"> įgyvendinti reik</w:t>
      </w:r>
      <w:r>
        <w:rPr>
          <w:b/>
          <w:i w:val="0"/>
          <w:szCs w:val="24"/>
        </w:rPr>
        <w:t>alingi</w:t>
      </w:r>
      <w:r w:rsidR="00A32A8D" w:rsidRPr="00EF73F1">
        <w:rPr>
          <w:b/>
          <w:i w:val="0"/>
          <w:szCs w:val="24"/>
        </w:rPr>
        <w:t xml:space="preserve"> įgyvendinam</w:t>
      </w:r>
      <w:r>
        <w:rPr>
          <w:b/>
          <w:i w:val="0"/>
          <w:szCs w:val="24"/>
        </w:rPr>
        <w:t>ieji teisės aktai</w:t>
      </w:r>
      <w:r w:rsidR="00A32A8D" w:rsidRPr="00EF73F1">
        <w:rPr>
          <w:b/>
          <w:i w:val="0"/>
          <w:szCs w:val="24"/>
        </w:rPr>
        <w:t xml:space="preserve">, </w:t>
      </w:r>
      <w:r w:rsidRPr="006C1119">
        <w:rPr>
          <w:b/>
          <w:i w:val="0"/>
        </w:rPr>
        <w:t>šių aktų rengėjai ir</w:t>
      </w:r>
      <w:r w:rsidRPr="004F7326">
        <w:rPr>
          <w:b/>
        </w:rPr>
        <w:t xml:space="preserve"> </w:t>
      </w:r>
      <w:r>
        <w:rPr>
          <w:b/>
          <w:i w:val="0"/>
          <w:szCs w:val="24"/>
        </w:rPr>
        <w:t>terminai</w:t>
      </w:r>
    </w:p>
    <w:p w:rsidR="00A32A8D" w:rsidRPr="00A32A8D" w:rsidRDefault="00A32A8D" w:rsidP="00A32A8D">
      <w:r w:rsidRPr="001B7605">
        <w:t xml:space="preserve">Priėmus </w:t>
      </w:r>
      <w:r w:rsidR="0090101D">
        <w:rPr>
          <w:bCs/>
        </w:rPr>
        <w:t>2021 m. biudžeto įstatymo projektą</w:t>
      </w:r>
      <w:r w:rsidRPr="00CA0200">
        <w:t>,</w:t>
      </w:r>
      <w:r>
        <w:t xml:space="preserve"> </w:t>
      </w:r>
      <w:r w:rsidR="00FF14EA">
        <w:t>reikės patikslinti</w:t>
      </w:r>
      <w:r>
        <w:t xml:space="preserve"> Lietu</w:t>
      </w:r>
      <w:r w:rsidR="00FF14EA">
        <w:t>vos Respublikos Vyriausybės 202</w:t>
      </w:r>
      <w:r w:rsidR="00860248">
        <w:t>1 m. vasario 24</w:t>
      </w:r>
      <w:r>
        <w:t xml:space="preserve"> d. nutarimą Nr. </w:t>
      </w:r>
      <w:r w:rsidR="00FF14EA">
        <w:t>1</w:t>
      </w:r>
      <w:r w:rsidR="00860248">
        <w:t>17</w:t>
      </w:r>
      <w:r>
        <w:t xml:space="preserve"> „Dėl 20</w:t>
      </w:r>
      <w:r w:rsidR="00FF14EA">
        <w:t>2</w:t>
      </w:r>
      <w:r w:rsidR="00860248">
        <w:t>1</w:t>
      </w:r>
      <w:r>
        <w:t xml:space="preserve"> metų Lietuvos Respublikos valstybės biudžeto patvirtintų asignavimų paskirstymo pagal programas“.</w:t>
      </w:r>
    </w:p>
    <w:p w:rsidR="00115490" w:rsidRPr="00A32A8D" w:rsidRDefault="00115490" w:rsidP="00115490">
      <w:r>
        <w:rPr>
          <w:color w:val="000000"/>
        </w:rPr>
        <w:t xml:space="preserve">Priėmus </w:t>
      </w:r>
      <w:r>
        <w:rPr>
          <w:bCs/>
          <w:color w:val="000000"/>
        </w:rPr>
        <w:t>P</w:t>
      </w:r>
      <w:r w:rsidRPr="002E4B5D">
        <w:rPr>
          <w:bCs/>
          <w:color w:val="000000"/>
        </w:rPr>
        <w:t xml:space="preserve">elno mokesčio įstatymo </w:t>
      </w:r>
      <w:r>
        <w:rPr>
          <w:color w:val="000000"/>
        </w:rPr>
        <w:t xml:space="preserve">projektą, </w:t>
      </w:r>
      <w:r w:rsidRPr="004D5205">
        <w:t>turės būti pakeisti jo įgyvendinamieji teisės aktai, susiję su mokesčio deklaravimo tvarka (rengėja – Valstybinė mokesčių inspekcija prie Lietuvos Respublikos finansų ministerijos).</w:t>
      </w:r>
    </w:p>
    <w:p w:rsidR="00A32A8D" w:rsidRPr="00EF73F1" w:rsidRDefault="00A32A8D" w:rsidP="00A32A8D">
      <w:pPr>
        <w:pStyle w:val="Pagrindiniotekstotrauka"/>
        <w:ind w:firstLine="0"/>
        <w:outlineLvl w:val="0"/>
        <w:rPr>
          <w:b/>
          <w:i w:val="0"/>
          <w:szCs w:val="24"/>
        </w:rPr>
      </w:pPr>
    </w:p>
    <w:p w:rsidR="00A32A8D" w:rsidRDefault="00A32A8D" w:rsidP="00A32A8D">
      <w:pPr>
        <w:pStyle w:val="Pagrindiniotekstotrauka"/>
        <w:keepNext/>
        <w:keepLines/>
        <w:numPr>
          <w:ilvl w:val="0"/>
          <w:numId w:val="1"/>
        </w:numPr>
        <w:tabs>
          <w:tab w:val="left" w:pos="1077"/>
          <w:tab w:val="num" w:pos="1134"/>
        </w:tabs>
        <w:outlineLvl w:val="0"/>
        <w:rPr>
          <w:b/>
          <w:i w:val="0"/>
          <w:szCs w:val="24"/>
        </w:rPr>
      </w:pPr>
      <w:r w:rsidRPr="00E72881">
        <w:rPr>
          <w:b/>
          <w:i w:val="0"/>
          <w:szCs w:val="24"/>
        </w:rPr>
        <w:t>Kiek valstybės, savivaldybių biudžetų ir kitų valstybės įsteigtų fondų lėšų prireiks įstatym</w:t>
      </w:r>
      <w:r w:rsidR="00115490">
        <w:rPr>
          <w:b/>
          <w:i w:val="0"/>
          <w:szCs w:val="24"/>
        </w:rPr>
        <w:t>ams</w:t>
      </w:r>
      <w:r w:rsidRPr="00E72881">
        <w:rPr>
          <w:b/>
          <w:i w:val="0"/>
          <w:szCs w:val="24"/>
        </w:rPr>
        <w:t xml:space="preserve"> įgyvendinti, ar bus galima sutaupyti </w:t>
      </w:r>
    </w:p>
    <w:p w:rsidR="00A32A8D" w:rsidRPr="003F7080" w:rsidRDefault="00115490" w:rsidP="00A32A8D">
      <w:r w:rsidRPr="00C466F8">
        <w:t xml:space="preserve">Priėmus </w:t>
      </w:r>
      <w:r>
        <w:rPr>
          <w:bCs/>
          <w:color w:val="000000"/>
        </w:rPr>
        <w:t>P</w:t>
      </w:r>
      <w:r w:rsidRPr="002E4B5D">
        <w:rPr>
          <w:bCs/>
          <w:color w:val="000000"/>
        </w:rPr>
        <w:t>elno mokesčio įstatymo</w:t>
      </w:r>
      <w:r w:rsidRPr="00C466F8">
        <w:t xml:space="preserve"> projektą, </w:t>
      </w:r>
      <w:r w:rsidRPr="00C466F8">
        <w:rPr>
          <w:color w:val="000000"/>
          <w:lang w:eastAsia="lt-LT"/>
        </w:rPr>
        <w:t>preliminariu vertinimu</w:t>
      </w:r>
      <w:r>
        <w:rPr>
          <w:color w:val="000000"/>
          <w:lang w:eastAsia="lt-LT"/>
        </w:rPr>
        <w:t>,</w:t>
      </w:r>
      <w:r w:rsidRPr="00C466F8">
        <w:rPr>
          <w:color w:val="000000"/>
          <w:lang w:eastAsia="lt-LT"/>
        </w:rPr>
        <w:t xml:space="preserve"> </w:t>
      </w:r>
      <w:r w:rsidRPr="00C466F8">
        <w:rPr>
          <w:bCs/>
          <w:color w:val="000000"/>
          <w:lang w:eastAsia="lt-LT"/>
        </w:rPr>
        <w:t xml:space="preserve">2021 </w:t>
      </w:r>
      <w:r>
        <w:rPr>
          <w:color w:val="000000"/>
          <w:lang w:eastAsia="lt-LT"/>
        </w:rPr>
        <w:t>metų</w:t>
      </w:r>
      <w:r w:rsidRPr="00C466F8">
        <w:rPr>
          <w:color w:val="000000"/>
          <w:lang w:eastAsia="lt-LT"/>
        </w:rPr>
        <w:t xml:space="preserve"> valstybės biudžeto pajamos iš pelno mokesčio galėtų būti apie </w:t>
      </w:r>
      <w:r w:rsidRPr="00C466F8">
        <w:rPr>
          <w:bCs/>
          <w:color w:val="000000"/>
          <w:lang w:eastAsia="lt-LT"/>
        </w:rPr>
        <w:t>66 mln. eurų mažesnės</w:t>
      </w:r>
      <w:r>
        <w:rPr>
          <w:bCs/>
          <w:color w:val="000000"/>
          <w:lang w:eastAsia="lt-LT"/>
        </w:rPr>
        <w:t>, nei planuota</w:t>
      </w:r>
      <w:r w:rsidRPr="00C466F8">
        <w:rPr>
          <w:bCs/>
          <w:color w:val="000000"/>
          <w:lang w:eastAsia="lt-LT"/>
        </w:rPr>
        <w:t xml:space="preserve">, tačiau </w:t>
      </w:r>
      <w:r w:rsidRPr="00C466F8">
        <w:rPr>
          <w:color w:val="000000"/>
          <w:lang w:eastAsia="lt-LT"/>
        </w:rPr>
        <w:t xml:space="preserve">siūlomų pakeitimų nulemtas neigiamas poveikis valstybės biudžetui vidutiniu </w:t>
      </w:r>
      <w:r>
        <w:rPr>
          <w:color w:val="000000"/>
          <w:lang w:eastAsia="lt-LT"/>
        </w:rPr>
        <w:t>ar</w:t>
      </w:r>
      <w:r w:rsidRPr="00C466F8">
        <w:rPr>
          <w:color w:val="000000"/>
          <w:lang w:eastAsia="lt-LT"/>
        </w:rPr>
        <w:t xml:space="preserve"> ilguoju laikotarpiu iš esmės taptų neutralus</w:t>
      </w:r>
      <w:r w:rsidR="009E2B18">
        <w:rPr>
          <w:color w:val="000000"/>
          <w:lang w:eastAsia="lt-LT"/>
        </w:rPr>
        <w:t>.</w:t>
      </w:r>
      <w:r w:rsidRPr="00C466F8">
        <w:rPr>
          <w:color w:val="000000"/>
          <w:lang w:eastAsia="lt-LT"/>
        </w:rPr>
        <w:t xml:space="preserve"> </w:t>
      </w:r>
      <w:r w:rsidR="009E2B18">
        <w:rPr>
          <w:color w:val="000000"/>
          <w:lang w:eastAsia="lt-LT"/>
        </w:rPr>
        <w:t>N</w:t>
      </w:r>
      <w:r w:rsidRPr="00C466F8">
        <w:rPr>
          <w:color w:val="000000"/>
          <w:lang w:eastAsia="lt-LT"/>
        </w:rPr>
        <w:t xml:space="preserve">epriėmus Įstatymo projekto, </w:t>
      </w:r>
      <w:r>
        <w:rPr>
          <w:color w:val="000000"/>
          <w:lang w:eastAsia="lt-LT"/>
        </w:rPr>
        <w:t xml:space="preserve">apmokestinamieji </w:t>
      </w:r>
      <w:r w:rsidRPr="00C466F8">
        <w:rPr>
          <w:color w:val="000000"/>
          <w:lang w:eastAsia="lt-LT"/>
        </w:rPr>
        <w:t xml:space="preserve">vienetai 2020 metais patirtą nuostolį pagal šiuo metu galiojančias Pelno mokesčio įstatymo nuostatas atskaitytų artimiausiais pelningais mokestiniais laikotarpiais, todėl atitinkamo dydžio valstybės biudžeto netekimai susiformuotų 2022 ir vėlesniais metais, deklaruojant 2021 </w:t>
      </w:r>
      <w:r>
        <w:rPr>
          <w:color w:val="000000"/>
          <w:lang w:eastAsia="lt-LT"/>
        </w:rPr>
        <w:t xml:space="preserve">metų </w:t>
      </w:r>
      <w:r w:rsidRPr="00C466F8">
        <w:rPr>
          <w:color w:val="000000"/>
          <w:lang w:eastAsia="lt-LT"/>
        </w:rPr>
        <w:t>ir vėlesnių metų apmokestinamąjį pelną</w:t>
      </w:r>
      <w:r w:rsidR="00A32A8D" w:rsidRPr="0054523B">
        <w:t>.</w:t>
      </w:r>
    </w:p>
    <w:p w:rsidR="00A32A8D" w:rsidRPr="003F7080" w:rsidRDefault="00A32A8D" w:rsidP="00A32A8D">
      <w:pPr>
        <w:pStyle w:val="Pagrindiniotekstotrauka"/>
        <w:keepNext/>
        <w:keepLines/>
        <w:tabs>
          <w:tab w:val="left" w:pos="1134"/>
        </w:tabs>
        <w:ind w:left="720" w:firstLine="0"/>
        <w:outlineLvl w:val="0"/>
        <w:rPr>
          <w:b/>
          <w:i w:val="0"/>
          <w:szCs w:val="24"/>
        </w:rPr>
      </w:pPr>
    </w:p>
    <w:p w:rsidR="00A32A8D" w:rsidRPr="00EF73F1" w:rsidRDefault="00A32A8D" w:rsidP="00A32A8D">
      <w:pPr>
        <w:pStyle w:val="Pagrindiniotekstotrauka"/>
        <w:keepNext/>
        <w:keepLines/>
        <w:numPr>
          <w:ilvl w:val="0"/>
          <w:numId w:val="1"/>
        </w:numPr>
        <w:tabs>
          <w:tab w:val="num" w:pos="1134"/>
        </w:tabs>
        <w:outlineLvl w:val="0"/>
        <w:rPr>
          <w:b/>
          <w:i w:val="0"/>
          <w:szCs w:val="24"/>
        </w:rPr>
      </w:pPr>
      <w:r w:rsidRPr="00EF73F1">
        <w:rPr>
          <w:b/>
          <w:i w:val="0"/>
          <w:szCs w:val="24"/>
        </w:rPr>
        <w:t>Įstatym</w:t>
      </w:r>
      <w:r w:rsidR="00115490">
        <w:rPr>
          <w:b/>
          <w:i w:val="0"/>
          <w:szCs w:val="24"/>
        </w:rPr>
        <w:t>ų</w:t>
      </w:r>
      <w:r w:rsidRPr="00EF73F1">
        <w:rPr>
          <w:b/>
          <w:i w:val="0"/>
          <w:szCs w:val="24"/>
        </w:rPr>
        <w:t xml:space="preserve"> projekt</w:t>
      </w:r>
      <w:r w:rsidR="00115490">
        <w:rPr>
          <w:b/>
          <w:i w:val="0"/>
          <w:szCs w:val="24"/>
        </w:rPr>
        <w:t>ų</w:t>
      </w:r>
      <w:r w:rsidRPr="00EF73F1">
        <w:rPr>
          <w:b/>
          <w:i w:val="0"/>
          <w:szCs w:val="24"/>
        </w:rPr>
        <w:t xml:space="preserve"> rengimo metu gauti specialistų vertinimai </w:t>
      </w:r>
      <w:r w:rsidR="006C1119">
        <w:rPr>
          <w:b/>
          <w:i w:val="0"/>
          <w:szCs w:val="24"/>
        </w:rPr>
        <w:t xml:space="preserve">rekomendacijos </w:t>
      </w:r>
      <w:r w:rsidRPr="00EF73F1">
        <w:rPr>
          <w:b/>
          <w:i w:val="0"/>
          <w:szCs w:val="24"/>
        </w:rPr>
        <w:t>ir išvados</w:t>
      </w:r>
    </w:p>
    <w:p w:rsidR="00A32A8D" w:rsidRPr="00115490" w:rsidRDefault="00115490" w:rsidP="00A32A8D">
      <w:pPr>
        <w:pStyle w:val="Pagrindiniotekstotrauka"/>
        <w:rPr>
          <w:b/>
          <w:i w:val="0"/>
          <w:szCs w:val="24"/>
        </w:rPr>
      </w:pPr>
      <w:r w:rsidRPr="00115490">
        <w:rPr>
          <w:bCs/>
          <w:i w:val="0"/>
          <w:color w:val="000000"/>
        </w:rPr>
        <w:t>Pelno mokesčio</w:t>
      </w:r>
      <w:r w:rsidRPr="002E4B5D">
        <w:rPr>
          <w:bCs/>
          <w:color w:val="000000"/>
        </w:rPr>
        <w:t xml:space="preserve"> </w:t>
      </w:r>
      <w:r w:rsidR="009E2B18">
        <w:rPr>
          <w:bCs/>
          <w:i w:val="0"/>
          <w:szCs w:val="24"/>
        </w:rPr>
        <w:t>į</w:t>
      </w:r>
      <w:r w:rsidRPr="00115490">
        <w:rPr>
          <w:bCs/>
          <w:i w:val="0"/>
          <w:szCs w:val="24"/>
        </w:rPr>
        <w:t xml:space="preserve">statymo projektas pateiktas vertinti verslo asociacijoms, kurios iš esmės </w:t>
      </w:r>
      <w:r w:rsidR="009E2B18">
        <w:rPr>
          <w:bCs/>
          <w:i w:val="0"/>
          <w:szCs w:val="24"/>
        </w:rPr>
        <w:t xml:space="preserve">šiam </w:t>
      </w:r>
      <w:r w:rsidRPr="00115490">
        <w:rPr>
          <w:bCs/>
          <w:i w:val="0"/>
          <w:szCs w:val="24"/>
        </w:rPr>
        <w:t>projektui pritarė</w:t>
      </w:r>
      <w:r w:rsidR="00A32A8D" w:rsidRPr="00115490">
        <w:rPr>
          <w:i w:val="0"/>
          <w:szCs w:val="24"/>
        </w:rPr>
        <w:t>.</w:t>
      </w:r>
    </w:p>
    <w:p w:rsidR="00A32A8D" w:rsidRPr="00EF73F1" w:rsidRDefault="00A32A8D" w:rsidP="00A32A8D"/>
    <w:p w:rsidR="00A32A8D" w:rsidRPr="00EF73F1" w:rsidRDefault="00A32A8D" w:rsidP="00A32A8D">
      <w:pPr>
        <w:keepNext/>
        <w:keepLines/>
        <w:numPr>
          <w:ilvl w:val="0"/>
          <w:numId w:val="1"/>
        </w:numPr>
        <w:tabs>
          <w:tab w:val="left" w:pos="1134"/>
        </w:tabs>
        <w:rPr>
          <w:b/>
        </w:rPr>
      </w:pPr>
      <w:r w:rsidRPr="00EF73F1">
        <w:rPr>
          <w:b/>
        </w:rPr>
        <w:t xml:space="preserve">Reikšminiai žodžiai, kurių reikia </w:t>
      </w:r>
      <w:r w:rsidR="009E2B18">
        <w:rPr>
          <w:b/>
        </w:rPr>
        <w:t>Įstatymų</w:t>
      </w:r>
      <w:r w:rsidRPr="00EF73F1">
        <w:rPr>
          <w:b/>
        </w:rPr>
        <w:t xml:space="preserve"> projekt</w:t>
      </w:r>
      <w:r w:rsidR="009E2B18">
        <w:rPr>
          <w:b/>
        </w:rPr>
        <w:t>ams</w:t>
      </w:r>
      <w:r w:rsidRPr="00EF73F1">
        <w:rPr>
          <w:b/>
        </w:rPr>
        <w:t xml:space="preserve"> įtraukti į kompiuterinę paieškos sistemą, įskaitant Europos žodyno „</w:t>
      </w:r>
      <w:proofErr w:type="spellStart"/>
      <w:r w:rsidRPr="006C1119">
        <w:rPr>
          <w:b/>
          <w:i/>
        </w:rPr>
        <w:t>Eurovoc</w:t>
      </w:r>
      <w:proofErr w:type="spellEnd"/>
      <w:r w:rsidRPr="00EF73F1">
        <w:rPr>
          <w:b/>
        </w:rPr>
        <w:t>“ terminus, temas bei sritis</w:t>
      </w:r>
    </w:p>
    <w:p w:rsidR="00A32A8D" w:rsidRDefault="00A32A8D" w:rsidP="00A32A8D">
      <w:r w:rsidRPr="00EF73F1">
        <w:t>„Biudžetas“</w:t>
      </w:r>
      <w:r w:rsidR="00FF14EA">
        <w:t>, „asignavimai“</w:t>
      </w:r>
      <w:r w:rsidR="00115490">
        <w:t xml:space="preserve">, „pelno mokestis“, </w:t>
      </w:r>
      <w:r w:rsidR="00115490">
        <w:rPr>
          <w:bCs/>
        </w:rPr>
        <w:t>„</w:t>
      </w:r>
      <w:r w:rsidR="009E2B18">
        <w:rPr>
          <w:bCs/>
        </w:rPr>
        <w:t>n</w:t>
      </w:r>
      <w:r w:rsidR="00115490">
        <w:rPr>
          <w:bCs/>
        </w:rPr>
        <w:t>uostoliai“, „nuostolių perkėlimas“</w:t>
      </w:r>
      <w:r w:rsidRPr="00EF73F1">
        <w:t>.</w:t>
      </w:r>
    </w:p>
    <w:p w:rsidR="00A32A8D" w:rsidRPr="007E7B69" w:rsidRDefault="00A32A8D" w:rsidP="007E7B69"/>
    <w:p w:rsidR="00F76EE8" w:rsidRDefault="00F76EE8" w:rsidP="00F76EE8">
      <w:pPr>
        <w:keepNext/>
        <w:keepLines/>
        <w:numPr>
          <w:ilvl w:val="0"/>
          <w:numId w:val="1"/>
        </w:numPr>
        <w:tabs>
          <w:tab w:val="clear" w:pos="964"/>
          <w:tab w:val="left" w:pos="1077"/>
        </w:tabs>
        <w:rPr>
          <w:b/>
        </w:rPr>
      </w:pPr>
      <w:r w:rsidRPr="00ED368D">
        <w:rPr>
          <w:b/>
        </w:rPr>
        <w:lastRenderedPageBreak/>
        <w:t>Kiti, iniciatorių nuomone, reikalingi pagrindimai ir paaiškinimai</w:t>
      </w:r>
    </w:p>
    <w:p w:rsidR="00115490" w:rsidRPr="00115490" w:rsidRDefault="00115490" w:rsidP="00115490">
      <w:pPr>
        <w:keepNext/>
        <w:keepLines/>
        <w:tabs>
          <w:tab w:val="left" w:pos="1077"/>
        </w:tabs>
        <w:ind w:left="720" w:firstLine="0"/>
      </w:pPr>
      <w:r w:rsidRPr="00115490">
        <w:t>Nėra.</w:t>
      </w:r>
    </w:p>
    <w:p w:rsidR="00FF14EA" w:rsidRPr="00ED368D" w:rsidRDefault="00FF14EA" w:rsidP="00FF14EA">
      <w:pPr>
        <w:jc w:val="center"/>
      </w:pPr>
      <w:r>
        <w:t>____________________</w:t>
      </w:r>
    </w:p>
    <w:sectPr w:rsidR="00FF14EA" w:rsidRPr="00ED368D" w:rsidSect="000070ED">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C06" w:rsidRDefault="00B65C06" w:rsidP="00F80E70">
      <w:r>
        <w:separator/>
      </w:r>
    </w:p>
  </w:endnote>
  <w:endnote w:type="continuationSeparator" w:id="0">
    <w:p w:rsidR="00B65C06" w:rsidRDefault="00B65C06" w:rsidP="00F8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C06" w:rsidRDefault="00B65C06" w:rsidP="00F80E70">
      <w:r>
        <w:separator/>
      </w:r>
    </w:p>
  </w:footnote>
  <w:footnote w:type="continuationSeparator" w:id="0">
    <w:p w:rsidR="00B65C06" w:rsidRDefault="00B65C06" w:rsidP="00F80E70">
      <w:r>
        <w:continuationSeparator/>
      </w:r>
    </w:p>
  </w:footnote>
  <w:footnote w:id="1">
    <w:p w:rsidR="00281F40" w:rsidRPr="008C5CE0" w:rsidRDefault="00281F40" w:rsidP="00281F40">
      <w:pPr>
        <w:pStyle w:val="Puslapioinaostekstas"/>
        <w:rPr>
          <w:highlight w:val="lightGray"/>
        </w:rPr>
      </w:pPr>
      <w:r>
        <w:rPr>
          <w:rStyle w:val="Puslapioinaosnuoroda"/>
        </w:rPr>
        <w:footnoteRef/>
      </w:r>
      <w:r>
        <w:t xml:space="preserve"> Lietuvos Respublikos </w:t>
      </w:r>
      <w:r>
        <w:rPr>
          <w:bCs/>
          <w:color w:val="333333"/>
          <w:shd w:val="clear" w:color="auto" w:fill="FFFFFF"/>
        </w:rPr>
        <w:t>p</w:t>
      </w:r>
      <w:r w:rsidRPr="005A1742">
        <w:rPr>
          <w:bCs/>
          <w:color w:val="333333"/>
          <w:shd w:val="clear" w:color="auto" w:fill="FFFFFF"/>
        </w:rPr>
        <w:t>ridėtinės vertės mokesčio įstatymo Nr. IX-751 19 straipsnio pakeitimo įstatymo projektas</w:t>
      </w:r>
      <w:r>
        <w:rPr>
          <w:bCs/>
          <w:color w:val="333333"/>
          <w:shd w:val="clear" w:color="auto" w:fill="FFFFFF"/>
        </w:rPr>
        <w:t xml:space="preserve"> Nr. XIIIP-4714(2).</w:t>
      </w:r>
    </w:p>
  </w:footnote>
  <w:footnote w:id="2">
    <w:p w:rsidR="00281F40" w:rsidRPr="00C76DC6" w:rsidRDefault="00281F40" w:rsidP="00281F40">
      <w:pPr>
        <w:pStyle w:val="Puslapioinaostekstas"/>
        <w:rPr>
          <w:bCs/>
          <w:color w:val="333333"/>
          <w:shd w:val="clear" w:color="auto" w:fill="FFFFFF"/>
        </w:rPr>
      </w:pPr>
      <w:r>
        <w:rPr>
          <w:rStyle w:val="Puslapioinaosnuoroda"/>
        </w:rPr>
        <w:footnoteRef/>
      </w:r>
      <w:r>
        <w:t xml:space="preserve"> Lietuvos Respublikos </w:t>
      </w:r>
      <w:r>
        <w:rPr>
          <w:bCs/>
          <w:color w:val="333333"/>
          <w:shd w:val="clear" w:color="auto" w:fill="FFFFFF"/>
        </w:rPr>
        <w:t>p</w:t>
      </w:r>
      <w:r w:rsidRPr="00C76DC6">
        <w:rPr>
          <w:bCs/>
          <w:color w:val="333333"/>
          <w:shd w:val="clear" w:color="auto" w:fill="FFFFFF"/>
        </w:rPr>
        <w:t>elno mokesčio įstatymo Nr. IX-675 30 straipsnio pakeitimo įstatymo projektas Nr. 21-23810</w:t>
      </w:r>
      <w:r>
        <w:rPr>
          <w:bCs/>
          <w:color w:val="333333"/>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684633"/>
      <w:docPartObj>
        <w:docPartGallery w:val="Page Numbers (Top of Page)"/>
        <w:docPartUnique/>
      </w:docPartObj>
    </w:sdtPr>
    <w:sdtEndPr/>
    <w:sdtContent>
      <w:p w:rsidR="001C2F45" w:rsidRDefault="001C2F45">
        <w:pPr>
          <w:pStyle w:val="Antrats"/>
          <w:jc w:val="center"/>
        </w:pPr>
        <w:r>
          <w:fldChar w:fldCharType="begin"/>
        </w:r>
        <w:r>
          <w:instrText>PAGE   \* MERGEFORMAT</w:instrText>
        </w:r>
        <w:r>
          <w:fldChar w:fldCharType="separate"/>
        </w:r>
        <w:r w:rsidR="00A95112">
          <w:rPr>
            <w:noProof/>
          </w:rPr>
          <w:t>3</w:t>
        </w:r>
        <w:r>
          <w:fldChar w:fldCharType="end"/>
        </w:r>
      </w:p>
    </w:sdtContent>
  </w:sdt>
  <w:p w:rsidR="001C2F45" w:rsidRDefault="001C2F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02FB"/>
    <w:multiLevelType w:val="hybridMultilevel"/>
    <w:tmpl w:val="235241C8"/>
    <w:lvl w:ilvl="0" w:tplc="F006973A">
      <w:start w:val="4"/>
      <w:numFmt w:val="bullet"/>
      <w:lvlText w:val="-"/>
      <w:lvlJc w:val="left"/>
      <w:pPr>
        <w:ind w:left="1086" w:hanging="360"/>
      </w:pPr>
      <w:rPr>
        <w:rFonts w:ascii="Times New Roman" w:eastAsia="Times New Roman"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1">
    <w:nsid w:val="3F8631D3"/>
    <w:multiLevelType w:val="hybridMultilevel"/>
    <w:tmpl w:val="2E40D5E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
    <w:nsid w:val="604F0BAC"/>
    <w:multiLevelType w:val="hybridMultilevel"/>
    <w:tmpl w:val="4B22CD9E"/>
    <w:lvl w:ilvl="0" w:tplc="7A4AC5D4">
      <w:start w:val="1"/>
      <w:numFmt w:val="decimal"/>
      <w:lvlText w:val="%1."/>
      <w:lvlJc w:val="left"/>
      <w:pPr>
        <w:tabs>
          <w:tab w:val="num" w:pos="964"/>
        </w:tabs>
        <w:ind w:left="0" w:firstLine="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nsid w:val="7A69594B"/>
    <w:multiLevelType w:val="hybridMultilevel"/>
    <w:tmpl w:val="E27EAAC6"/>
    <w:lvl w:ilvl="0" w:tplc="BBB8F14C">
      <w:start w:val="1"/>
      <w:numFmt w:val="decimal"/>
      <w:lvlText w:val="%1."/>
      <w:lvlJc w:val="left"/>
      <w:pPr>
        <w:tabs>
          <w:tab w:val="num" w:pos="1021"/>
        </w:tabs>
        <w:ind w:left="0" w:firstLine="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D6"/>
    <w:rsid w:val="000070ED"/>
    <w:rsid w:val="0001058A"/>
    <w:rsid w:val="0001233B"/>
    <w:rsid w:val="00022685"/>
    <w:rsid w:val="00050BD8"/>
    <w:rsid w:val="00053594"/>
    <w:rsid w:val="000654A4"/>
    <w:rsid w:val="00076126"/>
    <w:rsid w:val="0007778A"/>
    <w:rsid w:val="00090D4C"/>
    <w:rsid w:val="00092054"/>
    <w:rsid w:val="000C345D"/>
    <w:rsid w:val="000C788E"/>
    <w:rsid w:val="000F7560"/>
    <w:rsid w:val="00115490"/>
    <w:rsid w:val="00115A41"/>
    <w:rsid w:val="00122E44"/>
    <w:rsid w:val="001274EA"/>
    <w:rsid w:val="00131F25"/>
    <w:rsid w:val="00134144"/>
    <w:rsid w:val="0019211A"/>
    <w:rsid w:val="001941C2"/>
    <w:rsid w:val="00194B4B"/>
    <w:rsid w:val="001B7605"/>
    <w:rsid w:val="001C2F45"/>
    <w:rsid w:val="001C46F5"/>
    <w:rsid w:val="001E0BCD"/>
    <w:rsid w:val="001E6053"/>
    <w:rsid w:val="002015B2"/>
    <w:rsid w:val="00204345"/>
    <w:rsid w:val="00206890"/>
    <w:rsid w:val="00216AB3"/>
    <w:rsid w:val="00231687"/>
    <w:rsid w:val="002404D8"/>
    <w:rsid w:val="00243044"/>
    <w:rsid w:val="00246A20"/>
    <w:rsid w:val="00265C85"/>
    <w:rsid w:val="00272A00"/>
    <w:rsid w:val="00281F40"/>
    <w:rsid w:val="002C1AB8"/>
    <w:rsid w:val="002E0687"/>
    <w:rsid w:val="002E06AA"/>
    <w:rsid w:val="002E4F2B"/>
    <w:rsid w:val="002F71D6"/>
    <w:rsid w:val="00317ACC"/>
    <w:rsid w:val="00317D43"/>
    <w:rsid w:val="00317F7D"/>
    <w:rsid w:val="00331DA0"/>
    <w:rsid w:val="00350260"/>
    <w:rsid w:val="00375BB2"/>
    <w:rsid w:val="00396F5F"/>
    <w:rsid w:val="003A1ADA"/>
    <w:rsid w:val="003B5CCE"/>
    <w:rsid w:val="003C049F"/>
    <w:rsid w:val="003D4A46"/>
    <w:rsid w:val="003E2FD7"/>
    <w:rsid w:val="003F657D"/>
    <w:rsid w:val="00417AEF"/>
    <w:rsid w:val="00422FF9"/>
    <w:rsid w:val="0043339C"/>
    <w:rsid w:val="004622D6"/>
    <w:rsid w:val="00486E89"/>
    <w:rsid w:val="004A7D11"/>
    <w:rsid w:val="004C2C66"/>
    <w:rsid w:val="004E1F96"/>
    <w:rsid w:val="00523757"/>
    <w:rsid w:val="00524840"/>
    <w:rsid w:val="00525B94"/>
    <w:rsid w:val="00536223"/>
    <w:rsid w:val="00556A98"/>
    <w:rsid w:val="00575181"/>
    <w:rsid w:val="00575377"/>
    <w:rsid w:val="005A12BC"/>
    <w:rsid w:val="005C4299"/>
    <w:rsid w:val="005E04D1"/>
    <w:rsid w:val="005E152D"/>
    <w:rsid w:val="006068C7"/>
    <w:rsid w:val="00616A28"/>
    <w:rsid w:val="006263CF"/>
    <w:rsid w:val="00642B82"/>
    <w:rsid w:val="006715A6"/>
    <w:rsid w:val="00672A96"/>
    <w:rsid w:val="00680888"/>
    <w:rsid w:val="00680BFA"/>
    <w:rsid w:val="00697917"/>
    <w:rsid w:val="006C1119"/>
    <w:rsid w:val="006D337A"/>
    <w:rsid w:val="006F16ED"/>
    <w:rsid w:val="006F1E11"/>
    <w:rsid w:val="00704C1E"/>
    <w:rsid w:val="00732845"/>
    <w:rsid w:val="007353F5"/>
    <w:rsid w:val="00737EEE"/>
    <w:rsid w:val="00763BB8"/>
    <w:rsid w:val="007701DE"/>
    <w:rsid w:val="00773FBD"/>
    <w:rsid w:val="00795113"/>
    <w:rsid w:val="0079724F"/>
    <w:rsid w:val="007A39E5"/>
    <w:rsid w:val="007A58BA"/>
    <w:rsid w:val="007B0148"/>
    <w:rsid w:val="007B3E49"/>
    <w:rsid w:val="007E2882"/>
    <w:rsid w:val="007E7838"/>
    <w:rsid w:val="007E7B69"/>
    <w:rsid w:val="007F54B2"/>
    <w:rsid w:val="008066C1"/>
    <w:rsid w:val="0081682A"/>
    <w:rsid w:val="008235F7"/>
    <w:rsid w:val="0083279E"/>
    <w:rsid w:val="00833518"/>
    <w:rsid w:val="008464BC"/>
    <w:rsid w:val="00860248"/>
    <w:rsid w:val="00874C7C"/>
    <w:rsid w:val="00893F0F"/>
    <w:rsid w:val="008A5682"/>
    <w:rsid w:val="008C2E0B"/>
    <w:rsid w:val="008C558A"/>
    <w:rsid w:val="008C78B8"/>
    <w:rsid w:val="008C79EF"/>
    <w:rsid w:val="008E41E1"/>
    <w:rsid w:val="008F0CE9"/>
    <w:rsid w:val="0090101D"/>
    <w:rsid w:val="009227DF"/>
    <w:rsid w:val="009363A2"/>
    <w:rsid w:val="00941C6B"/>
    <w:rsid w:val="009474C4"/>
    <w:rsid w:val="00960AA6"/>
    <w:rsid w:val="009720FD"/>
    <w:rsid w:val="009753F5"/>
    <w:rsid w:val="009876C2"/>
    <w:rsid w:val="009E2B18"/>
    <w:rsid w:val="009E2BA5"/>
    <w:rsid w:val="00A073D8"/>
    <w:rsid w:val="00A0753B"/>
    <w:rsid w:val="00A32A8D"/>
    <w:rsid w:val="00A42F6C"/>
    <w:rsid w:val="00A5159F"/>
    <w:rsid w:val="00A95112"/>
    <w:rsid w:val="00AE4833"/>
    <w:rsid w:val="00AF42BB"/>
    <w:rsid w:val="00AF6CD8"/>
    <w:rsid w:val="00B34CD9"/>
    <w:rsid w:val="00B51331"/>
    <w:rsid w:val="00B55525"/>
    <w:rsid w:val="00B6035A"/>
    <w:rsid w:val="00B65C06"/>
    <w:rsid w:val="00B6707B"/>
    <w:rsid w:val="00B707C3"/>
    <w:rsid w:val="00B92930"/>
    <w:rsid w:val="00BB4121"/>
    <w:rsid w:val="00BD4397"/>
    <w:rsid w:val="00BD613C"/>
    <w:rsid w:val="00BF00D5"/>
    <w:rsid w:val="00BF300F"/>
    <w:rsid w:val="00C03AE4"/>
    <w:rsid w:val="00C125C7"/>
    <w:rsid w:val="00C35A7B"/>
    <w:rsid w:val="00C64D4F"/>
    <w:rsid w:val="00C835FA"/>
    <w:rsid w:val="00CA0226"/>
    <w:rsid w:val="00CE0309"/>
    <w:rsid w:val="00CE6AD4"/>
    <w:rsid w:val="00CF7025"/>
    <w:rsid w:val="00D30416"/>
    <w:rsid w:val="00D50BF0"/>
    <w:rsid w:val="00D64B68"/>
    <w:rsid w:val="00D6534A"/>
    <w:rsid w:val="00D85E5E"/>
    <w:rsid w:val="00DA2F0D"/>
    <w:rsid w:val="00DD1FB2"/>
    <w:rsid w:val="00DD48A7"/>
    <w:rsid w:val="00DE041D"/>
    <w:rsid w:val="00DE5A7C"/>
    <w:rsid w:val="00E04C9D"/>
    <w:rsid w:val="00E1209B"/>
    <w:rsid w:val="00E20754"/>
    <w:rsid w:val="00E41AC4"/>
    <w:rsid w:val="00E4432A"/>
    <w:rsid w:val="00E631D5"/>
    <w:rsid w:val="00E86C8B"/>
    <w:rsid w:val="00E958CD"/>
    <w:rsid w:val="00EA3B93"/>
    <w:rsid w:val="00EB44A9"/>
    <w:rsid w:val="00EC0F5E"/>
    <w:rsid w:val="00ED368D"/>
    <w:rsid w:val="00F068AA"/>
    <w:rsid w:val="00F32F8E"/>
    <w:rsid w:val="00F33654"/>
    <w:rsid w:val="00F359FD"/>
    <w:rsid w:val="00F41CEE"/>
    <w:rsid w:val="00F47098"/>
    <w:rsid w:val="00F51D14"/>
    <w:rsid w:val="00F579EA"/>
    <w:rsid w:val="00F623C5"/>
    <w:rsid w:val="00F6376C"/>
    <w:rsid w:val="00F70C34"/>
    <w:rsid w:val="00F76EE8"/>
    <w:rsid w:val="00F80E70"/>
    <w:rsid w:val="00F85090"/>
    <w:rsid w:val="00F86389"/>
    <w:rsid w:val="00FA02E2"/>
    <w:rsid w:val="00FB2FD4"/>
    <w:rsid w:val="00FC6F1C"/>
    <w:rsid w:val="00FD6C9E"/>
    <w:rsid w:val="00FE1AC4"/>
    <w:rsid w:val="00FF1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6E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ERP-List Paragraph,List Paragraph11,Normal bullet 2,Paragraph,List L1"/>
    <w:basedOn w:val="prastasis"/>
    <w:link w:val="SraopastraipaDiagrama"/>
    <w:uiPriority w:val="34"/>
    <w:qFormat/>
    <w:rsid w:val="00272A00"/>
    <w:pPr>
      <w:ind w:left="720"/>
      <w:contextualSpacing/>
    </w:pPr>
  </w:style>
  <w:style w:type="character" w:styleId="Hipersaitas">
    <w:name w:val="Hyperlink"/>
    <w:rsid w:val="00272A00"/>
    <w:rPr>
      <w:color w:val="000000"/>
      <w:u w:val="single"/>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272A00"/>
  </w:style>
  <w:style w:type="paragraph" w:customStyle="1" w:styleId="Hyperlink1">
    <w:name w:val="Hyperlink1"/>
    <w:basedOn w:val="prastasis"/>
    <w:rsid w:val="00A5159F"/>
    <w:pPr>
      <w:spacing w:before="100" w:beforeAutospacing="1" w:after="100" w:afterAutospacing="1"/>
      <w:ind w:firstLine="0"/>
    </w:pPr>
    <w:rPr>
      <w:rFonts w:eastAsia="Times New Roman"/>
      <w:lang w:eastAsia="lt-LT"/>
    </w:rPr>
  </w:style>
  <w:style w:type="paragraph" w:styleId="Pagrindiniotekstotrauka">
    <w:name w:val="Body Text Indent"/>
    <w:basedOn w:val="prastasis"/>
    <w:link w:val="PagrindiniotekstotraukaDiagrama"/>
    <w:rsid w:val="00A32A8D"/>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A32A8D"/>
    <w:rPr>
      <w:rFonts w:eastAsia="Times New Roman"/>
      <w:i/>
      <w:iCs/>
      <w:szCs w:val="20"/>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F80E70"/>
    <w:pPr>
      <w:ind w:firstLine="0"/>
      <w:jc w:val="left"/>
    </w:pPr>
    <w:rPr>
      <w:rFonts w:eastAsia="Times New Roman"/>
      <w:sz w:val="20"/>
      <w:szCs w:val="20"/>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F80E70"/>
    <w:rPr>
      <w:rFonts w:eastAsia="Times New Roman"/>
      <w:sz w:val="20"/>
      <w:szCs w:val="20"/>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F80E70"/>
    <w:rPr>
      <w:vertAlign w:val="superscript"/>
    </w:rPr>
  </w:style>
  <w:style w:type="paragraph" w:customStyle="1" w:styleId="SUPERSChar">
    <w:name w:val="SUPERS Char"/>
    <w:aliases w:val="EN Footnote Reference Char"/>
    <w:basedOn w:val="prastasis"/>
    <w:link w:val="Puslapioinaosnuoroda"/>
    <w:uiPriority w:val="99"/>
    <w:rsid w:val="00F80E70"/>
    <w:pPr>
      <w:spacing w:after="160" w:line="240" w:lineRule="exact"/>
      <w:ind w:firstLine="0"/>
      <w:jc w:val="left"/>
    </w:pPr>
    <w:rPr>
      <w:vertAlign w:val="superscript"/>
    </w:rPr>
  </w:style>
  <w:style w:type="paragraph" w:styleId="Pagrindinistekstas">
    <w:name w:val="Body Text"/>
    <w:basedOn w:val="prastasis"/>
    <w:link w:val="PagrindinistekstasDiagrama"/>
    <w:rsid w:val="009227DF"/>
    <w:pPr>
      <w:spacing w:after="120"/>
      <w:ind w:firstLine="0"/>
      <w:jc w:val="left"/>
    </w:pPr>
    <w:rPr>
      <w:rFonts w:eastAsia="Times New Roman"/>
    </w:rPr>
  </w:style>
  <w:style w:type="character" w:customStyle="1" w:styleId="PagrindinistekstasDiagrama">
    <w:name w:val="Pagrindinis tekstas Diagrama"/>
    <w:basedOn w:val="Numatytasispastraiposriftas"/>
    <w:link w:val="Pagrindinistekstas"/>
    <w:rsid w:val="009227DF"/>
    <w:rPr>
      <w:rFonts w:eastAsia="Times New Roman"/>
    </w:rPr>
  </w:style>
  <w:style w:type="paragraph" w:customStyle="1" w:styleId="Tekstas">
    <w:name w:val="Tekstas"/>
    <w:basedOn w:val="prastasis"/>
    <w:link w:val="TekstasDiagrama"/>
    <w:qFormat/>
    <w:rsid w:val="00536223"/>
    <w:rPr>
      <w:rFonts w:eastAsia="Times New Roman"/>
    </w:rPr>
  </w:style>
  <w:style w:type="character" w:customStyle="1" w:styleId="TekstasDiagrama">
    <w:name w:val="Tekstas Diagrama"/>
    <w:basedOn w:val="Numatytasispastraiposriftas"/>
    <w:link w:val="Tekstas"/>
    <w:rsid w:val="00536223"/>
    <w:rPr>
      <w:rFonts w:eastAsia="Times New Roman"/>
    </w:rPr>
  </w:style>
  <w:style w:type="paragraph" w:styleId="Debesliotekstas">
    <w:name w:val="Balloon Text"/>
    <w:basedOn w:val="prastasis"/>
    <w:link w:val="DebesliotekstasDiagrama"/>
    <w:uiPriority w:val="99"/>
    <w:semiHidden/>
    <w:unhideWhenUsed/>
    <w:rsid w:val="009E2B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2BA5"/>
    <w:rPr>
      <w:rFonts w:ascii="Tahoma" w:hAnsi="Tahoma" w:cs="Tahoma"/>
      <w:sz w:val="16"/>
      <w:szCs w:val="16"/>
    </w:rPr>
  </w:style>
  <w:style w:type="character" w:styleId="Komentaronuoroda">
    <w:name w:val="annotation reference"/>
    <w:basedOn w:val="Numatytasispastraiposriftas"/>
    <w:uiPriority w:val="99"/>
    <w:semiHidden/>
    <w:unhideWhenUsed/>
    <w:rsid w:val="007A39E5"/>
    <w:rPr>
      <w:sz w:val="16"/>
      <w:szCs w:val="16"/>
    </w:rPr>
  </w:style>
  <w:style w:type="paragraph" w:styleId="Komentarotekstas">
    <w:name w:val="annotation text"/>
    <w:basedOn w:val="prastasis"/>
    <w:link w:val="KomentarotekstasDiagrama"/>
    <w:uiPriority w:val="99"/>
    <w:semiHidden/>
    <w:unhideWhenUsed/>
    <w:rsid w:val="007A39E5"/>
    <w:rPr>
      <w:sz w:val="20"/>
      <w:szCs w:val="20"/>
    </w:rPr>
  </w:style>
  <w:style w:type="character" w:customStyle="1" w:styleId="KomentarotekstasDiagrama">
    <w:name w:val="Komentaro tekstas Diagrama"/>
    <w:basedOn w:val="Numatytasispastraiposriftas"/>
    <w:link w:val="Komentarotekstas"/>
    <w:uiPriority w:val="99"/>
    <w:semiHidden/>
    <w:rsid w:val="007A39E5"/>
    <w:rPr>
      <w:sz w:val="20"/>
      <w:szCs w:val="20"/>
    </w:rPr>
  </w:style>
  <w:style w:type="paragraph" w:styleId="Komentarotema">
    <w:name w:val="annotation subject"/>
    <w:basedOn w:val="Komentarotekstas"/>
    <w:next w:val="Komentarotekstas"/>
    <w:link w:val="KomentarotemaDiagrama"/>
    <w:uiPriority w:val="99"/>
    <w:semiHidden/>
    <w:unhideWhenUsed/>
    <w:rsid w:val="007A39E5"/>
    <w:rPr>
      <w:b/>
      <w:bCs/>
    </w:rPr>
  </w:style>
  <w:style w:type="character" w:customStyle="1" w:styleId="KomentarotemaDiagrama">
    <w:name w:val="Komentaro tema Diagrama"/>
    <w:basedOn w:val="KomentarotekstasDiagrama"/>
    <w:link w:val="Komentarotema"/>
    <w:uiPriority w:val="99"/>
    <w:semiHidden/>
    <w:rsid w:val="007A39E5"/>
    <w:rPr>
      <w:b/>
      <w:bCs/>
      <w:sz w:val="20"/>
      <w:szCs w:val="20"/>
    </w:rPr>
  </w:style>
  <w:style w:type="paragraph" w:styleId="Antrats">
    <w:name w:val="header"/>
    <w:basedOn w:val="prastasis"/>
    <w:link w:val="AntratsDiagrama"/>
    <w:uiPriority w:val="99"/>
    <w:unhideWhenUsed/>
    <w:rsid w:val="001C2F45"/>
    <w:pPr>
      <w:tabs>
        <w:tab w:val="center" w:pos="4819"/>
        <w:tab w:val="right" w:pos="9638"/>
      </w:tabs>
    </w:pPr>
  </w:style>
  <w:style w:type="character" w:customStyle="1" w:styleId="AntratsDiagrama">
    <w:name w:val="Antraštės Diagrama"/>
    <w:basedOn w:val="Numatytasispastraiposriftas"/>
    <w:link w:val="Antrats"/>
    <w:uiPriority w:val="99"/>
    <w:rsid w:val="001C2F45"/>
  </w:style>
  <w:style w:type="paragraph" w:styleId="Porat">
    <w:name w:val="footer"/>
    <w:basedOn w:val="prastasis"/>
    <w:link w:val="PoratDiagrama"/>
    <w:uiPriority w:val="99"/>
    <w:unhideWhenUsed/>
    <w:rsid w:val="001C2F45"/>
    <w:pPr>
      <w:tabs>
        <w:tab w:val="center" w:pos="4819"/>
        <w:tab w:val="right" w:pos="9638"/>
      </w:tabs>
    </w:pPr>
  </w:style>
  <w:style w:type="character" w:customStyle="1" w:styleId="PoratDiagrama">
    <w:name w:val="Poraštė Diagrama"/>
    <w:basedOn w:val="Numatytasispastraiposriftas"/>
    <w:link w:val="Porat"/>
    <w:uiPriority w:val="99"/>
    <w:rsid w:val="001C2F45"/>
  </w:style>
  <w:style w:type="paragraph" w:styleId="Pagrindiniotekstotrauka2">
    <w:name w:val="Body Text Indent 2"/>
    <w:basedOn w:val="prastasis"/>
    <w:link w:val="Pagrindiniotekstotrauka2Diagrama"/>
    <w:uiPriority w:val="99"/>
    <w:semiHidden/>
    <w:unhideWhenUsed/>
    <w:rsid w:val="007E288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2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6E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ERP-List Paragraph,List Paragraph11,Normal bullet 2,Paragraph,List L1"/>
    <w:basedOn w:val="prastasis"/>
    <w:link w:val="SraopastraipaDiagrama"/>
    <w:uiPriority w:val="34"/>
    <w:qFormat/>
    <w:rsid w:val="00272A00"/>
    <w:pPr>
      <w:ind w:left="720"/>
      <w:contextualSpacing/>
    </w:pPr>
  </w:style>
  <w:style w:type="character" w:styleId="Hipersaitas">
    <w:name w:val="Hyperlink"/>
    <w:rsid w:val="00272A00"/>
    <w:rPr>
      <w:color w:val="000000"/>
      <w:u w:val="single"/>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272A00"/>
  </w:style>
  <w:style w:type="paragraph" w:customStyle="1" w:styleId="Hyperlink1">
    <w:name w:val="Hyperlink1"/>
    <w:basedOn w:val="prastasis"/>
    <w:rsid w:val="00A5159F"/>
    <w:pPr>
      <w:spacing w:before="100" w:beforeAutospacing="1" w:after="100" w:afterAutospacing="1"/>
      <w:ind w:firstLine="0"/>
    </w:pPr>
    <w:rPr>
      <w:rFonts w:eastAsia="Times New Roman"/>
      <w:lang w:eastAsia="lt-LT"/>
    </w:rPr>
  </w:style>
  <w:style w:type="paragraph" w:styleId="Pagrindiniotekstotrauka">
    <w:name w:val="Body Text Indent"/>
    <w:basedOn w:val="prastasis"/>
    <w:link w:val="PagrindiniotekstotraukaDiagrama"/>
    <w:rsid w:val="00A32A8D"/>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A32A8D"/>
    <w:rPr>
      <w:rFonts w:eastAsia="Times New Roman"/>
      <w:i/>
      <w:iCs/>
      <w:szCs w:val="20"/>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F80E70"/>
    <w:pPr>
      <w:ind w:firstLine="0"/>
      <w:jc w:val="left"/>
    </w:pPr>
    <w:rPr>
      <w:rFonts w:eastAsia="Times New Roman"/>
      <w:sz w:val="20"/>
      <w:szCs w:val="20"/>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F80E70"/>
    <w:rPr>
      <w:rFonts w:eastAsia="Times New Roman"/>
      <w:sz w:val="20"/>
      <w:szCs w:val="20"/>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F80E70"/>
    <w:rPr>
      <w:vertAlign w:val="superscript"/>
    </w:rPr>
  </w:style>
  <w:style w:type="paragraph" w:customStyle="1" w:styleId="SUPERSChar">
    <w:name w:val="SUPERS Char"/>
    <w:aliases w:val="EN Footnote Reference Char"/>
    <w:basedOn w:val="prastasis"/>
    <w:link w:val="Puslapioinaosnuoroda"/>
    <w:uiPriority w:val="99"/>
    <w:rsid w:val="00F80E70"/>
    <w:pPr>
      <w:spacing w:after="160" w:line="240" w:lineRule="exact"/>
      <w:ind w:firstLine="0"/>
      <w:jc w:val="left"/>
    </w:pPr>
    <w:rPr>
      <w:vertAlign w:val="superscript"/>
    </w:rPr>
  </w:style>
  <w:style w:type="paragraph" w:styleId="Pagrindinistekstas">
    <w:name w:val="Body Text"/>
    <w:basedOn w:val="prastasis"/>
    <w:link w:val="PagrindinistekstasDiagrama"/>
    <w:rsid w:val="009227DF"/>
    <w:pPr>
      <w:spacing w:after="120"/>
      <w:ind w:firstLine="0"/>
      <w:jc w:val="left"/>
    </w:pPr>
    <w:rPr>
      <w:rFonts w:eastAsia="Times New Roman"/>
    </w:rPr>
  </w:style>
  <w:style w:type="character" w:customStyle="1" w:styleId="PagrindinistekstasDiagrama">
    <w:name w:val="Pagrindinis tekstas Diagrama"/>
    <w:basedOn w:val="Numatytasispastraiposriftas"/>
    <w:link w:val="Pagrindinistekstas"/>
    <w:rsid w:val="009227DF"/>
    <w:rPr>
      <w:rFonts w:eastAsia="Times New Roman"/>
    </w:rPr>
  </w:style>
  <w:style w:type="paragraph" w:customStyle="1" w:styleId="Tekstas">
    <w:name w:val="Tekstas"/>
    <w:basedOn w:val="prastasis"/>
    <w:link w:val="TekstasDiagrama"/>
    <w:qFormat/>
    <w:rsid w:val="00536223"/>
    <w:rPr>
      <w:rFonts w:eastAsia="Times New Roman"/>
    </w:rPr>
  </w:style>
  <w:style w:type="character" w:customStyle="1" w:styleId="TekstasDiagrama">
    <w:name w:val="Tekstas Diagrama"/>
    <w:basedOn w:val="Numatytasispastraiposriftas"/>
    <w:link w:val="Tekstas"/>
    <w:rsid w:val="00536223"/>
    <w:rPr>
      <w:rFonts w:eastAsia="Times New Roman"/>
    </w:rPr>
  </w:style>
  <w:style w:type="paragraph" w:styleId="Debesliotekstas">
    <w:name w:val="Balloon Text"/>
    <w:basedOn w:val="prastasis"/>
    <w:link w:val="DebesliotekstasDiagrama"/>
    <w:uiPriority w:val="99"/>
    <w:semiHidden/>
    <w:unhideWhenUsed/>
    <w:rsid w:val="009E2B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2BA5"/>
    <w:rPr>
      <w:rFonts w:ascii="Tahoma" w:hAnsi="Tahoma" w:cs="Tahoma"/>
      <w:sz w:val="16"/>
      <w:szCs w:val="16"/>
    </w:rPr>
  </w:style>
  <w:style w:type="character" w:styleId="Komentaronuoroda">
    <w:name w:val="annotation reference"/>
    <w:basedOn w:val="Numatytasispastraiposriftas"/>
    <w:uiPriority w:val="99"/>
    <w:semiHidden/>
    <w:unhideWhenUsed/>
    <w:rsid w:val="007A39E5"/>
    <w:rPr>
      <w:sz w:val="16"/>
      <w:szCs w:val="16"/>
    </w:rPr>
  </w:style>
  <w:style w:type="paragraph" w:styleId="Komentarotekstas">
    <w:name w:val="annotation text"/>
    <w:basedOn w:val="prastasis"/>
    <w:link w:val="KomentarotekstasDiagrama"/>
    <w:uiPriority w:val="99"/>
    <w:semiHidden/>
    <w:unhideWhenUsed/>
    <w:rsid w:val="007A39E5"/>
    <w:rPr>
      <w:sz w:val="20"/>
      <w:szCs w:val="20"/>
    </w:rPr>
  </w:style>
  <w:style w:type="character" w:customStyle="1" w:styleId="KomentarotekstasDiagrama">
    <w:name w:val="Komentaro tekstas Diagrama"/>
    <w:basedOn w:val="Numatytasispastraiposriftas"/>
    <w:link w:val="Komentarotekstas"/>
    <w:uiPriority w:val="99"/>
    <w:semiHidden/>
    <w:rsid w:val="007A39E5"/>
    <w:rPr>
      <w:sz w:val="20"/>
      <w:szCs w:val="20"/>
    </w:rPr>
  </w:style>
  <w:style w:type="paragraph" w:styleId="Komentarotema">
    <w:name w:val="annotation subject"/>
    <w:basedOn w:val="Komentarotekstas"/>
    <w:next w:val="Komentarotekstas"/>
    <w:link w:val="KomentarotemaDiagrama"/>
    <w:uiPriority w:val="99"/>
    <w:semiHidden/>
    <w:unhideWhenUsed/>
    <w:rsid w:val="007A39E5"/>
    <w:rPr>
      <w:b/>
      <w:bCs/>
    </w:rPr>
  </w:style>
  <w:style w:type="character" w:customStyle="1" w:styleId="KomentarotemaDiagrama">
    <w:name w:val="Komentaro tema Diagrama"/>
    <w:basedOn w:val="KomentarotekstasDiagrama"/>
    <w:link w:val="Komentarotema"/>
    <w:uiPriority w:val="99"/>
    <w:semiHidden/>
    <w:rsid w:val="007A39E5"/>
    <w:rPr>
      <w:b/>
      <w:bCs/>
      <w:sz w:val="20"/>
      <w:szCs w:val="20"/>
    </w:rPr>
  </w:style>
  <w:style w:type="paragraph" w:styleId="Antrats">
    <w:name w:val="header"/>
    <w:basedOn w:val="prastasis"/>
    <w:link w:val="AntratsDiagrama"/>
    <w:uiPriority w:val="99"/>
    <w:unhideWhenUsed/>
    <w:rsid w:val="001C2F45"/>
    <w:pPr>
      <w:tabs>
        <w:tab w:val="center" w:pos="4819"/>
        <w:tab w:val="right" w:pos="9638"/>
      </w:tabs>
    </w:pPr>
  </w:style>
  <w:style w:type="character" w:customStyle="1" w:styleId="AntratsDiagrama">
    <w:name w:val="Antraštės Diagrama"/>
    <w:basedOn w:val="Numatytasispastraiposriftas"/>
    <w:link w:val="Antrats"/>
    <w:uiPriority w:val="99"/>
    <w:rsid w:val="001C2F45"/>
  </w:style>
  <w:style w:type="paragraph" w:styleId="Porat">
    <w:name w:val="footer"/>
    <w:basedOn w:val="prastasis"/>
    <w:link w:val="PoratDiagrama"/>
    <w:uiPriority w:val="99"/>
    <w:unhideWhenUsed/>
    <w:rsid w:val="001C2F45"/>
    <w:pPr>
      <w:tabs>
        <w:tab w:val="center" w:pos="4819"/>
        <w:tab w:val="right" w:pos="9638"/>
      </w:tabs>
    </w:pPr>
  </w:style>
  <w:style w:type="character" w:customStyle="1" w:styleId="PoratDiagrama">
    <w:name w:val="Poraštė Diagrama"/>
    <w:basedOn w:val="Numatytasispastraiposriftas"/>
    <w:link w:val="Porat"/>
    <w:uiPriority w:val="99"/>
    <w:rsid w:val="001C2F45"/>
  </w:style>
  <w:style w:type="paragraph" w:styleId="Pagrindiniotekstotrauka2">
    <w:name w:val="Body Text Indent 2"/>
    <w:basedOn w:val="prastasis"/>
    <w:link w:val="Pagrindiniotekstotrauka2Diagrama"/>
    <w:uiPriority w:val="99"/>
    <w:semiHidden/>
    <w:unhideWhenUsed/>
    <w:rsid w:val="007E288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kamarauskiene@finmin.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na.mickeniene@finmin.lt" TargetMode="External"/><Relationship Id="rId4" Type="http://schemas.openxmlformats.org/officeDocument/2006/relationships/settings" Target="settings.xml"/><Relationship Id="rId9" Type="http://schemas.openxmlformats.org/officeDocument/2006/relationships/hyperlink" Target="mailto:audrone.cekanaviciene@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3610</Words>
  <Characters>20579</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Audronė Čekanavičienė</cp:lastModifiedBy>
  <cp:revision>11</cp:revision>
  <dcterms:created xsi:type="dcterms:W3CDTF">2021-05-13T09:27:00Z</dcterms:created>
  <dcterms:modified xsi:type="dcterms:W3CDTF">2021-05-13T12:42:00Z</dcterms:modified>
</cp:coreProperties>
</file>