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r."/>
        <w:tag w:val="part_6b9c889aa410404abfd3ce0b6499d9a6"/>
        <w:id w:val="1442193106"/>
      </w:sdtPr>
      <w:sdtEndPr/>
      <w:sdtContent>
        <w:p w:rsidR="00823CEA" w:rsidRDefault="00823CEA" w:rsidP="00E76F05">
          <w:pPr>
            <w:jc w:val="center"/>
            <w:rPr>
              <w:b/>
              <w:szCs w:val="24"/>
              <w:lang w:eastAsia="lt-LT"/>
            </w:rPr>
          </w:pPr>
          <w:r>
            <w:rPr>
              <w:b/>
              <w:szCs w:val="24"/>
              <w:lang w:eastAsia="lt-LT"/>
            </w:rPr>
            <w:t>TEISĖS AKTŲ PROJEKTŲ ANTIKORUPCINIO VERTINIMO PAŽYMA</w:t>
          </w:r>
        </w:p>
        <w:p w:rsidR="00823CEA" w:rsidRDefault="00823CEA" w:rsidP="00823CEA">
          <w:pPr>
            <w:rPr>
              <w:szCs w:val="24"/>
              <w:lang w:eastAsia="lt-LT"/>
            </w:rPr>
          </w:pPr>
        </w:p>
        <w:p w:rsidR="00145BA6" w:rsidRDefault="00823CEA" w:rsidP="00AA6C04">
          <w:pPr>
            <w:spacing w:line="360" w:lineRule="atLeast"/>
            <w:jc w:val="both"/>
            <w:rPr>
              <w:bCs/>
              <w:szCs w:val="24"/>
              <w:lang w:eastAsia="lt-LT"/>
            </w:rPr>
          </w:pPr>
          <w:r>
            <w:rPr>
              <w:szCs w:val="24"/>
              <w:lang w:eastAsia="lt-LT"/>
            </w:rPr>
            <w:t>Teisės akto projekto pavadinimas:</w:t>
          </w:r>
          <w:r w:rsidR="00B2492C">
            <w:rPr>
              <w:szCs w:val="24"/>
              <w:lang w:eastAsia="lt-LT"/>
            </w:rPr>
            <w:t xml:space="preserve"> </w:t>
          </w:r>
          <w:r w:rsidR="003151B3" w:rsidRPr="003151B3">
            <w:rPr>
              <w:bCs/>
              <w:szCs w:val="24"/>
              <w:lang w:eastAsia="lt-LT"/>
            </w:rPr>
            <w:t xml:space="preserve">Lietuvos Respublikos finansinių priemonių rinkų įstatymo Nr. X-1024 </w:t>
          </w:r>
          <w:r w:rsidR="00145BA6" w:rsidRPr="00145BA6">
            <w:rPr>
              <w:bCs/>
              <w:szCs w:val="24"/>
              <w:lang w:eastAsia="lt-LT"/>
            </w:rPr>
            <w:t xml:space="preserve">1024 2, 3, 6, 8, 9, 13, 14, 15, 16, </w:t>
          </w:r>
          <w:r w:rsidR="002C2FF0">
            <w:rPr>
              <w:bCs/>
              <w:szCs w:val="24"/>
              <w:lang w:eastAsia="lt-LT"/>
            </w:rPr>
            <w:t xml:space="preserve">23, </w:t>
          </w:r>
          <w:r w:rsidR="00145BA6" w:rsidRPr="00145BA6">
            <w:rPr>
              <w:bCs/>
              <w:szCs w:val="24"/>
              <w:lang w:eastAsia="lt-LT"/>
            </w:rPr>
            <w:t xml:space="preserve">29, 30, 31, 35, </w:t>
          </w:r>
          <w:r w:rsidR="002C2FF0">
            <w:rPr>
              <w:bCs/>
              <w:szCs w:val="24"/>
              <w:lang w:eastAsia="lt-LT"/>
            </w:rPr>
            <w:t xml:space="preserve">37, </w:t>
          </w:r>
          <w:bookmarkStart w:id="0" w:name="_GoBack"/>
          <w:bookmarkEnd w:id="0"/>
          <w:r w:rsidR="00145BA6" w:rsidRPr="00145BA6">
            <w:rPr>
              <w:bCs/>
              <w:szCs w:val="24"/>
              <w:lang w:eastAsia="lt-LT"/>
            </w:rPr>
            <w:t>39, 49, 50, 51, 72, 73, 76, 93, 97, 99, 102, 107, 111, 112, 114 straipsnių ir priedo pakeitimo, Įstatymo papildymo 14</w:t>
          </w:r>
          <w:r w:rsidR="00145BA6" w:rsidRPr="00145BA6">
            <w:rPr>
              <w:bCs/>
              <w:szCs w:val="24"/>
              <w:vertAlign w:val="superscript"/>
              <w:lang w:eastAsia="lt-LT"/>
            </w:rPr>
            <w:t>1</w:t>
          </w:r>
          <w:r w:rsidR="00145BA6" w:rsidRPr="00145BA6">
            <w:rPr>
              <w:bCs/>
              <w:szCs w:val="24"/>
              <w:lang w:eastAsia="lt-LT"/>
            </w:rPr>
            <w:t>, 14</w:t>
          </w:r>
          <w:r w:rsidR="00145BA6" w:rsidRPr="00145BA6">
            <w:rPr>
              <w:bCs/>
              <w:szCs w:val="24"/>
              <w:vertAlign w:val="superscript"/>
              <w:lang w:eastAsia="lt-LT"/>
            </w:rPr>
            <w:t>2</w:t>
          </w:r>
          <w:r w:rsidR="00145BA6" w:rsidRPr="00145BA6">
            <w:rPr>
              <w:bCs/>
              <w:szCs w:val="24"/>
              <w:lang w:eastAsia="lt-LT"/>
            </w:rPr>
            <w:t>, 15</w:t>
          </w:r>
          <w:r w:rsidR="00145BA6" w:rsidRPr="00145BA6">
            <w:rPr>
              <w:bCs/>
              <w:szCs w:val="24"/>
              <w:vertAlign w:val="superscript"/>
              <w:lang w:eastAsia="lt-LT"/>
            </w:rPr>
            <w:t>1</w:t>
          </w:r>
          <w:r w:rsidR="00145BA6" w:rsidRPr="00145BA6">
            <w:rPr>
              <w:bCs/>
              <w:szCs w:val="24"/>
              <w:lang w:eastAsia="lt-LT"/>
            </w:rPr>
            <w:t>, 15</w:t>
          </w:r>
          <w:r w:rsidR="00145BA6" w:rsidRPr="00145BA6">
            <w:rPr>
              <w:bCs/>
              <w:szCs w:val="24"/>
              <w:vertAlign w:val="superscript"/>
              <w:lang w:eastAsia="lt-LT"/>
            </w:rPr>
            <w:t>2</w:t>
          </w:r>
          <w:r w:rsidR="00145BA6" w:rsidRPr="00145BA6">
            <w:rPr>
              <w:bCs/>
              <w:szCs w:val="24"/>
              <w:lang w:eastAsia="lt-LT"/>
            </w:rPr>
            <w:t>, 15</w:t>
          </w:r>
          <w:r w:rsidR="00145BA6" w:rsidRPr="00145BA6">
            <w:rPr>
              <w:bCs/>
              <w:szCs w:val="24"/>
              <w:vertAlign w:val="superscript"/>
              <w:lang w:eastAsia="lt-LT"/>
            </w:rPr>
            <w:t>3</w:t>
          </w:r>
          <w:r w:rsidR="00145BA6" w:rsidRPr="00145BA6">
            <w:rPr>
              <w:bCs/>
              <w:szCs w:val="24"/>
              <w:lang w:eastAsia="lt-LT"/>
            </w:rPr>
            <w:t>, 15</w:t>
          </w:r>
          <w:r w:rsidR="00145BA6" w:rsidRPr="00145BA6">
            <w:rPr>
              <w:bCs/>
              <w:szCs w:val="24"/>
              <w:vertAlign w:val="superscript"/>
              <w:lang w:eastAsia="lt-LT"/>
            </w:rPr>
            <w:t>4</w:t>
          </w:r>
          <w:r w:rsidR="00145BA6" w:rsidRPr="00145BA6">
            <w:rPr>
              <w:bCs/>
              <w:szCs w:val="24"/>
              <w:lang w:eastAsia="lt-LT"/>
            </w:rPr>
            <w:t>, 15</w:t>
          </w:r>
          <w:r w:rsidR="00145BA6" w:rsidRPr="00145BA6">
            <w:rPr>
              <w:bCs/>
              <w:szCs w:val="24"/>
              <w:vertAlign w:val="superscript"/>
              <w:lang w:eastAsia="lt-LT"/>
            </w:rPr>
            <w:t>5</w:t>
          </w:r>
          <w:r w:rsidR="00145BA6" w:rsidRPr="00145BA6">
            <w:rPr>
              <w:bCs/>
              <w:szCs w:val="24"/>
              <w:lang w:eastAsia="lt-LT"/>
            </w:rPr>
            <w:t>, 15</w:t>
          </w:r>
          <w:r w:rsidR="00145BA6" w:rsidRPr="00145BA6">
            <w:rPr>
              <w:bCs/>
              <w:szCs w:val="24"/>
              <w:vertAlign w:val="superscript"/>
              <w:lang w:eastAsia="lt-LT"/>
            </w:rPr>
            <w:t>6</w:t>
          </w:r>
          <w:r w:rsidR="00145BA6" w:rsidRPr="00145BA6">
            <w:rPr>
              <w:bCs/>
              <w:szCs w:val="24"/>
              <w:lang w:eastAsia="lt-LT"/>
            </w:rPr>
            <w:t>, 44</w:t>
          </w:r>
          <w:r w:rsidR="00145BA6" w:rsidRPr="00145BA6">
            <w:rPr>
              <w:bCs/>
              <w:szCs w:val="24"/>
              <w:vertAlign w:val="superscript"/>
              <w:lang w:eastAsia="lt-LT"/>
            </w:rPr>
            <w:t>1</w:t>
          </w:r>
          <w:r w:rsidR="00145BA6" w:rsidRPr="00145BA6">
            <w:rPr>
              <w:bCs/>
              <w:szCs w:val="24"/>
              <w:lang w:eastAsia="lt-LT"/>
            </w:rPr>
            <w:t>, 107</w:t>
          </w:r>
          <w:r w:rsidR="00145BA6" w:rsidRPr="00145BA6">
            <w:rPr>
              <w:bCs/>
              <w:szCs w:val="24"/>
              <w:vertAlign w:val="superscript"/>
              <w:lang w:eastAsia="lt-LT"/>
            </w:rPr>
            <w:t>1</w:t>
          </w:r>
          <w:r w:rsidR="00145BA6" w:rsidRPr="00145BA6">
            <w:rPr>
              <w:bCs/>
              <w:szCs w:val="24"/>
              <w:lang w:eastAsia="lt-LT"/>
            </w:rPr>
            <w:t>, 111</w:t>
          </w:r>
          <w:r w:rsidR="00145BA6" w:rsidRPr="00145BA6">
            <w:rPr>
              <w:bCs/>
              <w:szCs w:val="24"/>
              <w:vertAlign w:val="superscript"/>
              <w:lang w:eastAsia="lt-LT"/>
            </w:rPr>
            <w:t>1</w:t>
          </w:r>
          <w:r w:rsidR="00145BA6" w:rsidRPr="00145BA6">
            <w:rPr>
              <w:bCs/>
              <w:szCs w:val="24"/>
              <w:lang w:eastAsia="lt-LT"/>
            </w:rPr>
            <w:t xml:space="preserve"> straipsniais ir V skyriaus pripažinimo netekusiu galios įstatymo projektas</w:t>
          </w:r>
          <w:r w:rsidR="00145BA6">
            <w:rPr>
              <w:bCs/>
              <w:szCs w:val="24"/>
              <w:lang w:eastAsia="lt-LT"/>
            </w:rPr>
            <w:t>.</w:t>
          </w:r>
        </w:p>
        <w:p w:rsidR="00AA6C04" w:rsidRDefault="00823CEA" w:rsidP="00AA6C04">
          <w:pPr>
            <w:spacing w:line="360" w:lineRule="atLeast"/>
            <w:jc w:val="both"/>
            <w:rPr>
              <w:szCs w:val="24"/>
              <w:lang w:eastAsia="lt-LT"/>
            </w:rPr>
          </w:pPr>
          <w:r>
            <w:rPr>
              <w:szCs w:val="24"/>
              <w:lang w:eastAsia="lt-LT"/>
            </w:rPr>
            <w:t>Teisės akto projekto tiesioginis rengėjas:</w:t>
          </w:r>
          <w:r w:rsidR="00B2492C">
            <w:rPr>
              <w:szCs w:val="24"/>
              <w:lang w:eastAsia="lt-LT"/>
            </w:rPr>
            <w:t xml:space="preserve"> Finansų ministerijos Finansų rinkų politikos departamento Kapitalo rinkų skyriaus </w:t>
          </w:r>
          <w:r w:rsidR="00AA6C04">
            <w:rPr>
              <w:szCs w:val="24"/>
              <w:lang w:eastAsia="lt-LT"/>
            </w:rPr>
            <w:t>vyriausio</w:t>
          </w:r>
          <w:r w:rsidR="00722328">
            <w:rPr>
              <w:szCs w:val="24"/>
              <w:lang w:eastAsia="lt-LT"/>
            </w:rPr>
            <w:t xml:space="preserve">ji specialistė Neringa </w:t>
          </w:r>
          <w:proofErr w:type="spellStart"/>
          <w:r w:rsidR="00722328">
            <w:rPr>
              <w:szCs w:val="24"/>
              <w:lang w:eastAsia="lt-LT"/>
            </w:rPr>
            <w:t>Černiauskė</w:t>
          </w:r>
          <w:proofErr w:type="spellEnd"/>
        </w:p>
        <w:p w:rsidR="00823CEA" w:rsidRDefault="00823CEA" w:rsidP="00823CEA">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xml:space="preserve">: </w:t>
          </w:r>
          <w:r w:rsidR="00CA1453">
            <w:rPr>
              <w:szCs w:val="24"/>
              <w:lang w:eastAsia="lt-LT"/>
            </w:rPr>
            <w:t>nėra</w:t>
          </w:r>
        </w:p>
        <w:p w:rsidR="00823CEA" w:rsidRDefault="00823CEA" w:rsidP="00823CEA">
          <w:pPr>
            <w:spacing w:line="360" w:lineRule="atLeast"/>
            <w:jc w:val="both"/>
            <w:rPr>
              <w:szCs w:val="24"/>
              <w:lang w:eastAsia="lt-LT"/>
            </w:rPr>
          </w:pPr>
          <w:r>
            <w:rPr>
              <w:szCs w:val="24"/>
              <w:lang w:eastAsia="lt-LT"/>
            </w:rPr>
            <w:t xml:space="preserve">Antikorupciniu požiūriu rizikingos teisės akto projekto nuostatos, nustatytos atliekant antikorupcinį vertinimą po </w:t>
          </w:r>
          <w:proofErr w:type="spellStart"/>
          <w:r>
            <w:rPr>
              <w:szCs w:val="24"/>
              <w:lang w:eastAsia="lt-LT"/>
            </w:rPr>
            <w:t>tarpinstitucinio</w:t>
          </w:r>
          <w:proofErr w:type="spellEnd"/>
          <w:r>
            <w:rPr>
              <w:szCs w:val="24"/>
              <w:lang w:eastAsia="lt-LT"/>
            </w:rPr>
            <w:t xml:space="preserve">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w:t>
          </w:r>
        </w:p>
        <w:p w:rsidR="00823CEA" w:rsidRDefault="00823CEA" w:rsidP="00823CEA">
          <w:pPr>
            <w:jc w:val="both"/>
            <w:rPr>
              <w:sz w:val="22"/>
              <w:lang w:eastAsia="lt-LT"/>
            </w:rPr>
          </w:pPr>
        </w:p>
        <w:tbl>
          <w:tblPr>
            <w:tblW w:w="0" w:type="auto"/>
            <w:tblInd w:w="108" w:type="dxa"/>
            <w:tblLook w:val="04A0" w:firstRow="1" w:lastRow="0" w:firstColumn="1" w:lastColumn="0" w:noHBand="0" w:noVBand="1"/>
          </w:tblPr>
          <w:tblGrid>
            <w:gridCol w:w="697"/>
            <w:gridCol w:w="1693"/>
            <w:gridCol w:w="1611"/>
            <w:gridCol w:w="2990"/>
            <w:gridCol w:w="1373"/>
            <w:gridCol w:w="998"/>
            <w:gridCol w:w="2135"/>
            <w:gridCol w:w="2614"/>
          </w:tblGrid>
          <w:tr w:rsidR="007C16BA" w:rsidTr="00DA4FDE">
            <w:trPr>
              <w:trHeight w:val="23"/>
              <w:tblHeader/>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23CEA" w:rsidRDefault="00823CEA" w:rsidP="00F77870">
                <w:pPr>
                  <w:jc w:val="center"/>
                  <w:rPr>
                    <w:sz w:val="22"/>
                    <w:szCs w:val="22"/>
                    <w:lang w:eastAsia="lt-LT"/>
                  </w:rPr>
                </w:pPr>
                <w:r>
                  <w:rPr>
                    <w:sz w:val="22"/>
                    <w:szCs w:val="22"/>
                    <w:lang w:eastAsia="lt-LT"/>
                  </w:rPr>
                  <w:t>Eil. Nr.</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3CEA" w:rsidRDefault="00823CEA" w:rsidP="00F77870">
                <w:pPr>
                  <w:jc w:val="center"/>
                  <w:rPr>
                    <w:sz w:val="22"/>
                    <w:szCs w:val="22"/>
                    <w:lang w:eastAsia="lt-LT"/>
                  </w:rPr>
                </w:pPr>
                <w:r>
                  <w:rPr>
                    <w:sz w:val="22"/>
                    <w:szCs w:val="22"/>
                    <w:lang w:eastAsia="lt-LT"/>
                  </w:rPr>
                  <w:t>Kriterijus</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3CEA" w:rsidRDefault="00823CEA" w:rsidP="00F77870">
                <w:pPr>
                  <w:jc w:val="center"/>
                  <w:rPr>
                    <w:b/>
                    <w:sz w:val="22"/>
                    <w:szCs w:val="22"/>
                    <w:lang w:eastAsia="lt-LT"/>
                  </w:rPr>
                </w:pPr>
                <w:r>
                  <w:rPr>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3CEA" w:rsidRDefault="00823CEA" w:rsidP="00F77870">
                <w:pPr>
                  <w:jc w:val="center"/>
                  <w:rPr>
                    <w:sz w:val="22"/>
                    <w:szCs w:val="22"/>
                    <w:lang w:eastAsia="lt-LT"/>
                  </w:rPr>
                </w:pPr>
                <w:r>
                  <w:rPr>
                    <w:sz w:val="22"/>
                    <w:szCs w:val="22"/>
                    <w:lang w:eastAsia="lt-LT"/>
                  </w:rPr>
                  <w:t>Teisės akto projekto pakeitimas, mažinantis korupcijos riziką, arba teisės akto projekto tiesioginio rengėjo argumentai, kodėl neatsižvelgta į pastabą</w:t>
                </w:r>
              </w:p>
            </w:tc>
            <w:tc>
              <w:tcPr>
                <w:tcW w:w="2614" w:type="dxa"/>
                <w:tcBorders>
                  <w:top w:val="single" w:sz="4" w:space="0" w:color="auto"/>
                  <w:left w:val="single" w:sz="4" w:space="0" w:color="auto"/>
                  <w:bottom w:val="single" w:sz="4" w:space="0" w:color="auto"/>
                  <w:right w:val="single" w:sz="4" w:space="0" w:color="auto"/>
                </w:tcBorders>
                <w:shd w:val="clear" w:color="auto" w:fill="auto"/>
                <w:vAlign w:val="center"/>
              </w:tcPr>
              <w:p w:rsidR="00823CEA" w:rsidRDefault="00823CEA" w:rsidP="00F77870">
                <w:pPr>
                  <w:jc w:val="center"/>
                  <w:rPr>
                    <w:sz w:val="22"/>
                    <w:szCs w:val="22"/>
                    <w:lang w:eastAsia="lt-LT"/>
                  </w:rPr>
                </w:pPr>
                <w:r>
                  <w:rPr>
                    <w:sz w:val="22"/>
                    <w:szCs w:val="22"/>
                    <w:lang w:eastAsia="lt-LT"/>
                  </w:rPr>
                  <w:t>Išvada dėl teisės akto projekto pakeitimų arba argumentų, kodėl neatsižvelgta į pastabą</w:t>
                </w:r>
              </w:p>
            </w:tc>
          </w:tr>
          <w:tr w:rsidR="007C16BA"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i/>
                    <w:sz w:val="22"/>
                    <w:szCs w:val="22"/>
                    <w:lang w:eastAsia="lt-LT"/>
                  </w:rPr>
                </w:pP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i/>
                    <w:sz w:val="22"/>
                    <w:szCs w:val="22"/>
                    <w:lang w:eastAsia="lt-LT"/>
                  </w:rPr>
                </w:pP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3CEA" w:rsidRDefault="00823CEA" w:rsidP="00F77870">
                <w:pPr>
                  <w:jc w:val="center"/>
                  <w:rPr>
                    <w:i/>
                    <w:sz w:val="22"/>
                    <w:szCs w:val="22"/>
                    <w:lang w:eastAsia="lt-LT"/>
                  </w:rPr>
                </w:pPr>
                <w:r>
                  <w:rPr>
                    <w:i/>
                    <w:sz w:val="22"/>
                    <w:szCs w:val="22"/>
                    <w:lang w:eastAsia="lt-LT"/>
                  </w:rPr>
                  <w:t>pildo teisės akto projekto vertintojas</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3CEA" w:rsidRDefault="00823CEA" w:rsidP="00F77870">
                <w:pPr>
                  <w:jc w:val="center"/>
                  <w:rPr>
                    <w:i/>
                    <w:sz w:val="22"/>
                    <w:szCs w:val="22"/>
                    <w:lang w:eastAsia="lt-LT"/>
                  </w:rPr>
                </w:pPr>
                <w:r>
                  <w:rPr>
                    <w:i/>
                    <w:sz w:val="22"/>
                    <w:szCs w:val="22"/>
                    <w:lang w:eastAsia="lt-LT"/>
                  </w:rPr>
                  <w:t>pildo teisės akto projekto tiesioginis rengėjas</w:t>
                </w:r>
              </w:p>
            </w:tc>
            <w:tc>
              <w:tcPr>
                <w:tcW w:w="2614" w:type="dxa"/>
                <w:tcBorders>
                  <w:top w:val="single" w:sz="4" w:space="0" w:color="auto"/>
                  <w:left w:val="single" w:sz="4" w:space="0" w:color="auto"/>
                  <w:bottom w:val="single" w:sz="4" w:space="0" w:color="auto"/>
                  <w:right w:val="single" w:sz="4" w:space="0" w:color="auto"/>
                </w:tcBorders>
                <w:shd w:val="clear" w:color="auto" w:fill="auto"/>
                <w:vAlign w:val="center"/>
              </w:tcPr>
              <w:p w:rsidR="00823CEA" w:rsidRDefault="00823CEA" w:rsidP="00F77870">
                <w:pPr>
                  <w:jc w:val="center"/>
                  <w:rPr>
                    <w:i/>
                    <w:sz w:val="22"/>
                    <w:szCs w:val="22"/>
                    <w:lang w:eastAsia="lt-LT"/>
                  </w:rPr>
                </w:pPr>
                <w:r>
                  <w:rPr>
                    <w:i/>
                    <w:sz w:val="22"/>
                    <w:szCs w:val="22"/>
                    <w:lang w:eastAsia="lt-LT"/>
                  </w:rPr>
                  <w:t>pildo teisės akto projekto vertintojas</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1.</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Teisės akto projektas nesudaro išskirtinių ar nevienodų sąlygų subjektams, su kuriais susijęs teisės akto įgyvendinimas</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Pr="00256476" w:rsidRDefault="00256476" w:rsidP="00256476">
                <w:pPr>
                  <w:jc w:val="both"/>
                  <w:rPr>
                    <w:sz w:val="22"/>
                    <w:szCs w:val="22"/>
                    <w:lang w:eastAsia="lt-LT"/>
                  </w:rPr>
                </w:pPr>
                <w:r w:rsidRPr="00256476">
                  <w:rPr>
                    <w:sz w:val="22"/>
                    <w:szCs w:val="22"/>
                    <w:lang w:eastAsia="lt-LT"/>
                  </w:rPr>
                  <w:t xml:space="preserve">Įstatymo projektu </w:t>
                </w:r>
                <w:r>
                  <w:rPr>
                    <w:sz w:val="22"/>
                    <w:szCs w:val="22"/>
                    <w:lang w:eastAsia="lt-LT"/>
                  </w:rPr>
                  <w:t xml:space="preserve">siūlomas reglamentavimas </w:t>
                </w:r>
                <w:r w:rsidRPr="00256476">
                  <w:rPr>
                    <w:sz w:val="22"/>
                    <w:szCs w:val="22"/>
                    <w:lang w:eastAsia="lt-LT"/>
                  </w:rPr>
                  <w:t>nesudaro</w:t>
                </w:r>
                <w:r>
                  <w:rPr>
                    <w:sz w:val="22"/>
                    <w:szCs w:val="22"/>
                    <w:lang w:eastAsia="lt-LT"/>
                  </w:rPr>
                  <w:t xml:space="preserve"> išskirtinių ar nevienodų sąlygų subjektams, su kuriais susijęs įstatymo įgyvendinimas</w:t>
                </w:r>
                <w:r w:rsidR="00FA0827">
                  <w:rPr>
                    <w:sz w:val="22"/>
                    <w:szCs w:val="22"/>
                    <w:lang w:eastAsia="lt-LT"/>
                  </w:rPr>
                  <w:t>.</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b/>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jc w:val="center"/>
                  <w:rPr>
                    <w:sz w:val="22"/>
                    <w:szCs w:val="22"/>
                    <w:lang w:eastAsia="lt-LT"/>
                  </w:rPr>
                </w:pPr>
                <w:r>
                  <w:rPr>
                    <w:sz w:val="22"/>
                    <w:szCs w:val="22"/>
                    <w:lang w:eastAsia="lt-LT"/>
                  </w:rPr>
                  <w:t>2.</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rPr>
                    <w:sz w:val="22"/>
                    <w:szCs w:val="22"/>
                    <w:lang w:eastAsia="lt-LT"/>
                  </w:rPr>
                </w:pPr>
                <w:r>
                  <w:rPr>
                    <w:sz w:val="22"/>
                    <w:szCs w:val="22"/>
                    <w:lang w:eastAsia="lt-LT"/>
                  </w:rPr>
                  <w:t>Teisės akto projekte nėra spragų ar nuostatų, leisiančių dviprasmiškai aiškinti ir taikyti teisės aktą</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256476" w:rsidP="00256476">
                <w:pPr>
                  <w:keepNext/>
                  <w:jc w:val="both"/>
                  <w:rPr>
                    <w:sz w:val="22"/>
                    <w:szCs w:val="22"/>
                    <w:lang w:eastAsia="lt-LT"/>
                  </w:rPr>
                </w:pPr>
                <w:r>
                  <w:rPr>
                    <w:sz w:val="22"/>
                    <w:szCs w:val="22"/>
                    <w:lang w:eastAsia="lt-LT"/>
                  </w:rPr>
                  <w:t>Spragų ar nuostatų, leisiančių dviprasmiškai aiškinti ir taikyti įstatymą, nenustatyta</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rPr>
                    <w:sz w:val="22"/>
                    <w:szCs w:val="22"/>
                    <w:lang w:eastAsia="lt-LT"/>
                  </w:rPr>
                </w:pPr>
                <w:r>
                  <w:rPr>
                    <w:sz w:val="22"/>
                    <w:szCs w:val="22"/>
                    <w:lang w:eastAsia="lt-LT"/>
                  </w:rPr>
                  <w:t>□ tenkina</w:t>
                </w:r>
              </w:p>
              <w:p w:rsidR="00823CEA" w:rsidRDefault="00823CEA" w:rsidP="00F77870">
                <w:pPr>
                  <w:keepNext/>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3.</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xml:space="preserve">Teisės akto projekte nustatyta, kad sprendimą dėl teisių suteikimo, apribojimų nustatymo, sankcijų </w:t>
                </w:r>
                <w:r>
                  <w:rPr>
                    <w:sz w:val="22"/>
                    <w:szCs w:val="22"/>
                    <w:lang w:eastAsia="lt-LT"/>
                  </w:rPr>
                  <w:lastRenderedPageBreak/>
                  <w:t>taikymo ir panašiai priimantis subjektas atskirtas nuo šių sprendimų teisėtumą ir įgyvendinimą kontroliuojančio (prižiūrinčio) subjekto</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256476" w:rsidP="00674DB4">
                <w:pPr>
                  <w:jc w:val="both"/>
                  <w:rPr>
                    <w:sz w:val="22"/>
                    <w:szCs w:val="22"/>
                    <w:lang w:eastAsia="lt-LT"/>
                  </w:rPr>
                </w:pPr>
                <w:r>
                  <w:rPr>
                    <w:sz w:val="22"/>
                    <w:szCs w:val="22"/>
                    <w:lang w:eastAsia="lt-LT"/>
                  </w:rPr>
                  <w:lastRenderedPageBreak/>
                  <w:t xml:space="preserve">Sprendimą dėl poveikio priemonių taikymo priimantis subjektas yra atskirtas nuo sprendimų įgyvendinimą prižiūrinčio subjekto. </w:t>
                </w:r>
                <w:r>
                  <w:rPr>
                    <w:sz w:val="22"/>
                    <w:szCs w:val="22"/>
                    <w:lang w:eastAsia="lt-LT"/>
                  </w:rPr>
                  <w:lastRenderedPageBreak/>
                  <w:t>Sprendimą dėl poveikio priemonių taikymo priima pri</w:t>
                </w:r>
                <w:r w:rsidR="009B67C6">
                  <w:rPr>
                    <w:sz w:val="22"/>
                    <w:szCs w:val="22"/>
                    <w:lang w:eastAsia="lt-LT"/>
                  </w:rPr>
                  <w:t>e</w:t>
                </w:r>
                <w:r>
                  <w:rPr>
                    <w:sz w:val="22"/>
                    <w:szCs w:val="22"/>
                    <w:lang w:eastAsia="lt-LT"/>
                  </w:rPr>
                  <w:t>žiūr</w:t>
                </w:r>
                <w:r w:rsidR="00C80FA3">
                  <w:rPr>
                    <w:sz w:val="22"/>
                    <w:szCs w:val="22"/>
                    <w:lang w:eastAsia="lt-LT"/>
                  </w:rPr>
                  <w:t>os</w:t>
                </w:r>
                <w:r>
                  <w:rPr>
                    <w:sz w:val="22"/>
                    <w:szCs w:val="22"/>
                    <w:lang w:eastAsia="lt-LT"/>
                  </w:rPr>
                  <w:t xml:space="preserve"> institucija – Lietuvos bankas. </w:t>
                </w:r>
                <w:r w:rsidR="00674DB4" w:rsidRPr="00674DB4">
                  <w:rPr>
                    <w:sz w:val="22"/>
                    <w:szCs w:val="22"/>
                    <w:lang w:eastAsia="lt-LT"/>
                  </w:rPr>
                  <w:t>Priežiūros institucijos veiksmai ar neveikimas skundžiami Lietuvos Respublikos administracinių bylų teisenos įstatymo nustatyta tvarka</w:t>
                </w:r>
                <w:r w:rsidR="00674DB4">
                  <w:rPr>
                    <w:sz w:val="22"/>
                    <w:szCs w:val="22"/>
                    <w:lang w:eastAsia="lt-LT"/>
                  </w:rPr>
                  <w:t>.</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lastRenderedPageBreak/>
                  <w:t>4.</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Teisės akto projekte nustatyti subjekto įgaliojimai (teisės) atitinka subjekto atliekamas funkcijas (pareigas)</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5344EE" w:rsidP="00D54138">
                <w:pPr>
                  <w:jc w:val="both"/>
                  <w:rPr>
                    <w:sz w:val="22"/>
                    <w:szCs w:val="22"/>
                    <w:lang w:eastAsia="lt-LT"/>
                  </w:rPr>
                </w:pPr>
                <w:r>
                  <w:rPr>
                    <w:sz w:val="22"/>
                    <w:szCs w:val="22"/>
                    <w:lang w:eastAsia="lt-LT"/>
                  </w:rPr>
                  <w:t>Įstatymo</w:t>
                </w:r>
                <w:r w:rsidR="00883B65">
                  <w:rPr>
                    <w:sz w:val="22"/>
                    <w:szCs w:val="22"/>
                    <w:lang w:eastAsia="lt-LT"/>
                  </w:rPr>
                  <w:t xml:space="preserve"> projekto </w:t>
                </w:r>
                <w:r w:rsidR="00D54138">
                  <w:rPr>
                    <w:sz w:val="22"/>
                    <w:szCs w:val="22"/>
                    <w:lang w:eastAsia="lt-LT"/>
                  </w:rPr>
                  <w:t>29</w:t>
                </w:r>
                <w:r w:rsidR="006D3A13">
                  <w:rPr>
                    <w:sz w:val="22"/>
                    <w:szCs w:val="22"/>
                    <w:lang w:eastAsia="lt-LT"/>
                  </w:rPr>
                  <w:t xml:space="preserve"> </w:t>
                </w:r>
                <w:r w:rsidR="00D54138">
                  <w:rPr>
                    <w:sz w:val="22"/>
                    <w:szCs w:val="22"/>
                    <w:lang w:eastAsia="lt-LT"/>
                  </w:rPr>
                  <w:t>straipsnyje</w:t>
                </w:r>
                <w:r>
                  <w:rPr>
                    <w:sz w:val="22"/>
                    <w:szCs w:val="22"/>
                    <w:lang w:eastAsia="lt-LT"/>
                  </w:rPr>
                  <w:t xml:space="preserve"> nustatytos priežiūros institucijos teisės ir pareigos atitinka priežiūros institucijos fu</w:t>
                </w:r>
                <w:r w:rsidR="00883B65">
                  <w:rPr>
                    <w:sz w:val="22"/>
                    <w:szCs w:val="22"/>
                    <w:lang w:eastAsia="lt-LT"/>
                  </w:rPr>
                  <w:t>n</w:t>
                </w:r>
                <w:r w:rsidR="00D54138">
                  <w:rPr>
                    <w:sz w:val="22"/>
                    <w:szCs w:val="22"/>
                    <w:lang w:eastAsia="lt-LT"/>
                  </w:rPr>
                  <w:t xml:space="preserve">kcijas nustatytas Finansinių priemonių rinkų </w:t>
                </w:r>
                <w:r w:rsidR="00D113C3">
                  <w:rPr>
                    <w:sz w:val="22"/>
                    <w:szCs w:val="22"/>
                    <w:lang w:eastAsia="lt-LT"/>
                  </w:rPr>
                  <w:t>įstatymu.</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5.</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Teisės akto projekte nustatytas baigtinis sprendimo priėmimo kriterijų (atvejų) sąrašas</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C03410" w:rsidP="006D3A13">
                <w:pPr>
                  <w:jc w:val="both"/>
                  <w:rPr>
                    <w:sz w:val="22"/>
                    <w:szCs w:val="22"/>
                    <w:lang w:eastAsia="lt-LT"/>
                  </w:rPr>
                </w:pPr>
                <w:r>
                  <w:rPr>
                    <w:sz w:val="22"/>
                    <w:szCs w:val="22"/>
                    <w:lang w:eastAsia="lt-LT"/>
                  </w:rPr>
                  <w:t>Kriterijus nesusijęs su Įstatymo projektu.</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6.</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Teisės akto projekte nustatytas baigtinis sąrašas motyvuotų atvejų, kai priimant sprendimus taikomos išimtys</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EF048F" w:rsidP="00500FB5">
                <w:pPr>
                  <w:jc w:val="both"/>
                  <w:rPr>
                    <w:sz w:val="22"/>
                    <w:szCs w:val="22"/>
                    <w:lang w:eastAsia="lt-LT"/>
                  </w:rPr>
                </w:pPr>
                <w:r>
                  <w:rPr>
                    <w:sz w:val="22"/>
                    <w:szCs w:val="22"/>
                    <w:lang w:eastAsia="lt-LT"/>
                  </w:rPr>
                  <w:t>Įstatymo projekte nėra numatyti atvejai, kai, priimant sprendimus, taikomos išimtys.</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7.</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Teisės akto projekte nustatyta sprendimų priėmimo, įforminimo tvarka ir priimtų sprendimų viešinimas</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D54138" w:rsidP="00747D59">
                <w:pPr>
                  <w:jc w:val="both"/>
                  <w:rPr>
                    <w:sz w:val="22"/>
                    <w:szCs w:val="22"/>
                    <w:lang w:eastAsia="lt-LT"/>
                  </w:rPr>
                </w:pPr>
                <w:r>
                  <w:rPr>
                    <w:sz w:val="22"/>
                    <w:szCs w:val="22"/>
                    <w:lang w:eastAsia="lt-LT"/>
                  </w:rPr>
                  <w:t xml:space="preserve">Įstatymo projekte nėra nustatyta </w:t>
                </w:r>
                <w:r w:rsidRPr="00D54138">
                  <w:rPr>
                    <w:sz w:val="22"/>
                    <w:szCs w:val="22"/>
                    <w:lang w:eastAsia="lt-LT"/>
                  </w:rPr>
                  <w:t>sprendimų priėmimo, įforminimo tvarka ir priimtų sprendimų viešinimas</w:t>
                </w:r>
                <w:r>
                  <w:rPr>
                    <w:sz w:val="22"/>
                    <w:szCs w:val="22"/>
                    <w:lang w:eastAsia="lt-LT"/>
                  </w:rPr>
                  <w:t>.</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8.</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Teisės akto projekte nustatyta sprendimų dėl mažareikšmiškumo priėmimo tvarka</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Pr="00C80FA3" w:rsidRDefault="00C80FA3" w:rsidP="00F77870">
                <w:pPr>
                  <w:rPr>
                    <w:sz w:val="22"/>
                    <w:szCs w:val="22"/>
                    <w:lang w:eastAsia="lt-LT"/>
                  </w:rPr>
                </w:pPr>
                <w:r w:rsidRPr="00C80FA3">
                  <w:rPr>
                    <w:sz w:val="22"/>
                    <w:szCs w:val="22"/>
                    <w:lang w:eastAsia="lt-LT"/>
                  </w:rPr>
                  <w:t>Įstatymo projekte nenumatyta sprendimų dėl mažareikšmiškumo priėmimo tvarka.</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b/>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9.</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Jeigu pagal numatomą reguliavimą sprendimus priima kolegialus subjektas, teisės akto projekte nustatyta kolegialaus sprendimus priimančio subjekto:</w:t>
                </w:r>
              </w:p>
              <w:p w:rsidR="00823CEA" w:rsidRDefault="00823CEA" w:rsidP="00F77870">
                <w:pPr>
                  <w:ind w:left="33"/>
                  <w:rPr>
                    <w:sz w:val="22"/>
                    <w:szCs w:val="22"/>
                  </w:rPr>
                </w:pPr>
                <w:r>
                  <w:rPr>
                    <w:sz w:val="22"/>
                    <w:szCs w:val="22"/>
                  </w:rPr>
                  <w:t xml:space="preserve">9.1. konkretus narių skaičius, </w:t>
                </w:r>
                <w:r>
                  <w:rPr>
                    <w:sz w:val="22"/>
                    <w:szCs w:val="22"/>
                  </w:rPr>
                  <w:lastRenderedPageBreak/>
                  <w:t>užtikrinantis kolegialaus sprendimus priimančio subjekto veiklos objektyvumą;</w:t>
                </w:r>
              </w:p>
              <w:p w:rsidR="00823CEA" w:rsidRDefault="00823CEA" w:rsidP="00F77870">
                <w:pPr>
                  <w:ind w:left="33"/>
                  <w:rPr>
                    <w:sz w:val="22"/>
                    <w:szCs w:val="22"/>
                  </w:rPr>
                </w:pPr>
                <w:r>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823CEA" w:rsidRDefault="00823CEA" w:rsidP="00F77870">
                <w:pPr>
                  <w:rPr>
                    <w:sz w:val="22"/>
                    <w:szCs w:val="22"/>
                    <w:lang w:eastAsia="lt-LT"/>
                  </w:rPr>
                </w:pPr>
                <w:r>
                  <w:rPr>
                    <w:sz w:val="22"/>
                    <w:szCs w:val="22"/>
                    <w:lang w:eastAsia="lt-LT"/>
                  </w:rPr>
                  <w:t>9.3</w:t>
                </w:r>
                <w:r>
                  <w:rPr>
                    <w:spacing w:val="-4"/>
                    <w:sz w:val="22"/>
                    <w:szCs w:val="22"/>
                    <w:lang w:eastAsia="lt-LT"/>
                  </w:rPr>
                  <w:t>. narių skyrimo mechanizmas;</w:t>
                </w:r>
              </w:p>
              <w:p w:rsidR="00823CEA" w:rsidRDefault="00823CEA" w:rsidP="00F77870">
                <w:pPr>
                  <w:rPr>
                    <w:sz w:val="22"/>
                    <w:szCs w:val="22"/>
                    <w:lang w:eastAsia="lt-LT"/>
                  </w:rPr>
                </w:pPr>
                <w:r>
                  <w:rPr>
                    <w:sz w:val="22"/>
                    <w:szCs w:val="22"/>
                    <w:lang w:eastAsia="lt-LT"/>
                  </w:rPr>
                  <w:t>9.4. narių rotacija ir kadencijų skaičius ir trukmė;</w:t>
                </w:r>
              </w:p>
              <w:p w:rsidR="00823CEA" w:rsidRDefault="00823CEA" w:rsidP="00F77870">
                <w:pPr>
                  <w:rPr>
                    <w:sz w:val="22"/>
                    <w:szCs w:val="22"/>
                  </w:rPr>
                </w:pPr>
                <w:r>
                  <w:rPr>
                    <w:sz w:val="22"/>
                    <w:szCs w:val="22"/>
                  </w:rPr>
                  <w:t>9.5. veiklos pobūdis laiko atžvilgiu;</w:t>
                </w:r>
              </w:p>
              <w:p w:rsidR="00823CEA" w:rsidRDefault="00823CEA" w:rsidP="00F77870">
                <w:pPr>
                  <w:rPr>
                    <w:sz w:val="22"/>
                    <w:szCs w:val="22"/>
                    <w:lang w:eastAsia="lt-LT"/>
                  </w:rPr>
                </w:pPr>
                <w:r>
                  <w:rPr>
                    <w:sz w:val="22"/>
                    <w:szCs w:val="22"/>
                    <w:lang w:eastAsia="lt-LT"/>
                  </w:rPr>
                  <w:t>9.6. individuali narių atsakomybė</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Pr="006D0394" w:rsidRDefault="006D0394" w:rsidP="009B67C6">
                <w:pPr>
                  <w:jc w:val="both"/>
                  <w:rPr>
                    <w:sz w:val="22"/>
                    <w:szCs w:val="22"/>
                    <w:lang w:eastAsia="lt-LT"/>
                  </w:rPr>
                </w:pPr>
                <w:r>
                  <w:rPr>
                    <w:sz w:val="22"/>
                    <w:szCs w:val="22"/>
                    <w:lang w:eastAsia="lt-LT"/>
                  </w:rPr>
                  <w:lastRenderedPageBreak/>
                  <w:t>Įstatymo projekte nėra nuostatų, reglamentuojančių kolegialaus subjekto sprendimų priėmimo tvarką.</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lastRenderedPageBreak/>
                  <w:t>10.</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xml:space="preserve">Teisės akto projekto nuostatoms įgyvendinti numatytos administracinės procedūros yra </w:t>
                </w:r>
                <w:r>
                  <w:rPr>
                    <w:sz w:val="22"/>
                    <w:szCs w:val="22"/>
                    <w:shd w:val="clear" w:color="auto" w:fill="FFFFFF"/>
                    <w:lang w:eastAsia="lt-LT"/>
                  </w:rPr>
                  <w:t>būtinos,</w:t>
                </w:r>
                <w:r>
                  <w:rPr>
                    <w:sz w:val="22"/>
                    <w:szCs w:val="22"/>
                    <w:lang w:eastAsia="lt-LT"/>
                  </w:rPr>
                  <w:t xml:space="preserve"> nustatyta išsami jų taikymo tvarka </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9B67C6" w:rsidP="009B67C6">
                <w:pPr>
                  <w:jc w:val="both"/>
                  <w:rPr>
                    <w:sz w:val="22"/>
                    <w:szCs w:val="22"/>
                    <w:lang w:eastAsia="lt-LT"/>
                  </w:rPr>
                </w:pPr>
                <w:r>
                  <w:rPr>
                    <w:sz w:val="22"/>
                    <w:szCs w:val="22"/>
                    <w:lang w:eastAsia="lt-LT"/>
                  </w:rPr>
                  <w:t>Įstatymo projekte nėra nuostatų, numatančių administracinę procedūrą, kaip tai apibrėžta Lietuvos Respublikos viešojo administravimo įstatyme.</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jc w:val="center"/>
                  <w:rPr>
                    <w:sz w:val="22"/>
                    <w:szCs w:val="22"/>
                    <w:lang w:eastAsia="lt-LT"/>
                  </w:rPr>
                </w:pPr>
                <w:r>
                  <w:rPr>
                    <w:sz w:val="22"/>
                    <w:szCs w:val="22"/>
                    <w:lang w:eastAsia="lt-LT"/>
                  </w:rPr>
                  <w:t>11.</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rPr>
                    <w:sz w:val="22"/>
                    <w:szCs w:val="22"/>
                    <w:lang w:eastAsia="lt-LT"/>
                  </w:rPr>
                </w:pPr>
                <w:r>
                  <w:rPr>
                    <w:sz w:val="22"/>
                    <w:szCs w:val="22"/>
                    <w:lang w:eastAsia="lt-LT"/>
                  </w:rPr>
                  <w:t>Teisės akto projekte nustatytas baigtinis sąrašas motyvuotų atvejų, kai administracinė procedūra netaikoma</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9B67C6" w:rsidP="00F77870">
                <w:pPr>
                  <w:keepNext/>
                  <w:rPr>
                    <w:sz w:val="22"/>
                    <w:szCs w:val="22"/>
                    <w:lang w:eastAsia="lt-LT"/>
                  </w:rPr>
                </w:pPr>
                <w:r>
                  <w:rPr>
                    <w:sz w:val="22"/>
                    <w:szCs w:val="22"/>
                    <w:lang w:eastAsia="lt-LT"/>
                  </w:rPr>
                  <w:t>Kriterijus nesusijęs su Įstatymo projektu.</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rPr>
                    <w:sz w:val="22"/>
                    <w:szCs w:val="22"/>
                    <w:lang w:eastAsia="lt-LT"/>
                  </w:rPr>
                </w:pPr>
                <w:r>
                  <w:rPr>
                    <w:sz w:val="22"/>
                    <w:szCs w:val="22"/>
                    <w:lang w:eastAsia="lt-LT"/>
                  </w:rPr>
                  <w:t>□ tenkina</w:t>
                </w:r>
              </w:p>
              <w:p w:rsidR="00823CEA" w:rsidRDefault="00823CEA" w:rsidP="00F77870">
                <w:pPr>
                  <w:keepNext/>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12.</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Teisės akto projektas nustato jo nuostatoms įgyvendinti numatytų administracinių procedūrų ir sprendimo priėmimo konkrečius terminus</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9B67C6" w:rsidP="00F77870">
                <w:pPr>
                  <w:rPr>
                    <w:sz w:val="22"/>
                    <w:szCs w:val="22"/>
                    <w:lang w:eastAsia="lt-LT"/>
                  </w:rPr>
                </w:pPr>
                <w:r>
                  <w:rPr>
                    <w:sz w:val="22"/>
                    <w:szCs w:val="22"/>
                    <w:lang w:eastAsia="lt-LT"/>
                  </w:rPr>
                  <w:t>Kriterijus nesusijęs su Įstatymo projektu.</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lastRenderedPageBreak/>
                  <w:t>13.</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Teisės akto projektas nustato motyvuotas terminų sustabdymo ir pratęsimo galimybes</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9B67C6" w:rsidP="00F77870">
                <w:pPr>
                  <w:rPr>
                    <w:sz w:val="22"/>
                    <w:szCs w:val="22"/>
                    <w:lang w:eastAsia="lt-LT"/>
                  </w:rPr>
                </w:pPr>
                <w:r>
                  <w:rPr>
                    <w:sz w:val="22"/>
                    <w:szCs w:val="22"/>
                    <w:lang w:eastAsia="lt-LT"/>
                  </w:rPr>
                  <w:t>Kriterijus nesusijęs su Įstatymo projektu.</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14.</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Teisės akto projektas nustato administracinių procedūrų viešinimo tvarką</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9B67C6" w:rsidP="00F77870">
                <w:pPr>
                  <w:rPr>
                    <w:b/>
                    <w:sz w:val="22"/>
                    <w:szCs w:val="22"/>
                    <w:lang w:eastAsia="lt-LT"/>
                  </w:rPr>
                </w:pPr>
                <w:r>
                  <w:rPr>
                    <w:sz w:val="22"/>
                    <w:szCs w:val="22"/>
                    <w:lang w:eastAsia="lt-LT"/>
                  </w:rPr>
                  <w:t>Kriterijus nesusijęs su Įstatymo projektu.</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b/>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15.</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Teisės akto projektas nustato kontrolės (priežiūros) procedūrą ir aiškius jos atlikimo kriterijus (atvejus, dažnį, fiksavimą, kontrolės rezultatų viešinimą ir panašiai)</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C03410" w:rsidP="00747D59">
                <w:pPr>
                  <w:rPr>
                    <w:sz w:val="22"/>
                    <w:szCs w:val="22"/>
                    <w:lang w:eastAsia="lt-LT"/>
                  </w:rPr>
                </w:pPr>
                <w:r>
                  <w:rPr>
                    <w:sz w:val="22"/>
                    <w:szCs w:val="22"/>
                    <w:lang w:eastAsia="lt-LT"/>
                  </w:rPr>
                  <w:t>Kriterijus</w:t>
                </w:r>
                <w:r w:rsidR="00FD5FD4">
                  <w:rPr>
                    <w:sz w:val="22"/>
                    <w:szCs w:val="22"/>
                    <w:lang w:eastAsia="lt-LT"/>
                  </w:rPr>
                  <w:t xml:space="preserve"> nesusijęs su Įstatymo projektu.</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16.</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Teisės akto projekte nustatytos kontrolės (priežiūros) skaidrumo ir objektyvumo užtikrinimo priemonės</w:t>
                </w:r>
                <w:r>
                  <w:rPr>
                    <w:sz w:val="22"/>
                    <w:szCs w:val="22"/>
                    <w:vertAlign w:val="superscript"/>
                    <w:lang w:eastAsia="lt-LT"/>
                  </w:rPr>
                  <w:footnoteReference w:id="3"/>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Pr="00ED27E9" w:rsidRDefault="00ED27E9" w:rsidP="00625772">
                <w:pPr>
                  <w:jc w:val="both"/>
                  <w:rPr>
                    <w:sz w:val="22"/>
                    <w:szCs w:val="22"/>
                    <w:lang w:eastAsia="lt-LT"/>
                  </w:rPr>
                </w:pPr>
                <w:r w:rsidRPr="00ED27E9">
                  <w:rPr>
                    <w:sz w:val="22"/>
                    <w:szCs w:val="22"/>
                    <w:lang w:eastAsia="lt-LT"/>
                  </w:rPr>
                  <w:t>Įstatymo projekte nustatyti reikalavimai, kurių turi laikytis prižiūrimi subjektai ir kurių laikymąsi prižiūri Lietuvos bankas. Numatytos poveikio priemonės, kurios taikomos, kai šie reikalavimai pažeidžiami</w:t>
                </w:r>
                <w:r w:rsidR="00DA4FDE">
                  <w:rPr>
                    <w:sz w:val="22"/>
                    <w:szCs w:val="22"/>
                    <w:lang w:eastAsia="lt-LT"/>
                  </w:rPr>
                  <w:t>.</w:t>
                </w:r>
                <w:r w:rsidRPr="00ED27E9">
                  <w:rPr>
                    <w:sz w:val="22"/>
                    <w:szCs w:val="22"/>
                    <w:lang w:eastAsia="lt-LT"/>
                  </w:rPr>
                  <w:t xml:space="preserve"> Objektyvumą užtikrina tai, kad Lietuvos bankas taiko poveikio priemones įstatyme nustatytais pagrindais. </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jc w:val="center"/>
                  <w:rPr>
                    <w:sz w:val="22"/>
                    <w:szCs w:val="22"/>
                    <w:lang w:eastAsia="lt-LT"/>
                  </w:rPr>
                </w:pPr>
                <w:r>
                  <w:rPr>
                    <w:sz w:val="22"/>
                    <w:szCs w:val="22"/>
                    <w:lang w:eastAsia="lt-LT"/>
                  </w:rPr>
                  <w:t>17.</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rPr>
                    <w:sz w:val="22"/>
                    <w:szCs w:val="22"/>
                    <w:lang w:eastAsia="lt-LT"/>
                  </w:rPr>
                </w:pPr>
                <w:r>
                  <w:rPr>
                    <w:sz w:val="22"/>
                    <w:szCs w:val="22"/>
                    <w:lang w:eastAsia="lt-LT"/>
                  </w:rPr>
                  <w:t>Teisės akto projekte nustatyta subjektų, su kuriais susijęs teisės akto projekto nuostatų įgyvendinimas, atsakomybės rūšis (tarnybinė, administracinė, baudžiamoji ir panašiai)</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Pr="00ED27E9" w:rsidRDefault="00D54138" w:rsidP="00ED27E9">
                <w:pPr>
                  <w:keepNext/>
                  <w:jc w:val="both"/>
                  <w:rPr>
                    <w:sz w:val="22"/>
                    <w:szCs w:val="22"/>
                    <w:lang w:eastAsia="lt-LT"/>
                  </w:rPr>
                </w:pPr>
                <w:r w:rsidRPr="00D54138">
                  <w:rPr>
                    <w:sz w:val="22"/>
                    <w:szCs w:val="22"/>
                    <w:lang w:eastAsia="lt-LT"/>
                  </w:rPr>
                  <w:t>Kriterijus nesusijęs su Įstatymo projektu.</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rPr>
                    <w:b/>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rPr>
                    <w:sz w:val="22"/>
                    <w:szCs w:val="22"/>
                    <w:lang w:eastAsia="lt-LT"/>
                  </w:rPr>
                </w:pPr>
                <w:r>
                  <w:rPr>
                    <w:sz w:val="22"/>
                    <w:szCs w:val="22"/>
                    <w:lang w:eastAsia="lt-LT"/>
                  </w:rPr>
                  <w:t>□ tenkina</w:t>
                </w:r>
              </w:p>
              <w:p w:rsidR="00823CEA" w:rsidRDefault="00823CEA" w:rsidP="00F77870">
                <w:pPr>
                  <w:keepNext/>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18.</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xml:space="preserve">Teisės aktų projekte numatytas </w:t>
                </w:r>
                <w:r>
                  <w:rPr>
                    <w:sz w:val="22"/>
                    <w:szCs w:val="22"/>
                    <w:lang w:eastAsia="lt-LT"/>
                  </w:rPr>
                  <w:lastRenderedPageBreak/>
                  <w:t>baigtinis sąrašas kriterijų, pagal kuriuos skiriama nuobauda (sankcija) už teisės akto projekte nustatytų nurodymų nevykdymą, ir nustatyta aiški jos skyrimo procedūra</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6A48C1" w:rsidP="008F4725">
                <w:pPr>
                  <w:jc w:val="both"/>
                  <w:rPr>
                    <w:sz w:val="22"/>
                    <w:szCs w:val="22"/>
                    <w:lang w:eastAsia="lt-LT"/>
                  </w:rPr>
                </w:pPr>
                <w:r>
                  <w:rPr>
                    <w:sz w:val="22"/>
                    <w:szCs w:val="22"/>
                    <w:lang w:eastAsia="lt-LT"/>
                  </w:rPr>
                  <w:lastRenderedPageBreak/>
                  <w:t xml:space="preserve">Įstatymo projekto 31 straipsniu papildomas </w:t>
                </w:r>
                <w:r>
                  <w:rPr>
                    <w:sz w:val="22"/>
                    <w:szCs w:val="22"/>
                    <w:lang w:eastAsia="lt-LT"/>
                  </w:rPr>
                  <w:lastRenderedPageBreak/>
                  <w:t>Finansinių priemonių rinkų įstatymo</w:t>
                </w:r>
                <w:r w:rsidR="008F4725">
                  <w:rPr>
                    <w:sz w:val="22"/>
                    <w:szCs w:val="22"/>
                    <w:lang w:eastAsia="lt-LT"/>
                  </w:rPr>
                  <w:t xml:space="preserve"> baigtinis sąrašas kriterijų pagal kuriuos skiriamos  nuobaudos bei jų skyrimo procedūra. Lietuvos bankas nuobaudas taiko Įstatymo projekte nustatyta tvarka.</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lastRenderedPageBreak/>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lastRenderedPageBreak/>
                  <w:t>19.</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Kiti svarbūs kriterijai</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F4725" w:rsidP="00F77870">
                <w:pPr>
                  <w:rPr>
                    <w:sz w:val="22"/>
                    <w:szCs w:val="22"/>
                    <w:lang w:eastAsia="lt-LT"/>
                  </w:rPr>
                </w:pPr>
                <w:r>
                  <w:rPr>
                    <w:sz w:val="22"/>
                    <w:szCs w:val="22"/>
                    <w:lang w:eastAsia="lt-LT"/>
                  </w:rPr>
                  <w:t>Nėra.</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823CEA" w:rsidTr="00DA4FDE">
            <w:trPr>
              <w:trHeight w:val="23"/>
            </w:trPr>
            <w:tc>
              <w:tcPr>
                <w:tcW w:w="2390" w:type="dxa"/>
                <w:gridSpan w:val="2"/>
                <w:shd w:val="clear" w:color="auto" w:fill="auto"/>
              </w:tcPr>
              <w:p w:rsidR="00823CEA" w:rsidRDefault="00823CEA" w:rsidP="00F77870">
                <w:pPr>
                  <w:rPr>
                    <w:sz w:val="22"/>
                    <w:szCs w:val="22"/>
                    <w:lang w:eastAsia="lt-LT"/>
                  </w:rPr>
                </w:pPr>
              </w:p>
              <w:p w:rsidR="00823CEA" w:rsidRDefault="00823CEA" w:rsidP="00F77870">
                <w:pPr>
                  <w:rPr>
                    <w:sz w:val="22"/>
                    <w:szCs w:val="22"/>
                    <w:lang w:eastAsia="lt-LT"/>
                  </w:rPr>
                </w:pPr>
                <w:r>
                  <w:rPr>
                    <w:sz w:val="22"/>
                    <w:szCs w:val="22"/>
                    <w:lang w:eastAsia="lt-LT"/>
                  </w:rPr>
                  <w:t>Teisės akto projekto tiesioginis rengėjas:</w:t>
                </w:r>
              </w:p>
            </w:tc>
            <w:tc>
              <w:tcPr>
                <w:tcW w:w="4601" w:type="dxa"/>
                <w:gridSpan w:val="2"/>
                <w:tcBorders>
                  <w:bottom w:val="single" w:sz="4" w:space="0" w:color="auto"/>
                </w:tcBorders>
                <w:shd w:val="clear" w:color="auto" w:fill="auto"/>
              </w:tcPr>
              <w:p w:rsidR="00823CEA" w:rsidRDefault="00823CEA" w:rsidP="00F77870">
                <w:pPr>
                  <w:rPr>
                    <w:sz w:val="22"/>
                    <w:szCs w:val="22"/>
                    <w:lang w:eastAsia="lt-LT"/>
                  </w:rPr>
                </w:pPr>
              </w:p>
              <w:p w:rsidR="00576FC2" w:rsidRDefault="00DA4FDE" w:rsidP="00DA4FDE">
                <w:pPr>
                  <w:rPr>
                    <w:sz w:val="22"/>
                    <w:szCs w:val="22"/>
                    <w:lang w:eastAsia="lt-LT"/>
                  </w:rPr>
                </w:pPr>
                <w:r w:rsidRPr="00DA4FDE">
                  <w:rPr>
                    <w:sz w:val="22"/>
                    <w:szCs w:val="22"/>
                    <w:lang w:eastAsia="lt-LT"/>
                  </w:rPr>
                  <w:t>Finansų ministerijos Finansų rinkų politikos departamento Kapitalo rinkų skyriaus</w:t>
                </w:r>
              </w:p>
              <w:p w:rsidR="00823CEA" w:rsidRPr="00AA6C04" w:rsidRDefault="00AA6C04" w:rsidP="00AA6C04">
                <w:pPr>
                  <w:spacing w:line="360" w:lineRule="atLeast"/>
                  <w:jc w:val="both"/>
                  <w:rPr>
                    <w:szCs w:val="24"/>
                    <w:lang w:eastAsia="lt-LT"/>
                  </w:rPr>
                </w:pPr>
                <w:r>
                  <w:rPr>
                    <w:szCs w:val="24"/>
                    <w:lang w:eastAsia="lt-LT"/>
                  </w:rPr>
                  <w:t>vyriausio</w:t>
                </w:r>
                <w:r w:rsidR="0089046C">
                  <w:rPr>
                    <w:szCs w:val="24"/>
                    <w:lang w:eastAsia="lt-LT"/>
                  </w:rPr>
                  <w:t xml:space="preserve">ji specialistė Neringa </w:t>
                </w:r>
                <w:proofErr w:type="spellStart"/>
                <w:r w:rsidR="0089046C">
                  <w:rPr>
                    <w:szCs w:val="24"/>
                    <w:lang w:eastAsia="lt-LT"/>
                  </w:rPr>
                  <w:t>Černiauskė</w:t>
                </w:r>
                <w:proofErr w:type="spellEnd"/>
              </w:p>
            </w:tc>
            <w:tc>
              <w:tcPr>
                <w:tcW w:w="2371" w:type="dxa"/>
                <w:gridSpan w:val="2"/>
                <w:shd w:val="clear" w:color="auto" w:fill="auto"/>
              </w:tcPr>
              <w:p w:rsidR="00823CEA" w:rsidRDefault="00823CEA" w:rsidP="00F77870">
                <w:pPr>
                  <w:rPr>
                    <w:sz w:val="22"/>
                    <w:szCs w:val="22"/>
                    <w:lang w:eastAsia="lt-LT"/>
                  </w:rPr>
                </w:pPr>
              </w:p>
              <w:p w:rsidR="00823CEA" w:rsidRDefault="00823CEA" w:rsidP="00F77870">
                <w:pPr>
                  <w:rPr>
                    <w:sz w:val="22"/>
                    <w:szCs w:val="22"/>
                    <w:lang w:eastAsia="lt-LT"/>
                  </w:rPr>
                </w:pPr>
                <w:r>
                  <w:rPr>
                    <w:sz w:val="22"/>
                    <w:szCs w:val="22"/>
                    <w:lang w:eastAsia="lt-LT"/>
                  </w:rPr>
                  <w:t>Teisės akto projekto vertintojas:</w:t>
                </w:r>
              </w:p>
            </w:tc>
            <w:tc>
              <w:tcPr>
                <w:tcW w:w="4749" w:type="dxa"/>
                <w:gridSpan w:val="2"/>
                <w:tcBorders>
                  <w:bottom w:val="single" w:sz="4" w:space="0" w:color="auto"/>
                </w:tcBorders>
                <w:shd w:val="clear" w:color="auto" w:fill="auto"/>
              </w:tcPr>
              <w:p w:rsidR="00DA4FDE" w:rsidRDefault="00DA4FDE" w:rsidP="00F77870">
                <w:pPr>
                  <w:rPr>
                    <w:sz w:val="22"/>
                    <w:szCs w:val="22"/>
                    <w:lang w:eastAsia="lt-LT"/>
                  </w:rPr>
                </w:pPr>
              </w:p>
              <w:p w:rsidR="00576FC2" w:rsidRDefault="00DA4FDE" w:rsidP="00DA4FDE">
                <w:pPr>
                  <w:rPr>
                    <w:sz w:val="22"/>
                    <w:szCs w:val="22"/>
                    <w:lang w:eastAsia="lt-LT"/>
                  </w:rPr>
                </w:pPr>
                <w:r w:rsidRPr="00DA4FDE">
                  <w:rPr>
                    <w:sz w:val="22"/>
                    <w:szCs w:val="22"/>
                    <w:lang w:eastAsia="lt-LT"/>
                  </w:rPr>
                  <w:t xml:space="preserve">Finansų ministerijos Finansų rinkų politikos departamento Kapitalo rinkų skyriaus </w:t>
                </w:r>
              </w:p>
              <w:p w:rsidR="00823CEA" w:rsidRDefault="00DA4FDE" w:rsidP="003151B3">
                <w:pPr>
                  <w:rPr>
                    <w:sz w:val="22"/>
                    <w:szCs w:val="22"/>
                    <w:lang w:eastAsia="lt-LT"/>
                  </w:rPr>
                </w:pPr>
                <w:r w:rsidRPr="00DA4FDE">
                  <w:rPr>
                    <w:sz w:val="22"/>
                    <w:szCs w:val="22"/>
                    <w:lang w:eastAsia="lt-LT"/>
                  </w:rPr>
                  <w:t>v</w:t>
                </w:r>
                <w:r>
                  <w:rPr>
                    <w:sz w:val="22"/>
                    <w:szCs w:val="22"/>
                    <w:lang w:eastAsia="lt-LT"/>
                  </w:rPr>
                  <w:t>yriausio</w:t>
                </w:r>
                <w:r w:rsidR="00CD6211">
                  <w:rPr>
                    <w:sz w:val="22"/>
                    <w:szCs w:val="22"/>
                    <w:lang w:eastAsia="lt-LT"/>
                  </w:rPr>
                  <w:t xml:space="preserve">ji specialistė </w:t>
                </w:r>
                <w:r w:rsidR="003151B3">
                  <w:rPr>
                    <w:sz w:val="22"/>
                    <w:szCs w:val="22"/>
                    <w:lang w:eastAsia="lt-LT"/>
                  </w:rPr>
                  <w:t xml:space="preserve">Jurgita </w:t>
                </w:r>
                <w:proofErr w:type="spellStart"/>
                <w:r w:rsidR="003151B3">
                  <w:rPr>
                    <w:sz w:val="22"/>
                    <w:szCs w:val="22"/>
                    <w:lang w:eastAsia="lt-LT"/>
                  </w:rPr>
                  <w:t>Didikaitė</w:t>
                </w:r>
                <w:proofErr w:type="spellEnd"/>
              </w:p>
            </w:tc>
          </w:tr>
          <w:tr w:rsidR="00823CEA" w:rsidTr="00DA4FDE">
            <w:trPr>
              <w:trHeight w:val="23"/>
            </w:trPr>
            <w:tc>
              <w:tcPr>
                <w:tcW w:w="2390" w:type="dxa"/>
                <w:gridSpan w:val="2"/>
                <w:shd w:val="clear" w:color="auto" w:fill="auto"/>
              </w:tcPr>
              <w:p w:rsidR="00823CEA" w:rsidRDefault="00823CEA" w:rsidP="00F77870">
                <w:pPr>
                  <w:rPr>
                    <w:sz w:val="22"/>
                    <w:szCs w:val="22"/>
                    <w:lang w:eastAsia="lt-LT"/>
                  </w:rPr>
                </w:pPr>
              </w:p>
            </w:tc>
            <w:tc>
              <w:tcPr>
                <w:tcW w:w="4601" w:type="dxa"/>
                <w:gridSpan w:val="2"/>
                <w:tcBorders>
                  <w:top w:val="single" w:sz="4" w:space="0" w:color="auto"/>
                </w:tcBorders>
                <w:shd w:val="clear" w:color="auto" w:fill="auto"/>
              </w:tcPr>
              <w:p w:rsidR="00823CEA" w:rsidRDefault="00823CEA" w:rsidP="00F77870">
                <w:pPr>
                  <w:ind w:left="-11" w:firstLine="11"/>
                  <w:rPr>
                    <w:sz w:val="22"/>
                    <w:szCs w:val="22"/>
                    <w:lang w:eastAsia="lt-LT"/>
                  </w:rPr>
                </w:pPr>
                <w:r>
                  <w:rPr>
                    <w:sz w:val="22"/>
                    <w:szCs w:val="22"/>
                    <w:lang w:eastAsia="lt-LT"/>
                  </w:rPr>
                  <w:t>(pareigos)                         (vardas ir pavardė)</w:t>
                </w:r>
              </w:p>
            </w:tc>
            <w:tc>
              <w:tcPr>
                <w:tcW w:w="2371" w:type="dxa"/>
                <w:gridSpan w:val="2"/>
                <w:shd w:val="clear" w:color="auto" w:fill="auto"/>
              </w:tcPr>
              <w:p w:rsidR="00823CEA" w:rsidRDefault="00823CEA" w:rsidP="00F77870">
                <w:pPr>
                  <w:rPr>
                    <w:sz w:val="22"/>
                    <w:szCs w:val="22"/>
                    <w:lang w:eastAsia="lt-LT"/>
                  </w:rPr>
                </w:pPr>
              </w:p>
            </w:tc>
            <w:tc>
              <w:tcPr>
                <w:tcW w:w="4749" w:type="dxa"/>
                <w:gridSpan w:val="2"/>
                <w:tcBorders>
                  <w:top w:val="single" w:sz="4" w:space="0" w:color="auto"/>
                </w:tcBorders>
                <w:shd w:val="clear" w:color="auto" w:fill="auto"/>
              </w:tcPr>
              <w:p w:rsidR="00823CEA" w:rsidRDefault="00823CEA" w:rsidP="000F2C31">
                <w:pPr>
                  <w:ind w:left="-11" w:firstLine="11"/>
                  <w:rPr>
                    <w:sz w:val="22"/>
                    <w:szCs w:val="22"/>
                    <w:lang w:eastAsia="lt-LT"/>
                  </w:rPr>
                </w:pPr>
                <w:r>
                  <w:rPr>
                    <w:sz w:val="22"/>
                    <w:szCs w:val="22"/>
                    <w:lang w:eastAsia="lt-LT"/>
                  </w:rPr>
                  <w:t>(pareigos)                                  (vardas ir pavardė)</w:t>
                </w:r>
              </w:p>
            </w:tc>
          </w:tr>
          <w:tr w:rsidR="00823CEA" w:rsidTr="00DA4FDE">
            <w:trPr>
              <w:trHeight w:val="23"/>
            </w:trPr>
            <w:tc>
              <w:tcPr>
                <w:tcW w:w="2390" w:type="dxa"/>
                <w:gridSpan w:val="2"/>
                <w:shd w:val="clear" w:color="auto" w:fill="auto"/>
              </w:tcPr>
              <w:p w:rsidR="00823CEA" w:rsidRDefault="00823CEA" w:rsidP="00F77870">
                <w:pPr>
                  <w:rPr>
                    <w:sz w:val="22"/>
                    <w:szCs w:val="22"/>
                    <w:lang w:eastAsia="lt-LT"/>
                  </w:rPr>
                </w:pPr>
              </w:p>
            </w:tc>
            <w:tc>
              <w:tcPr>
                <w:tcW w:w="4601" w:type="dxa"/>
                <w:gridSpan w:val="2"/>
                <w:tcBorders>
                  <w:bottom w:val="single" w:sz="4" w:space="0" w:color="auto"/>
                </w:tcBorders>
                <w:shd w:val="clear" w:color="auto" w:fill="auto"/>
              </w:tcPr>
              <w:p w:rsidR="00823CEA" w:rsidRDefault="00823CEA" w:rsidP="00F77870">
                <w:pPr>
                  <w:rPr>
                    <w:sz w:val="22"/>
                    <w:szCs w:val="22"/>
                    <w:lang w:eastAsia="lt-LT"/>
                  </w:rPr>
                </w:pPr>
              </w:p>
            </w:tc>
            <w:tc>
              <w:tcPr>
                <w:tcW w:w="2371" w:type="dxa"/>
                <w:gridSpan w:val="2"/>
                <w:shd w:val="clear" w:color="auto" w:fill="auto"/>
              </w:tcPr>
              <w:p w:rsidR="00823CEA" w:rsidRDefault="00823CEA" w:rsidP="00F77870">
                <w:pPr>
                  <w:rPr>
                    <w:sz w:val="22"/>
                    <w:szCs w:val="22"/>
                    <w:lang w:eastAsia="lt-LT"/>
                  </w:rPr>
                </w:pPr>
              </w:p>
            </w:tc>
            <w:tc>
              <w:tcPr>
                <w:tcW w:w="4749" w:type="dxa"/>
                <w:gridSpan w:val="2"/>
                <w:tcBorders>
                  <w:bottom w:val="single" w:sz="4" w:space="0" w:color="auto"/>
                </w:tcBorders>
                <w:shd w:val="clear" w:color="auto" w:fill="auto"/>
              </w:tcPr>
              <w:p w:rsidR="00823CEA" w:rsidRDefault="00823CEA" w:rsidP="00F77870">
                <w:pPr>
                  <w:ind w:left="-11" w:firstLine="11"/>
                  <w:rPr>
                    <w:sz w:val="22"/>
                    <w:szCs w:val="22"/>
                    <w:lang w:eastAsia="lt-LT"/>
                  </w:rPr>
                </w:pPr>
              </w:p>
            </w:tc>
          </w:tr>
          <w:tr w:rsidR="00823CEA" w:rsidTr="00DA4FDE">
            <w:trPr>
              <w:trHeight w:val="23"/>
            </w:trPr>
            <w:tc>
              <w:tcPr>
                <w:tcW w:w="2390" w:type="dxa"/>
                <w:gridSpan w:val="2"/>
                <w:shd w:val="clear" w:color="auto" w:fill="auto"/>
              </w:tcPr>
              <w:p w:rsidR="00823CEA" w:rsidRDefault="00823CEA" w:rsidP="00F77870">
                <w:pPr>
                  <w:rPr>
                    <w:sz w:val="22"/>
                    <w:szCs w:val="22"/>
                    <w:lang w:eastAsia="lt-LT"/>
                  </w:rPr>
                </w:pPr>
              </w:p>
            </w:tc>
            <w:tc>
              <w:tcPr>
                <w:tcW w:w="4601" w:type="dxa"/>
                <w:gridSpan w:val="2"/>
                <w:shd w:val="clear" w:color="auto" w:fill="auto"/>
              </w:tcPr>
              <w:p w:rsidR="00823CEA" w:rsidRDefault="00823CEA" w:rsidP="00F77870">
                <w:pPr>
                  <w:ind w:left="-11" w:firstLine="11"/>
                  <w:rPr>
                    <w:sz w:val="22"/>
                    <w:szCs w:val="22"/>
                    <w:lang w:eastAsia="lt-LT"/>
                  </w:rPr>
                </w:pPr>
                <w:r>
                  <w:rPr>
                    <w:sz w:val="22"/>
                    <w:szCs w:val="22"/>
                    <w:lang w:eastAsia="lt-LT"/>
                  </w:rPr>
                  <w:t>(parašas)                                      (data)</w:t>
                </w:r>
              </w:p>
            </w:tc>
            <w:tc>
              <w:tcPr>
                <w:tcW w:w="2371" w:type="dxa"/>
                <w:gridSpan w:val="2"/>
                <w:shd w:val="clear" w:color="auto" w:fill="auto"/>
              </w:tcPr>
              <w:p w:rsidR="00823CEA" w:rsidRDefault="00823CEA" w:rsidP="00F77870">
                <w:pPr>
                  <w:rPr>
                    <w:sz w:val="22"/>
                    <w:szCs w:val="22"/>
                    <w:lang w:eastAsia="lt-LT"/>
                  </w:rPr>
                </w:pPr>
              </w:p>
            </w:tc>
            <w:tc>
              <w:tcPr>
                <w:tcW w:w="4749" w:type="dxa"/>
                <w:gridSpan w:val="2"/>
                <w:tcBorders>
                  <w:top w:val="single" w:sz="4" w:space="0" w:color="auto"/>
                </w:tcBorders>
                <w:shd w:val="clear" w:color="auto" w:fill="auto"/>
              </w:tcPr>
              <w:p w:rsidR="00823CEA" w:rsidRDefault="00823CEA" w:rsidP="00F77870">
                <w:pPr>
                  <w:ind w:left="-11" w:firstLine="64"/>
                  <w:rPr>
                    <w:sz w:val="22"/>
                    <w:szCs w:val="22"/>
                    <w:lang w:eastAsia="lt-LT"/>
                  </w:rPr>
                </w:pPr>
                <w:r>
                  <w:rPr>
                    <w:sz w:val="22"/>
                    <w:szCs w:val="22"/>
                    <w:lang w:eastAsia="lt-LT"/>
                  </w:rPr>
                  <w:t>(parašas)                                                     (data)</w:t>
                </w:r>
              </w:p>
            </w:tc>
          </w:tr>
        </w:tbl>
        <w:p w:rsidR="00823CEA" w:rsidRDefault="00823CEA" w:rsidP="00823CEA">
          <w:pPr>
            <w:tabs>
              <w:tab w:val="left" w:pos="6237"/>
            </w:tabs>
            <w:rPr>
              <w:color w:val="000000"/>
              <w:lang w:eastAsia="lt-LT"/>
            </w:rPr>
          </w:pPr>
        </w:p>
        <w:p w:rsidR="00823CEA" w:rsidRDefault="00823CEA" w:rsidP="00823CEA">
          <w:pPr>
            <w:tabs>
              <w:tab w:val="left" w:pos="6237"/>
            </w:tabs>
            <w:rPr>
              <w:color w:val="000000"/>
              <w:lang w:eastAsia="lt-LT"/>
            </w:rPr>
          </w:pPr>
        </w:p>
        <w:p w:rsidR="00823CEA" w:rsidRDefault="00823CEA" w:rsidP="00823CEA">
          <w:pPr>
            <w:tabs>
              <w:tab w:val="left" w:pos="6237"/>
            </w:tabs>
            <w:rPr>
              <w:color w:val="000000"/>
              <w:lang w:eastAsia="lt-LT"/>
            </w:rPr>
          </w:pPr>
        </w:p>
        <w:p w:rsidR="00823CEA" w:rsidRDefault="00823CEA" w:rsidP="00823CEA">
          <w:pPr>
            <w:tabs>
              <w:tab w:val="left" w:pos="6237"/>
            </w:tabs>
            <w:jc w:val="center"/>
            <w:rPr>
              <w:color w:val="000000"/>
              <w:lang w:eastAsia="lt-LT"/>
            </w:rPr>
          </w:pPr>
          <w:r>
            <w:rPr>
              <w:color w:val="000000"/>
              <w:lang w:eastAsia="lt-LT"/>
            </w:rPr>
            <w:t>––––––––––––––––––––</w:t>
          </w:r>
        </w:p>
        <w:p w:rsidR="00823CEA" w:rsidRDefault="002C2FF0" w:rsidP="00823CEA">
          <w:pPr>
            <w:tabs>
              <w:tab w:val="left" w:pos="6237"/>
              <w:tab w:val="right" w:pos="8306"/>
            </w:tabs>
            <w:rPr>
              <w:lang w:eastAsia="lt-LT"/>
            </w:rPr>
          </w:pPr>
        </w:p>
      </w:sdtContent>
    </w:sdt>
    <w:p w:rsidR="00375DBB" w:rsidRDefault="00375DBB"/>
    <w:sectPr w:rsidR="00375DBB" w:rsidSect="00823CE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83C" w:rsidRDefault="00AD083C" w:rsidP="00823CEA">
      <w:r>
        <w:separator/>
      </w:r>
    </w:p>
  </w:endnote>
  <w:endnote w:type="continuationSeparator" w:id="0">
    <w:p w:rsidR="00AD083C" w:rsidRDefault="00AD083C" w:rsidP="0082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83C" w:rsidRDefault="00AD083C" w:rsidP="00823CEA">
      <w:r>
        <w:separator/>
      </w:r>
    </w:p>
  </w:footnote>
  <w:footnote w:type="continuationSeparator" w:id="0">
    <w:p w:rsidR="00AD083C" w:rsidRDefault="00AD083C" w:rsidP="00823CEA">
      <w:r>
        <w:continuationSeparator/>
      </w:r>
    </w:p>
  </w:footnote>
  <w:footnote w:id="1">
    <w:p w:rsidR="00823CEA" w:rsidRDefault="00823CEA" w:rsidP="00823CEA">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823CEA" w:rsidRDefault="00823CEA" w:rsidP="00823CEA">
      <w:pPr>
        <w:jc w:val="both"/>
        <w:rPr>
          <w:sz w:val="20"/>
        </w:rPr>
      </w:pPr>
      <w:r>
        <w:rPr>
          <w:sz w:val="20"/>
          <w:vertAlign w:val="superscript"/>
        </w:rPr>
        <w:footnoteRef/>
      </w:r>
      <w:r>
        <w:rPr>
          <w:sz w:val="20"/>
        </w:rPr>
        <w:t xml:space="preserve"> Tas pat.</w:t>
      </w:r>
    </w:p>
  </w:footnote>
  <w:footnote w:id="3">
    <w:p w:rsidR="00823CEA" w:rsidRDefault="00823CEA" w:rsidP="00823CEA">
      <w:pPr>
        <w:jc w:val="both"/>
        <w:rPr>
          <w:sz w:val="20"/>
        </w:rPr>
      </w:pPr>
      <w:r>
        <w:rPr>
          <w:sz w:val="20"/>
          <w:vertAlign w:val="superscript"/>
        </w:rPr>
        <w:footnoteRef/>
      </w:r>
      <w:r>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CEA"/>
    <w:rsid w:val="00043A2E"/>
    <w:rsid w:val="000E5D37"/>
    <w:rsid w:val="000F2C31"/>
    <w:rsid w:val="000F4D3E"/>
    <w:rsid w:val="00145BA6"/>
    <w:rsid w:val="00163414"/>
    <w:rsid w:val="002367C9"/>
    <w:rsid w:val="00256476"/>
    <w:rsid w:val="002C2FF0"/>
    <w:rsid w:val="002D09EC"/>
    <w:rsid w:val="003151B3"/>
    <w:rsid w:val="00315BA6"/>
    <w:rsid w:val="003753DD"/>
    <w:rsid w:val="00375DBB"/>
    <w:rsid w:val="004C3C93"/>
    <w:rsid w:val="00500FB5"/>
    <w:rsid w:val="005344EE"/>
    <w:rsid w:val="005766A6"/>
    <w:rsid w:val="00576FC2"/>
    <w:rsid w:val="00596741"/>
    <w:rsid w:val="00625772"/>
    <w:rsid w:val="00674DB4"/>
    <w:rsid w:val="006A48C1"/>
    <w:rsid w:val="006D0394"/>
    <w:rsid w:val="006D3A13"/>
    <w:rsid w:val="00722328"/>
    <w:rsid w:val="00747D59"/>
    <w:rsid w:val="007922BC"/>
    <w:rsid w:val="007C16BA"/>
    <w:rsid w:val="007C3B9E"/>
    <w:rsid w:val="00823CEA"/>
    <w:rsid w:val="00883B65"/>
    <w:rsid w:val="0089046C"/>
    <w:rsid w:val="008B50BF"/>
    <w:rsid w:val="008F4725"/>
    <w:rsid w:val="00934110"/>
    <w:rsid w:val="009B67C6"/>
    <w:rsid w:val="00AA6C04"/>
    <w:rsid w:val="00AD083C"/>
    <w:rsid w:val="00B2492C"/>
    <w:rsid w:val="00B36A34"/>
    <w:rsid w:val="00BF39B1"/>
    <w:rsid w:val="00C03410"/>
    <w:rsid w:val="00C17393"/>
    <w:rsid w:val="00C80FA3"/>
    <w:rsid w:val="00CA1453"/>
    <w:rsid w:val="00CB078F"/>
    <w:rsid w:val="00CD6211"/>
    <w:rsid w:val="00D00700"/>
    <w:rsid w:val="00D113C3"/>
    <w:rsid w:val="00D54138"/>
    <w:rsid w:val="00D7678E"/>
    <w:rsid w:val="00DA4FDE"/>
    <w:rsid w:val="00E60139"/>
    <w:rsid w:val="00E76F05"/>
    <w:rsid w:val="00ED27E9"/>
    <w:rsid w:val="00EF048F"/>
    <w:rsid w:val="00EF69EF"/>
    <w:rsid w:val="00F10242"/>
    <w:rsid w:val="00F2663A"/>
    <w:rsid w:val="00FA0827"/>
    <w:rsid w:val="00FD5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23CE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23C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3CEA"/>
    <w:rPr>
      <w:rFonts w:ascii="Tahoma" w:eastAsia="Times New Roman" w:hAnsi="Tahoma" w:cs="Tahoma"/>
      <w:sz w:val="16"/>
      <w:szCs w:val="16"/>
    </w:rPr>
  </w:style>
  <w:style w:type="paragraph" w:styleId="Sraopastraipa">
    <w:name w:val="List Paragraph"/>
    <w:basedOn w:val="prastasis"/>
    <w:uiPriority w:val="34"/>
    <w:qFormat/>
    <w:rsid w:val="00FA08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23CE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23C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3CEA"/>
    <w:rPr>
      <w:rFonts w:ascii="Tahoma" w:eastAsia="Times New Roman" w:hAnsi="Tahoma" w:cs="Tahoma"/>
      <w:sz w:val="16"/>
      <w:szCs w:val="16"/>
    </w:rPr>
  </w:style>
  <w:style w:type="paragraph" w:styleId="Sraopastraipa">
    <w:name w:val="List Paragraph"/>
    <w:basedOn w:val="prastasis"/>
    <w:uiPriority w:val="34"/>
    <w:qFormat/>
    <w:rsid w:val="00FA0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4975</Words>
  <Characters>2836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Didikaitė</dc:creator>
  <cp:lastModifiedBy>Neringa Černiauskė</cp:lastModifiedBy>
  <cp:revision>4</cp:revision>
  <cp:lastPrinted>2018-01-08T13:34:00Z</cp:lastPrinted>
  <dcterms:created xsi:type="dcterms:W3CDTF">2021-09-28T09:14:00Z</dcterms:created>
  <dcterms:modified xsi:type="dcterms:W3CDTF">2021-12-06T07:43:00Z</dcterms:modified>
</cp:coreProperties>
</file>