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0E7AFC" w14:textId="77777777" w:rsidR="002D63CB" w:rsidRDefault="002D63CB" w:rsidP="002D63CB">
      <w:pPr>
        <w:jc w:val="center"/>
        <w:rPr>
          <w:b/>
          <w:szCs w:val="24"/>
          <w:lang w:eastAsia="lt-LT"/>
        </w:rPr>
      </w:pPr>
    </w:p>
    <w:p w14:paraId="549115E6" w14:textId="77777777" w:rsidR="00B23361" w:rsidRDefault="00B23361" w:rsidP="00582895">
      <w:pPr>
        <w:ind w:left="6480" w:firstLine="1296"/>
        <w:rPr>
          <w:szCs w:val="24"/>
          <w:lang w:eastAsia="lt-LT"/>
        </w:rPr>
      </w:pPr>
      <w:r w:rsidRPr="00054F20">
        <w:rPr>
          <w:szCs w:val="24"/>
          <w:lang w:eastAsia="lt-LT"/>
        </w:rPr>
        <w:t>PATVIRTINTA</w:t>
      </w:r>
    </w:p>
    <w:p w14:paraId="7039ABBE" w14:textId="48B89F05" w:rsidR="008707B0" w:rsidRDefault="008707B0" w:rsidP="00582895">
      <w:pPr>
        <w:tabs>
          <w:tab w:val="left" w:pos="7797"/>
        </w:tabs>
        <w:rPr>
          <w:szCs w:val="24"/>
          <w:lang w:eastAsia="lt-LT"/>
        </w:rPr>
      </w:pPr>
      <w:r>
        <w:rPr>
          <w:szCs w:val="24"/>
          <w:lang w:eastAsia="lt-LT"/>
        </w:rPr>
        <w:tab/>
      </w:r>
      <w:r w:rsidR="00B23361">
        <w:rPr>
          <w:szCs w:val="24"/>
          <w:lang w:eastAsia="lt-LT"/>
        </w:rPr>
        <w:t>Lietuvos Respublikos Vyriausybės</w:t>
      </w:r>
    </w:p>
    <w:p w14:paraId="2F9A3468" w14:textId="4F4F7AFD" w:rsidR="00B23361" w:rsidRDefault="008707B0" w:rsidP="00582895">
      <w:pPr>
        <w:ind w:left="5184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 xml:space="preserve">      </w:t>
      </w:r>
      <w:r w:rsidR="004A443D">
        <w:rPr>
          <w:szCs w:val="24"/>
          <w:lang w:eastAsia="lt-LT"/>
        </w:rPr>
        <w:t xml:space="preserve">      </w:t>
      </w:r>
      <w:r w:rsidR="00B23361">
        <w:rPr>
          <w:szCs w:val="24"/>
          <w:lang w:eastAsia="lt-LT"/>
        </w:rPr>
        <w:t>202</w:t>
      </w:r>
      <w:r w:rsidR="00154E4F">
        <w:rPr>
          <w:szCs w:val="24"/>
          <w:lang w:eastAsia="lt-LT"/>
        </w:rPr>
        <w:t>2</w:t>
      </w:r>
      <w:r w:rsidR="00B23361">
        <w:rPr>
          <w:szCs w:val="24"/>
          <w:lang w:eastAsia="lt-LT"/>
        </w:rPr>
        <w:t xml:space="preserve"> m.        </w:t>
      </w:r>
      <w:r w:rsidR="00A14483">
        <w:rPr>
          <w:szCs w:val="24"/>
          <w:lang w:eastAsia="lt-LT"/>
        </w:rPr>
        <w:t xml:space="preserve">  </w:t>
      </w:r>
      <w:r w:rsidR="004A443D">
        <w:rPr>
          <w:szCs w:val="24"/>
          <w:lang w:eastAsia="lt-LT"/>
        </w:rPr>
        <w:t xml:space="preserve">   </w:t>
      </w:r>
      <w:r w:rsidR="00A14483">
        <w:rPr>
          <w:szCs w:val="24"/>
          <w:lang w:eastAsia="lt-LT"/>
        </w:rPr>
        <w:t xml:space="preserve">  </w:t>
      </w:r>
      <w:r w:rsidR="00B23361">
        <w:rPr>
          <w:szCs w:val="24"/>
          <w:lang w:eastAsia="lt-LT"/>
        </w:rPr>
        <w:t xml:space="preserve"> d.  nutarimu Nr. </w:t>
      </w:r>
    </w:p>
    <w:p w14:paraId="49D948C1" w14:textId="77777777" w:rsidR="00B23361" w:rsidRPr="00F1221F" w:rsidRDefault="00B23361" w:rsidP="002D63CB">
      <w:pPr>
        <w:jc w:val="center"/>
        <w:rPr>
          <w:b/>
          <w:szCs w:val="24"/>
          <w:lang w:eastAsia="lt-LT"/>
        </w:rPr>
      </w:pPr>
    </w:p>
    <w:p w14:paraId="2FC8FF30" w14:textId="6E891063" w:rsidR="002D63CB" w:rsidRDefault="002D63CB" w:rsidP="002D63CB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20</w:t>
      </w:r>
      <w:r w:rsidR="00850A7C">
        <w:rPr>
          <w:b/>
          <w:szCs w:val="24"/>
          <w:lang w:eastAsia="lt-LT"/>
        </w:rPr>
        <w:t>2</w:t>
      </w:r>
      <w:r w:rsidR="00DC27F1">
        <w:rPr>
          <w:b/>
          <w:szCs w:val="24"/>
          <w:lang w:eastAsia="lt-LT"/>
        </w:rPr>
        <w:t>2</w:t>
      </w:r>
      <w:r>
        <w:rPr>
          <w:b/>
          <w:szCs w:val="24"/>
          <w:lang w:eastAsia="lt-LT"/>
        </w:rPr>
        <w:t>–20</w:t>
      </w:r>
      <w:r w:rsidR="00850A7C">
        <w:rPr>
          <w:b/>
          <w:szCs w:val="24"/>
          <w:lang w:eastAsia="lt-LT"/>
        </w:rPr>
        <w:t>30</w:t>
      </w:r>
      <w:r w:rsidR="00E0393F">
        <w:rPr>
          <w:b/>
          <w:szCs w:val="24"/>
          <w:lang w:eastAsia="lt-LT"/>
        </w:rPr>
        <w:t xml:space="preserve"> METŲ</w:t>
      </w:r>
      <w:r>
        <w:rPr>
          <w:b/>
          <w:szCs w:val="24"/>
          <w:lang w:eastAsia="lt-LT"/>
        </w:rPr>
        <w:t xml:space="preserve"> PLĖTROS PROGRAMOS VALDYTOJO</w:t>
      </w:r>
      <w:r w:rsidR="00E0393F">
        <w:rPr>
          <w:b/>
          <w:szCs w:val="24"/>
          <w:lang w:eastAsia="lt-LT"/>
        </w:rPr>
        <w:t>S</w:t>
      </w:r>
      <w:r w:rsidR="00850A7C">
        <w:rPr>
          <w:b/>
          <w:szCs w:val="24"/>
          <w:lang w:eastAsia="lt-LT"/>
        </w:rPr>
        <w:t xml:space="preserve"> LIETUVOS RESPUBLIKOS FINANSŲ MINISTERIJOS TVARIŲ VIEŠŲJŲ FINANSŲ </w:t>
      </w:r>
      <w:r>
        <w:rPr>
          <w:b/>
          <w:szCs w:val="24"/>
          <w:lang w:eastAsia="lt-LT"/>
        </w:rPr>
        <w:t>PLĖTROS PROGRAMA</w:t>
      </w:r>
    </w:p>
    <w:p w14:paraId="4CF29D91" w14:textId="77777777" w:rsidR="002D63CB" w:rsidRDefault="002D63CB" w:rsidP="002D63CB">
      <w:pPr>
        <w:jc w:val="center"/>
        <w:rPr>
          <w:b/>
          <w:szCs w:val="24"/>
          <w:lang w:eastAsia="lt-LT"/>
        </w:rPr>
      </w:pPr>
    </w:p>
    <w:p w14:paraId="1293A84F" w14:textId="77777777" w:rsidR="002D63CB" w:rsidRDefault="002D63CB" w:rsidP="002D63CB">
      <w:pPr>
        <w:ind w:left="284" w:hanging="284"/>
        <w:jc w:val="center"/>
        <w:rPr>
          <w:b/>
          <w:color w:val="000000"/>
        </w:rPr>
      </w:pPr>
      <w:r>
        <w:rPr>
          <w:b/>
          <w:color w:val="000000"/>
        </w:rPr>
        <w:t>I SKYRIUS</w:t>
      </w:r>
    </w:p>
    <w:p w14:paraId="45AC9001" w14:textId="77777777" w:rsidR="002D63CB" w:rsidRDefault="002D63CB" w:rsidP="002D63CB">
      <w:pPr>
        <w:ind w:left="284" w:hanging="284"/>
        <w:jc w:val="center"/>
        <w:rPr>
          <w:b/>
          <w:caps/>
          <w:szCs w:val="24"/>
        </w:rPr>
      </w:pPr>
      <w:r>
        <w:rPr>
          <w:b/>
          <w:caps/>
          <w:szCs w:val="24"/>
        </w:rPr>
        <w:t>Plėtros programos paskirtis</w:t>
      </w:r>
    </w:p>
    <w:p w14:paraId="081D3DC6" w14:textId="77777777" w:rsidR="002D63CB" w:rsidRDefault="002D63CB" w:rsidP="002D63CB">
      <w:pPr>
        <w:ind w:left="284" w:hanging="284"/>
        <w:jc w:val="center"/>
        <w:rPr>
          <w:b/>
          <w:color w:val="000000"/>
        </w:rPr>
      </w:pPr>
    </w:p>
    <w:tbl>
      <w:tblPr>
        <w:tblW w:w="1388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87"/>
      </w:tblGrid>
      <w:tr w:rsidR="002D63CB" w:rsidRPr="001C77C5" w14:paraId="2D78C061" w14:textId="77777777" w:rsidTr="0053524A">
        <w:tc>
          <w:tcPr>
            <w:tcW w:w="1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4D78C60" w14:textId="77777777" w:rsidR="00D179B6" w:rsidRDefault="00D179B6" w:rsidP="00C4119E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Valstybės veiklos sritis</w:t>
            </w:r>
          </w:p>
          <w:p w14:paraId="3C312899" w14:textId="77777777" w:rsidR="00D179B6" w:rsidRDefault="00D179B6" w:rsidP="00C4119E">
            <w:pPr>
              <w:jc w:val="center"/>
              <w:rPr>
                <w:rFonts w:eastAsia="Calibri"/>
                <w:b/>
                <w:szCs w:val="24"/>
              </w:rPr>
            </w:pPr>
          </w:p>
          <w:p w14:paraId="44EF5ABC" w14:textId="77777777" w:rsidR="002D63CB" w:rsidRPr="00C4119E" w:rsidRDefault="00D179B6" w:rsidP="00D179B6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 xml:space="preserve">4. </w:t>
            </w:r>
            <w:r w:rsidR="0083054E">
              <w:rPr>
                <w:rFonts w:eastAsia="Calibri"/>
                <w:b/>
                <w:szCs w:val="24"/>
              </w:rPr>
              <w:t>VIEŠIEJI FINANSAI</w:t>
            </w:r>
          </w:p>
        </w:tc>
      </w:tr>
      <w:tr w:rsidR="002D63CB" w:rsidRPr="001C77C5" w14:paraId="5D07A296" w14:textId="77777777" w:rsidTr="0053524A">
        <w:tc>
          <w:tcPr>
            <w:tcW w:w="1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C791A2A" w14:textId="77777777" w:rsidR="00D179B6" w:rsidRDefault="00D179B6" w:rsidP="00CC2492">
            <w:pPr>
              <w:jc w:val="both"/>
              <w:rPr>
                <w:b/>
                <w:color w:val="000000" w:themeColor="text1"/>
                <w:szCs w:val="24"/>
              </w:rPr>
            </w:pPr>
            <w:r w:rsidRPr="001C77C5">
              <w:rPr>
                <w:rFonts w:eastAsia="Calibri"/>
                <w:b/>
                <w:bCs/>
                <w:szCs w:val="24"/>
              </w:rPr>
              <w:t>N</w:t>
            </w:r>
            <w:r>
              <w:rPr>
                <w:rFonts w:eastAsia="Calibri"/>
                <w:b/>
                <w:bCs/>
                <w:szCs w:val="24"/>
              </w:rPr>
              <w:t>acionalinio pažangos plano</w:t>
            </w:r>
            <w:r>
              <w:rPr>
                <w:b/>
                <w:color w:val="000000" w:themeColor="text1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Cs w:val="24"/>
              </w:rPr>
              <w:t>(toliau – NPP)</w:t>
            </w:r>
            <w:r>
              <w:rPr>
                <w:b/>
                <w:color w:val="000000" w:themeColor="text1"/>
                <w:szCs w:val="24"/>
              </w:rPr>
              <w:t xml:space="preserve"> uždavinys, kodas ir pavadinimas</w:t>
            </w:r>
          </w:p>
          <w:p w14:paraId="1CED7754" w14:textId="77777777" w:rsidR="00C4119E" w:rsidRPr="00D179B6" w:rsidRDefault="00C4119E" w:rsidP="00587C0B">
            <w:pPr>
              <w:jc w:val="both"/>
              <w:rPr>
                <w:rFonts w:eastAsia="Calibri"/>
                <w:szCs w:val="24"/>
              </w:rPr>
            </w:pPr>
            <w:r w:rsidRPr="00D179B6">
              <w:rPr>
                <w:color w:val="000000" w:themeColor="text1"/>
                <w:szCs w:val="24"/>
              </w:rPr>
              <w:t>8.</w:t>
            </w:r>
            <w:r w:rsidR="00CC2492" w:rsidRPr="00D179B6">
              <w:rPr>
                <w:color w:val="000000" w:themeColor="text1"/>
                <w:szCs w:val="24"/>
              </w:rPr>
              <w:t>5</w:t>
            </w:r>
            <w:r w:rsidRPr="00D179B6">
              <w:rPr>
                <w:color w:val="000000" w:themeColor="text1"/>
                <w:szCs w:val="24"/>
              </w:rPr>
              <w:t>. Didinti viešųjų finansų ir valstybės turto valdymo ir panaudojimo efektyvumą</w:t>
            </w:r>
          </w:p>
        </w:tc>
      </w:tr>
      <w:tr w:rsidR="002D63CB" w:rsidRPr="001C77C5" w14:paraId="5DA04A4F" w14:textId="77777777" w:rsidTr="0053524A">
        <w:tc>
          <w:tcPr>
            <w:tcW w:w="1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542DE" w14:textId="77777777" w:rsidR="001C77C5" w:rsidRPr="007128C9" w:rsidRDefault="00E0393F" w:rsidP="001C77C5">
            <w:pPr>
              <w:jc w:val="both"/>
              <w:rPr>
                <w:rFonts w:eastAsia="Calibri"/>
                <w:b/>
                <w:bCs/>
                <w:i/>
                <w:color w:val="808080"/>
                <w:szCs w:val="24"/>
              </w:rPr>
            </w:pPr>
            <w:r w:rsidRPr="007128C9">
              <w:rPr>
                <w:rFonts w:eastAsia="Calibri"/>
                <w:b/>
                <w:bCs/>
                <w:szCs w:val="24"/>
              </w:rPr>
              <w:t>NPP</w:t>
            </w:r>
            <w:r w:rsidR="002D63CB" w:rsidRPr="007128C9">
              <w:rPr>
                <w:rFonts w:eastAsia="Calibri"/>
                <w:b/>
                <w:bCs/>
                <w:szCs w:val="24"/>
              </w:rPr>
              <w:t xml:space="preserve"> uždavinio rodiklis ir (ar) tikslo rodiklis</w:t>
            </w:r>
            <w:r w:rsidR="002D63CB" w:rsidRPr="007128C9">
              <w:rPr>
                <w:rFonts w:eastAsia="Calibri"/>
                <w:b/>
                <w:bCs/>
                <w:i/>
                <w:color w:val="808080"/>
                <w:szCs w:val="24"/>
              </w:rPr>
              <w:t xml:space="preserve"> </w:t>
            </w:r>
          </w:p>
          <w:p w14:paraId="4412E11E" w14:textId="1204F236" w:rsidR="002A5AAA" w:rsidRPr="007128C9" w:rsidRDefault="00066AFB" w:rsidP="002A5AAA">
            <w:pPr>
              <w:jc w:val="both"/>
              <w:rPr>
                <w:szCs w:val="24"/>
              </w:rPr>
            </w:pPr>
            <w:r w:rsidRPr="007128C9">
              <w:rPr>
                <w:szCs w:val="24"/>
              </w:rPr>
              <w:t>8.5</w:t>
            </w:r>
            <w:r w:rsidR="002A5AAA" w:rsidRPr="007128C9">
              <w:rPr>
                <w:szCs w:val="24"/>
              </w:rPr>
              <w:t xml:space="preserve">.1. </w:t>
            </w:r>
            <w:r w:rsidR="008707B0">
              <w:rPr>
                <w:szCs w:val="24"/>
              </w:rPr>
              <w:t>v</w:t>
            </w:r>
            <w:r w:rsidR="002A5AAA" w:rsidRPr="007128C9">
              <w:rPr>
                <w:szCs w:val="24"/>
              </w:rPr>
              <w:t xml:space="preserve">aldžios sektoriaus skolos ir </w:t>
            </w:r>
            <w:r w:rsidR="00E0393F" w:rsidRPr="007128C9">
              <w:rPr>
                <w:szCs w:val="24"/>
              </w:rPr>
              <w:t xml:space="preserve">bendrojo vidaus produkto (toliau – </w:t>
            </w:r>
            <w:r w:rsidR="002A5AAA" w:rsidRPr="007128C9">
              <w:rPr>
                <w:szCs w:val="24"/>
              </w:rPr>
              <w:t>BVP</w:t>
            </w:r>
            <w:r w:rsidR="00E0393F" w:rsidRPr="007128C9">
              <w:rPr>
                <w:szCs w:val="24"/>
              </w:rPr>
              <w:t>)</w:t>
            </w:r>
            <w:r w:rsidR="002A5AAA" w:rsidRPr="007128C9">
              <w:rPr>
                <w:szCs w:val="24"/>
              </w:rPr>
              <w:t xml:space="preserve"> santykis</w:t>
            </w:r>
            <w:r w:rsidR="001C404B" w:rsidRPr="007128C9">
              <w:rPr>
                <w:szCs w:val="24"/>
              </w:rPr>
              <w:t>, proc</w:t>
            </w:r>
            <w:r w:rsidR="00D57EFD" w:rsidRPr="007128C9">
              <w:rPr>
                <w:szCs w:val="24"/>
              </w:rPr>
              <w:t xml:space="preserve">. </w:t>
            </w:r>
            <w:r w:rsidR="001C404B" w:rsidRPr="007128C9">
              <w:rPr>
                <w:szCs w:val="24"/>
              </w:rPr>
              <w:t>(</w:t>
            </w:r>
            <w:r w:rsidR="00EE4B3F" w:rsidRPr="007128C9">
              <w:rPr>
                <w:szCs w:val="24"/>
              </w:rPr>
              <w:t>2020</w:t>
            </w:r>
            <w:r w:rsidR="001C404B" w:rsidRPr="007128C9">
              <w:rPr>
                <w:szCs w:val="24"/>
              </w:rPr>
              <w:t xml:space="preserve"> m. – </w:t>
            </w:r>
            <w:r w:rsidR="00EE4B3F" w:rsidRPr="007128C9">
              <w:rPr>
                <w:szCs w:val="24"/>
              </w:rPr>
              <w:t>47,1</w:t>
            </w:r>
            <w:r w:rsidR="001C404B" w:rsidRPr="007128C9">
              <w:rPr>
                <w:szCs w:val="24"/>
              </w:rPr>
              <w:t>; 2025 m.</w:t>
            </w:r>
            <w:r w:rsidR="00E0393F" w:rsidRPr="007128C9">
              <w:rPr>
                <w:szCs w:val="24"/>
              </w:rPr>
              <w:t xml:space="preserve"> –</w:t>
            </w:r>
            <w:r w:rsidR="001C404B" w:rsidRPr="007128C9">
              <w:rPr>
                <w:szCs w:val="24"/>
              </w:rPr>
              <w:t xml:space="preserve"> 48;</w:t>
            </w:r>
            <w:r w:rsidR="002A5AAA" w:rsidRPr="007128C9">
              <w:rPr>
                <w:szCs w:val="24"/>
              </w:rPr>
              <w:t xml:space="preserve"> </w:t>
            </w:r>
            <w:r w:rsidR="001C404B" w:rsidRPr="007128C9">
              <w:rPr>
                <w:szCs w:val="24"/>
              </w:rPr>
              <w:t xml:space="preserve">2030 m. </w:t>
            </w:r>
            <w:r w:rsidR="00E0393F" w:rsidRPr="007128C9">
              <w:rPr>
                <w:szCs w:val="24"/>
              </w:rPr>
              <w:t xml:space="preserve">– </w:t>
            </w:r>
            <w:r w:rsidR="00B23361" w:rsidRPr="007128C9">
              <w:rPr>
                <w:szCs w:val="24"/>
              </w:rPr>
              <w:t>45</w:t>
            </w:r>
            <w:r w:rsidR="001C404B" w:rsidRPr="007128C9">
              <w:rPr>
                <w:szCs w:val="24"/>
              </w:rPr>
              <w:t>)</w:t>
            </w:r>
            <w:r w:rsidR="00B81D7C">
              <w:rPr>
                <w:szCs w:val="24"/>
              </w:rPr>
              <w:t xml:space="preserve"> (</w:t>
            </w:r>
            <w:r w:rsidR="00B81D7C">
              <w:t xml:space="preserve">konkretūs valdžios sektoriaus skolos dydžiai bus atnaujinti </w:t>
            </w:r>
            <w:r w:rsidR="00B81D7C">
              <w:rPr>
                <w:bCs/>
                <w:color w:val="000000"/>
              </w:rPr>
              <w:t>parengus Valdžios sektoriaus s</w:t>
            </w:r>
            <w:r w:rsidR="00B81D7C" w:rsidRPr="00276F13">
              <w:rPr>
                <w:bCs/>
                <w:color w:val="000000"/>
              </w:rPr>
              <w:t>kolos valdymo strategiją</w:t>
            </w:r>
            <w:r w:rsidR="00B81D7C">
              <w:rPr>
                <w:bCs/>
                <w:color w:val="000000"/>
              </w:rPr>
              <w:t>)</w:t>
            </w:r>
            <w:r w:rsidR="00D179B6" w:rsidRPr="007128C9">
              <w:rPr>
                <w:szCs w:val="24"/>
              </w:rPr>
              <w:t>;</w:t>
            </w:r>
          </w:p>
          <w:p w14:paraId="235304A8" w14:textId="59CCA906" w:rsidR="002A5AAA" w:rsidRPr="007128C9" w:rsidRDefault="002A5AAA" w:rsidP="002A5AAA">
            <w:pPr>
              <w:jc w:val="both"/>
              <w:rPr>
                <w:strike/>
                <w:szCs w:val="24"/>
              </w:rPr>
            </w:pPr>
            <w:r w:rsidRPr="007128C9">
              <w:rPr>
                <w:szCs w:val="24"/>
              </w:rPr>
              <w:t>8.</w:t>
            </w:r>
            <w:r w:rsidR="00066AFB" w:rsidRPr="007128C9">
              <w:rPr>
                <w:szCs w:val="24"/>
              </w:rPr>
              <w:t>5</w:t>
            </w:r>
            <w:r w:rsidRPr="007128C9">
              <w:rPr>
                <w:szCs w:val="24"/>
              </w:rPr>
              <w:t xml:space="preserve">.2. </w:t>
            </w:r>
            <w:r w:rsidR="008707B0">
              <w:rPr>
                <w:szCs w:val="24"/>
              </w:rPr>
              <w:t>p</w:t>
            </w:r>
            <w:r w:rsidRPr="007128C9">
              <w:rPr>
                <w:szCs w:val="24"/>
              </w:rPr>
              <w:t>ajamų iš mokesčių ir socialin</w:t>
            </w:r>
            <w:r w:rsidR="001C404B" w:rsidRPr="007128C9">
              <w:rPr>
                <w:szCs w:val="24"/>
              </w:rPr>
              <w:t>io draudimo įmokų dalis nuo BVP, proc. (</w:t>
            </w:r>
            <w:r w:rsidR="00EE4B3F" w:rsidRPr="007128C9">
              <w:rPr>
                <w:szCs w:val="24"/>
              </w:rPr>
              <w:t>2020</w:t>
            </w:r>
            <w:r w:rsidR="001C404B" w:rsidRPr="007128C9">
              <w:rPr>
                <w:szCs w:val="24"/>
              </w:rPr>
              <w:t xml:space="preserve"> m. – </w:t>
            </w:r>
            <w:r w:rsidR="00EE4B3F" w:rsidRPr="007128C9">
              <w:rPr>
                <w:szCs w:val="24"/>
              </w:rPr>
              <w:t>31,4</w:t>
            </w:r>
            <w:r w:rsidR="001C404B" w:rsidRPr="007128C9">
              <w:rPr>
                <w:szCs w:val="24"/>
              </w:rPr>
              <w:t>; 2025 m.</w:t>
            </w:r>
            <w:r w:rsidR="00E7185D" w:rsidRPr="007128C9">
              <w:rPr>
                <w:szCs w:val="24"/>
              </w:rPr>
              <w:t xml:space="preserve"> </w:t>
            </w:r>
            <w:r w:rsidR="00E0393F" w:rsidRPr="007128C9">
              <w:rPr>
                <w:szCs w:val="24"/>
              </w:rPr>
              <w:t xml:space="preserve">– </w:t>
            </w:r>
            <w:r w:rsidRPr="007128C9">
              <w:rPr>
                <w:szCs w:val="24"/>
              </w:rPr>
              <w:t>3</w:t>
            </w:r>
            <w:r w:rsidR="00066F33" w:rsidRPr="007128C9">
              <w:rPr>
                <w:szCs w:val="24"/>
              </w:rPr>
              <w:t>2,5</w:t>
            </w:r>
            <w:r w:rsidR="001C404B" w:rsidRPr="007128C9">
              <w:rPr>
                <w:szCs w:val="24"/>
              </w:rPr>
              <w:t>;</w:t>
            </w:r>
            <w:r w:rsidRPr="007128C9">
              <w:rPr>
                <w:szCs w:val="24"/>
              </w:rPr>
              <w:t xml:space="preserve"> </w:t>
            </w:r>
            <w:r w:rsidR="001C404B" w:rsidRPr="007128C9">
              <w:rPr>
                <w:szCs w:val="24"/>
              </w:rPr>
              <w:t>2030 m.</w:t>
            </w:r>
            <w:r w:rsidRPr="007128C9">
              <w:rPr>
                <w:szCs w:val="24"/>
              </w:rPr>
              <w:t xml:space="preserve"> </w:t>
            </w:r>
            <w:r w:rsidR="00E0393F" w:rsidRPr="007128C9">
              <w:rPr>
                <w:szCs w:val="24"/>
              </w:rPr>
              <w:t>–</w:t>
            </w:r>
            <w:r w:rsidR="00E7185D" w:rsidRPr="007128C9">
              <w:rPr>
                <w:szCs w:val="24"/>
              </w:rPr>
              <w:t xml:space="preserve"> </w:t>
            </w:r>
            <w:r w:rsidR="00B81D7C">
              <w:rPr>
                <w:szCs w:val="24"/>
              </w:rPr>
              <w:t>b</w:t>
            </w:r>
            <w:r w:rsidR="00B81D7C" w:rsidRPr="00050701">
              <w:t>us nustatyta pasiekus susitarimą dėl viešojo sektoriaus įsipareigojimų apimčių</w:t>
            </w:r>
            <w:r w:rsidR="00050701" w:rsidRPr="007128C9">
              <w:rPr>
                <w:szCs w:val="24"/>
              </w:rPr>
              <w:t>)</w:t>
            </w:r>
            <w:r w:rsidR="00D179B6" w:rsidRPr="007128C9">
              <w:rPr>
                <w:szCs w:val="24"/>
              </w:rPr>
              <w:t>;</w:t>
            </w:r>
          </w:p>
          <w:p w14:paraId="42E662D2" w14:textId="2AF68302" w:rsidR="002A5AAA" w:rsidRPr="007128C9" w:rsidRDefault="00066AFB" w:rsidP="002A5AA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4"/>
              </w:rPr>
            </w:pPr>
            <w:r w:rsidRPr="007128C9">
              <w:rPr>
                <w:rFonts w:eastAsiaTheme="minorHAnsi"/>
                <w:color w:val="000000" w:themeColor="text1"/>
                <w:szCs w:val="24"/>
              </w:rPr>
              <w:t>8.5</w:t>
            </w:r>
            <w:r w:rsidR="002A5AAA" w:rsidRPr="007128C9">
              <w:rPr>
                <w:rFonts w:eastAsiaTheme="minorHAnsi"/>
                <w:color w:val="000000" w:themeColor="text1"/>
                <w:szCs w:val="24"/>
              </w:rPr>
              <w:t xml:space="preserve">.3. </w:t>
            </w:r>
            <w:r w:rsidR="008707B0">
              <w:rPr>
                <w:rFonts w:eastAsiaTheme="minorHAnsi"/>
                <w:color w:val="000000" w:themeColor="text1"/>
                <w:szCs w:val="24"/>
              </w:rPr>
              <w:t>i</w:t>
            </w:r>
            <w:r w:rsidR="002A5AAA" w:rsidRPr="007128C9">
              <w:rPr>
                <w:rFonts w:eastAsiaTheme="minorHAnsi"/>
                <w:color w:val="000000" w:themeColor="text1"/>
                <w:szCs w:val="24"/>
              </w:rPr>
              <w:t>nvesticijų</w:t>
            </w:r>
            <w:r w:rsidR="001C404B" w:rsidRPr="007128C9">
              <w:rPr>
                <w:rFonts w:eastAsiaTheme="minorHAnsi"/>
                <w:color w:val="000000" w:themeColor="text1"/>
                <w:szCs w:val="24"/>
              </w:rPr>
              <w:t xml:space="preserve"> ekonominės gr</w:t>
            </w:r>
            <w:r w:rsidR="00EA41F1" w:rsidRPr="007128C9">
              <w:rPr>
                <w:rFonts w:eastAsiaTheme="minorHAnsi"/>
                <w:color w:val="000000" w:themeColor="text1"/>
                <w:szCs w:val="24"/>
              </w:rPr>
              <w:t>ą</w:t>
            </w:r>
            <w:r w:rsidR="001C404B" w:rsidRPr="007128C9">
              <w:rPr>
                <w:rFonts w:eastAsiaTheme="minorHAnsi"/>
                <w:color w:val="000000" w:themeColor="text1"/>
                <w:szCs w:val="24"/>
              </w:rPr>
              <w:t>žos koeficientas, balais</w:t>
            </w:r>
            <w:r w:rsidR="002A5AAA" w:rsidRPr="007128C9">
              <w:rPr>
                <w:rFonts w:eastAsiaTheme="minorHAnsi"/>
                <w:color w:val="000000" w:themeColor="text1"/>
                <w:szCs w:val="24"/>
              </w:rPr>
              <w:t xml:space="preserve"> </w:t>
            </w:r>
            <w:r w:rsidR="001C404B" w:rsidRPr="007128C9">
              <w:rPr>
                <w:rFonts w:eastAsiaTheme="minorHAnsi"/>
                <w:color w:val="000000" w:themeColor="text1"/>
                <w:szCs w:val="24"/>
              </w:rPr>
              <w:t>(</w:t>
            </w:r>
            <w:r w:rsidR="00EE4B3F" w:rsidRPr="007128C9">
              <w:rPr>
                <w:rFonts w:eastAsiaTheme="minorHAnsi"/>
                <w:color w:val="000000" w:themeColor="text1"/>
                <w:szCs w:val="24"/>
              </w:rPr>
              <w:t>202</w:t>
            </w:r>
            <w:r w:rsidR="002B796E" w:rsidRPr="007128C9">
              <w:rPr>
                <w:rFonts w:eastAsiaTheme="minorHAnsi"/>
                <w:color w:val="000000" w:themeColor="text1"/>
                <w:szCs w:val="24"/>
              </w:rPr>
              <w:t xml:space="preserve">0 </w:t>
            </w:r>
            <w:r w:rsidR="001C404B" w:rsidRPr="007128C9">
              <w:rPr>
                <w:rFonts w:eastAsiaTheme="minorHAnsi"/>
                <w:color w:val="000000" w:themeColor="text1"/>
                <w:szCs w:val="24"/>
              </w:rPr>
              <w:t xml:space="preserve">m. – </w:t>
            </w:r>
            <w:r w:rsidR="00EE4B3F" w:rsidRPr="007128C9">
              <w:rPr>
                <w:rFonts w:eastAsiaTheme="minorHAnsi"/>
                <w:color w:val="000000" w:themeColor="text1"/>
                <w:szCs w:val="24"/>
              </w:rPr>
              <w:t>1,6</w:t>
            </w:r>
            <w:r w:rsidR="001C404B" w:rsidRPr="007128C9">
              <w:rPr>
                <w:rFonts w:eastAsiaTheme="minorHAnsi"/>
                <w:color w:val="000000" w:themeColor="text1"/>
                <w:szCs w:val="24"/>
              </w:rPr>
              <w:t>; 2025 m.</w:t>
            </w:r>
            <w:r w:rsidR="002A5AAA" w:rsidRPr="007128C9">
              <w:rPr>
                <w:rFonts w:eastAsiaTheme="minorHAnsi"/>
                <w:color w:val="000000" w:themeColor="text1"/>
                <w:szCs w:val="24"/>
              </w:rPr>
              <w:t xml:space="preserve"> </w:t>
            </w:r>
            <w:r w:rsidR="00E0393F" w:rsidRPr="007128C9">
              <w:rPr>
                <w:rFonts w:eastAsiaTheme="minorHAnsi"/>
                <w:color w:val="000000" w:themeColor="text1"/>
                <w:szCs w:val="24"/>
              </w:rPr>
              <w:t xml:space="preserve">– </w:t>
            </w:r>
            <w:r w:rsidR="002A5AAA" w:rsidRPr="007128C9">
              <w:rPr>
                <w:rFonts w:eastAsiaTheme="minorHAnsi"/>
                <w:color w:val="000000" w:themeColor="text1"/>
                <w:szCs w:val="24"/>
              </w:rPr>
              <w:t>1</w:t>
            </w:r>
            <w:r w:rsidR="001C404B" w:rsidRPr="007128C9">
              <w:rPr>
                <w:rFonts w:eastAsiaTheme="minorHAnsi"/>
                <w:color w:val="000000" w:themeColor="text1"/>
                <w:szCs w:val="24"/>
              </w:rPr>
              <w:t>,8</w:t>
            </w:r>
            <w:r w:rsidR="008707B0">
              <w:rPr>
                <w:rFonts w:eastAsiaTheme="minorHAnsi"/>
                <w:color w:val="000000" w:themeColor="text1"/>
                <w:szCs w:val="24"/>
              </w:rPr>
              <w:t>;</w:t>
            </w:r>
            <w:r w:rsidR="001C404B" w:rsidRPr="007128C9">
              <w:rPr>
                <w:rFonts w:eastAsiaTheme="minorHAnsi"/>
                <w:color w:val="000000" w:themeColor="text1"/>
                <w:szCs w:val="24"/>
              </w:rPr>
              <w:t xml:space="preserve"> 2030 m.</w:t>
            </w:r>
            <w:r w:rsidR="002A5AAA" w:rsidRPr="007128C9">
              <w:rPr>
                <w:rFonts w:eastAsiaTheme="minorHAnsi"/>
                <w:color w:val="000000" w:themeColor="text1"/>
                <w:szCs w:val="24"/>
              </w:rPr>
              <w:t xml:space="preserve"> </w:t>
            </w:r>
            <w:r w:rsidR="00E0393F" w:rsidRPr="007128C9">
              <w:rPr>
                <w:rFonts w:eastAsiaTheme="minorHAnsi"/>
                <w:color w:val="000000" w:themeColor="text1"/>
                <w:szCs w:val="24"/>
              </w:rPr>
              <w:t xml:space="preserve">– </w:t>
            </w:r>
            <w:r w:rsidR="001C404B" w:rsidRPr="007128C9">
              <w:rPr>
                <w:rFonts w:eastAsiaTheme="minorHAnsi"/>
                <w:color w:val="000000" w:themeColor="text1"/>
                <w:szCs w:val="24"/>
              </w:rPr>
              <w:t>2</w:t>
            </w:r>
            <w:r w:rsidR="00D179B6" w:rsidRPr="007128C9">
              <w:rPr>
                <w:rFonts w:eastAsiaTheme="minorHAnsi"/>
                <w:color w:val="000000" w:themeColor="text1"/>
                <w:szCs w:val="24"/>
              </w:rPr>
              <w:t>);</w:t>
            </w:r>
          </w:p>
          <w:p w14:paraId="1B69D833" w14:textId="4E0CA73D" w:rsidR="00D179B6" w:rsidRPr="007128C9" w:rsidRDefault="00066AFB" w:rsidP="002A5AAA">
            <w:pPr>
              <w:jc w:val="both"/>
              <w:rPr>
                <w:color w:val="000000" w:themeColor="text1"/>
                <w:szCs w:val="24"/>
              </w:rPr>
            </w:pPr>
            <w:r w:rsidRPr="007128C9">
              <w:rPr>
                <w:color w:val="000000" w:themeColor="text1"/>
                <w:szCs w:val="24"/>
              </w:rPr>
              <w:t>8.5</w:t>
            </w:r>
            <w:r w:rsidR="002A5AAA" w:rsidRPr="007128C9">
              <w:rPr>
                <w:color w:val="000000" w:themeColor="text1"/>
                <w:szCs w:val="24"/>
              </w:rPr>
              <w:t xml:space="preserve">.4. </w:t>
            </w:r>
            <w:r w:rsidR="008707B0">
              <w:rPr>
                <w:color w:val="000000" w:themeColor="text1"/>
                <w:szCs w:val="24"/>
              </w:rPr>
              <w:t>v</w:t>
            </w:r>
            <w:r w:rsidR="002A5AAA" w:rsidRPr="007128C9">
              <w:rPr>
                <w:color w:val="000000" w:themeColor="text1"/>
                <w:szCs w:val="24"/>
              </w:rPr>
              <w:t>idutinės trukmės biudžeto valdysenos indeksas</w:t>
            </w:r>
            <w:r w:rsidR="001C404B" w:rsidRPr="007128C9">
              <w:rPr>
                <w:color w:val="000000" w:themeColor="text1"/>
                <w:szCs w:val="24"/>
              </w:rPr>
              <w:t>, balais (</w:t>
            </w:r>
            <w:r w:rsidR="00EE4B3F" w:rsidRPr="007128C9">
              <w:rPr>
                <w:color w:val="000000" w:themeColor="text1"/>
                <w:szCs w:val="24"/>
              </w:rPr>
              <w:t>2018</w:t>
            </w:r>
            <w:r w:rsidR="001C404B" w:rsidRPr="007128C9">
              <w:rPr>
                <w:color w:val="000000" w:themeColor="text1"/>
                <w:szCs w:val="24"/>
              </w:rPr>
              <w:t xml:space="preserve"> m. – </w:t>
            </w:r>
            <w:r w:rsidR="00EE4B3F" w:rsidRPr="007128C9">
              <w:rPr>
                <w:color w:val="000000" w:themeColor="text1"/>
                <w:szCs w:val="24"/>
              </w:rPr>
              <w:t>0,73</w:t>
            </w:r>
            <w:r w:rsidR="001C404B" w:rsidRPr="007128C9">
              <w:rPr>
                <w:color w:val="000000" w:themeColor="text1"/>
                <w:szCs w:val="24"/>
              </w:rPr>
              <w:t>; 2025 m.</w:t>
            </w:r>
            <w:r w:rsidR="002A5AAA" w:rsidRPr="007128C9">
              <w:rPr>
                <w:color w:val="000000" w:themeColor="text1"/>
                <w:szCs w:val="24"/>
              </w:rPr>
              <w:t xml:space="preserve"> </w:t>
            </w:r>
            <w:r w:rsidR="00971C41" w:rsidRPr="007128C9">
              <w:rPr>
                <w:color w:val="000000" w:themeColor="text1"/>
                <w:szCs w:val="24"/>
              </w:rPr>
              <w:t xml:space="preserve">– </w:t>
            </w:r>
            <w:r w:rsidR="002A5AAA" w:rsidRPr="007128C9">
              <w:rPr>
                <w:color w:val="000000" w:themeColor="text1"/>
                <w:szCs w:val="24"/>
              </w:rPr>
              <w:t>0,8</w:t>
            </w:r>
            <w:r w:rsidR="001C404B" w:rsidRPr="007128C9">
              <w:rPr>
                <w:color w:val="000000" w:themeColor="text1"/>
                <w:szCs w:val="24"/>
              </w:rPr>
              <w:t>;</w:t>
            </w:r>
            <w:r w:rsidR="002A5AAA" w:rsidRPr="007128C9">
              <w:rPr>
                <w:color w:val="000000" w:themeColor="text1"/>
                <w:szCs w:val="24"/>
              </w:rPr>
              <w:t xml:space="preserve"> </w:t>
            </w:r>
            <w:r w:rsidR="001C404B" w:rsidRPr="007128C9">
              <w:rPr>
                <w:color w:val="000000" w:themeColor="text1"/>
                <w:szCs w:val="24"/>
              </w:rPr>
              <w:t xml:space="preserve">2030 m. – </w:t>
            </w:r>
            <w:r w:rsidR="002A5AAA" w:rsidRPr="007128C9">
              <w:rPr>
                <w:color w:val="000000" w:themeColor="text1"/>
                <w:szCs w:val="24"/>
              </w:rPr>
              <w:t>0,85</w:t>
            </w:r>
            <w:r w:rsidR="001C404B" w:rsidRPr="007128C9">
              <w:rPr>
                <w:color w:val="000000" w:themeColor="text1"/>
                <w:szCs w:val="24"/>
              </w:rPr>
              <w:t>)</w:t>
            </w:r>
            <w:r w:rsidR="00D179B6" w:rsidRPr="007128C9">
              <w:rPr>
                <w:color w:val="000000" w:themeColor="text1"/>
                <w:szCs w:val="24"/>
              </w:rPr>
              <w:t>;</w:t>
            </w:r>
          </w:p>
          <w:p w14:paraId="4697E210" w14:textId="56789BE3" w:rsidR="002A5AAA" w:rsidRPr="007128C9" w:rsidRDefault="00066AFB" w:rsidP="002A5AAA">
            <w:pPr>
              <w:jc w:val="both"/>
              <w:rPr>
                <w:bCs/>
                <w:color w:val="000000" w:themeColor="text1"/>
                <w:szCs w:val="24"/>
              </w:rPr>
            </w:pPr>
            <w:r w:rsidRPr="007128C9">
              <w:rPr>
                <w:bCs/>
                <w:szCs w:val="24"/>
              </w:rPr>
              <w:t>8.5</w:t>
            </w:r>
            <w:r w:rsidR="002A5AAA" w:rsidRPr="007128C9">
              <w:rPr>
                <w:bCs/>
                <w:szCs w:val="24"/>
              </w:rPr>
              <w:t xml:space="preserve">.5. </w:t>
            </w:r>
            <w:r w:rsidR="008707B0">
              <w:rPr>
                <w:bCs/>
                <w:szCs w:val="24"/>
              </w:rPr>
              <w:t>c</w:t>
            </w:r>
            <w:r w:rsidR="002A5AAA" w:rsidRPr="007128C9">
              <w:rPr>
                <w:bCs/>
                <w:szCs w:val="24"/>
              </w:rPr>
              <w:t>entralizuotai valdomo administracinės paskirties valstybės nekilnojamojo turto</w:t>
            </w:r>
            <w:r w:rsidR="00971C41" w:rsidRPr="007128C9">
              <w:rPr>
                <w:bCs/>
                <w:szCs w:val="24"/>
              </w:rPr>
              <w:t xml:space="preserve"> (toliau – AVNT)</w:t>
            </w:r>
            <w:r w:rsidR="002A5AAA" w:rsidRPr="007128C9">
              <w:rPr>
                <w:bCs/>
                <w:szCs w:val="24"/>
              </w:rPr>
              <w:t xml:space="preserve"> ploto pokytis, palyginti su 2021 m.</w:t>
            </w:r>
            <w:r w:rsidR="001C404B" w:rsidRPr="007128C9">
              <w:rPr>
                <w:bCs/>
                <w:szCs w:val="24"/>
              </w:rPr>
              <w:t xml:space="preserve">, proc. (2025 m. </w:t>
            </w:r>
            <w:r w:rsidR="002A5AAA" w:rsidRPr="007128C9">
              <w:rPr>
                <w:bCs/>
                <w:color w:val="000000" w:themeColor="text1"/>
                <w:szCs w:val="24"/>
              </w:rPr>
              <w:t xml:space="preserve">– </w:t>
            </w:r>
            <w:r w:rsidR="00E7185D" w:rsidRPr="007128C9">
              <w:rPr>
                <w:bCs/>
                <w:color w:val="000000" w:themeColor="text1"/>
                <w:szCs w:val="24"/>
              </w:rPr>
              <w:t>(–</w:t>
            </w:r>
            <w:r w:rsidR="002A5AAA" w:rsidRPr="007128C9">
              <w:rPr>
                <w:bCs/>
                <w:color w:val="000000" w:themeColor="text1"/>
                <w:szCs w:val="24"/>
              </w:rPr>
              <w:t>10</w:t>
            </w:r>
            <w:r w:rsidR="00E7185D" w:rsidRPr="007128C9">
              <w:rPr>
                <w:bCs/>
                <w:color w:val="000000" w:themeColor="text1"/>
                <w:szCs w:val="24"/>
              </w:rPr>
              <w:t>)</w:t>
            </w:r>
            <w:r w:rsidR="001C404B" w:rsidRPr="007128C9">
              <w:rPr>
                <w:bCs/>
                <w:color w:val="000000" w:themeColor="text1"/>
                <w:szCs w:val="24"/>
              </w:rPr>
              <w:t>;</w:t>
            </w:r>
            <w:r w:rsidR="002A5AAA" w:rsidRPr="007128C9">
              <w:rPr>
                <w:bCs/>
                <w:color w:val="000000" w:themeColor="text1"/>
                <w:szCs w:val="24"/>
              </w:rPr>
              <w:t xml:space="preserve"> </w:t>
            </w:r>
            <w:r w:rsidR="001C404B" w:rsidRPr="007128C9">
              <w:rPr>
                <w:bCs/>
                <w:color w:val="000000" w:themeColor="text1"/>
                <w:szCs w:val="24"/>
              </w:rPr>
              <w:t xml:space="preserve">2030 m. – </w:t>
            </w:r>
            <w:r w:rsidR="00E7185D" w:rsidRPr="007128C9">
              <w:rPr>
                <w:bCs/>
                <w:color w:val="000000" w:themeColor="text1"/>
                <w:szCs w:val="24"/>
              </w:rPr>
              <w:t>(–</w:t>
            </w:r>
            <w:r w:rsidR="002A5AAA" w:rsidRPr="007128C9">
              <w:rPr>
                <w:bCs/>
                <w:color w:val="000000" w:themeColor="text1"/>
                <w:szCs w:val="24"/>
              </w:rPr>
              <w:t>25</w:t>
            </w:r>
            <w:r w:rsidR="001C404B" w:rsidRPr="007128C9">
              <w:rPr>
                <w:bCs/>
                <w:color w:val="000000" w:themeColor="text1"/>
                <w:szCs w:val="24"/>
              </w:rPr>
              <w:t>);</w:t>
            </w:r>
          </w:p>
          <w:p w14:paraId="4BC848DE" w14:textId="6C012D4D" w:rsidR="0007489D" w:rsidRPr="007128C9" w:rsidRDefault="00066F33" w:rsidP="0083054E">
            <w:pPr>
              <w:jc w:val="both"/>
              <w:rPr>
                <w:bCs/>
                <w:szCs w:val="24"/>
              </w:rPr>
            </w:pPr>
            <w:r w:rsidRPr="007128C9">
              <w:rPr>
                <w:bCs/>
                <w:color w:val="000000" w:themeColor="text1"/>
                <w:szCs w:val="24"/>
              </w:rPr>
              <w:t>8</w:t>
            </w:r>
            <w:r w:rsidR="002A5AAA" w:rsidRPr="007128C9">
              <w:rPr>
                <w:bCs/>
                <w:color w:val="000000" w:themeColor="text1"/>
                <w:szCs w:val="24"/>
              </w:rPr>
              <w:t>.</w:t>
            </w:r>
            <w:r w:rsidR="00066AFB" w:rsidRPr="007128C9">
              <w:rPr>
                <w:bCs/>
                <w:color w:val="000000" w:themeColor="text1"/>
                <w:szCs w:val="24"/>
              </w:rPr>
              <w:t>5</w:t>
            </w:r>
            <w:r w:rsidR="002A5AAA" w:rsidRPr="007128C9">
              <w:rPr>
                <w:bCs/>
                <w:color w:val="000000" w:themeColor="text1"/>
                <w:szCs w:val="24"/>
              </w:rPr>
              <w:t>.</w:t>
            </w:r>
            <w:r w:rsidRPr="007128C9">
              <w:rPr>
                <w:bCs/>
                <w:color w:val="000000" w:themeColor="text1"/>
                <w:szCs w:val="24"/>
              </w:rPr>
              <w:t>6</w:t>
            </w:r>
            <w:r w:rsidR="002A5AAA" w:rsidRPr="007128C9">
              <w:rPr>
                <w:bCs/>
                <w:color w:val="000000" w:themeColor="text1"/>
                <w:szCs w:val="24"/>
              </w:rPr>
              <w:t xml:space="preserve">. </w:t>
            </w:r>
            <w:r w:rsidR="008707B0">
              <w:rPr>
                <w:bCs/>
                <w:color w:val="000000" w:themeColor="text1"/>
                <w:szCs w:val="24"/>
              </w:rPr>
              <w:t>s</w:t>
            </w:r>
            <w:r w:rsidR="002A5AAA" w:rsidRPr="007128C9">
              <w:rPr>
                <w:bCs/>
                <w:color w:val="000000" w:themeColor="text1"/>
                <w:szCs w:val="24"/>
              </w:rPr>
              <w:t>trateginio pajėgumo indeksas</w:t>
            </w:r>
            <w:r w:rsidR="001C404B" w:rsidRPr="007128C9">
              <w:rPr>
                <w:bCs/>
                <w:color w:val="000000" w:themeColor="text1"/>
                <w:szCs w:val="24"/>
              </w:rPr>
              <w:t>, balais</w:t>
            </w:r>
            <w:r w:rsidR="002A5AAA" w:rsidRPr="007128C9">
              <w:rPr>
                <w:bCs/>
                <w:color w:val="000000" w:themeColor="text1"/>
                <w:szCs w:val="24"/>
              </w:rPr>
              <w:t xml:space="preserve"> </w:t>
            </w:r>
            <w:r w:rsidR="001C404B" w:rsidRPr="007128C9">
              <w:rPr>
                <w:bCs/>
                <w:color w:val="000000" w:themeColor="text1"/>
                <w:szCs w:val="24"/>
              </w:rPr>
              <w:t>(</w:t>
            </w:r>
            <w:r w:rsidR="00EE4B3F" w:rsidRPr="007128C9">
              <w:rPr>
                <w:bCs/>
                <w:color w:val="000000" w:themeColor="text1"/>
                <w:szCs w:val="24"/>
              </w:rPr>
              <w:t>20</w:t>
            </w:r>
            <w:r w:rsidR="00976FCD" w:rsidRPr="007128C9">
              <w:rPr>
                <w:bCs/>
                <w:color w:val="000000" w:themeColor="text1"/>
                <w:szCs w:val="24"/>
              </w:rPr>
              <w:t>18</w:t>
            </w:r>
            <w:r w:rsidR="001C404B" w:rsidRPr="007128C9">
              <w:rPr>
                <w:bCs/>
                <w:color w:val="000000" w:themeColor="text1"/>
                <w:szCs w:val="24"/>
              </w:rPr>
              <w:t xml:space="preserve"> m. – </w:t>
            </w:r>
            <w:r w:rsidR="00EE4B3F" w:rsidRPr="007128C9">
              <w:rPr>
                <w:bCs/>
                <w:color w:val="000000" w:themeColor="text1"/>
                <w:szCs w:val="24"/>
              </w:rPr>
              <w:t>7</w:t>
            </w:r>
            <w:r w:rsidR="001C404B" w:rsidRPr="007128C9">
              <w:rPr>
                <w:bCs/>
                <w:color w:val="000000" w:themeColor="text1"/>
                <w:szCs w:val="24"/>
              </w:rPr>
              <w:t xml:space="preserve">; 2025 </w:t>
            </w:r>
            <w:r w:rsidR="002A5AAA" w:rsidRPr="007128C9">
              <w:rPr>
                <w:color w:val="000000" w:themeColor="text1"/>
                <w:szCs w:val="24"/>
              </w:rPr>
              <w:t>m</w:t>
            </w:r>
            <w:r w:rsidR="001C404B" w:rsidRPr="007128C9">
              <w:rPr>
                <w:color w:val="000000" w:themeColor="text1"/>
                <w:szCs w:val="24"/>
              </w:rPr>
              <w:t>.</w:t>
            </w:r>
            <w:r w:rsidR="002A5AAA" w:rsidRPr="007128C9">
              <w:rPr>
                <w:color w:val="000000" w:themeColor="text1"/>
                <w:szCs w:val="24"/>
              </w:rPr>
              <w:t xml:space="preserve"> </w:t>
            </w:r>
            <w:r w:rsidR="00971C41" w:rsidRPr="007128C9">
              <w:rPr>
                <w:color w:val="000000" w:themeColor="text1"/>
                <w:szCs w:val="24"/>
              </w:rPr>
              <w:t xml:space="preserve">– </w:t>
            </w:r>
            <w:r w:rsidR="002A5AAA" w:rsidRPr="007128C9">
              <w:rPr>
                <w:color w:val="000000" w:themeColor="text1"/>
                <w:szCs w:val="24"/>
              </w:rPr>
              <w:t>8</w:t>
            </w:r>
            <w:r w:rsidR="001C404B" w:rsidRPr="007128C9">
              <w:rPr>
                <w:color w:val="000000" w:themeColor="text1"/>
                <w:szCs w:val="24"/>
              </w:rPr>
              <w:t>;</w:t>
            </w:r>
            <w:r w:rsidR="002A5AAA" w:rsidRPr="007128C9">
              <w:rPr>
                <w:color w:val="000000" w:themeColor="text1"/>
                <w:szCs w:val="24"/>
              </w:rPr>
              <w:t xml:space="preserve"> </w:t>
            </w:r>
            <w:r w:rsidR="001C404B" w:rsidRPr="007128C9">
              <w:rPr>
                <w:color w:val="000000" w:themeColor="text1"/>
                <w:szCs w:val="24"/>
              </w:rPr>
              <w:t xml:space="preserve">2030 </w:t>
            </w:r>
            <w:r w:rsidR="002A5AAA" w:rsidRPr="007128C9">
              <w:rPr>
                <w:color w:val="000000" w:themeColor="text1"/>
                <w:szCs w:val="24"/>
              </w:rPr>
              <w:t>m</w:t>
            </w:r>
            <w:r w:rsidR="001C404B" w:rsidRPr="007128C9">
              <w:rPr>
                <w:color w:val="000000" w:themeColor="text1"/>
                <w:szCs w:val="24"/>
              </w:rPr>
              <w:t>.</w:t>
            </w:r>
            <w:r w:rsidR="002A5AAA" w:rsidRPr="007128C9">
              <w:rPr>
                <w:color w:val="000000" w:themeColor="text1"/>
                <w:szCs w:val="24"/>
              </w:rPr>
              <w:t xml:space="preserve"> </w:t>
            </w:r>
            <w:r w:rsidR="00971C41" w:rsidRPr="007128C9">
              <w:rPr>
                <w:color w:val="000000" w:themeColor="text1"/>
                <w:szCs w:val="24"/>
              </w:rPr>
              <w:t xml:space="preserve">– </w:t>
            </w:r>
            <w:r w:rsidR="002A5AAA" w:rsidRPr="007128C9">
              <w:rPr>
                <w:color w:val="000000" w:themeColor="text1"/>
                <w:szCs w:val="24"/>
              </w:rPr>
              <w:t>8,5</w:t>
            </w:r>
            <w:r w:rsidR="001C404B" w:rsidRPr="007128C9">
              <w:rPr>
                <w:color w:val="000000" w:themeColor="text1"/>
                <w:szCs w:val="24"/>
              </w:rPr>
              <w:t>).</w:t>
            </w:r>
          </w:p>
        </w:tc>
      </w:tr>
      <w:tr w:rsidR="002D63CB" w:rsidRPr="001C77C5" w14:paraId="2D004672" w14:textId="77777777" w:rsidTr="0053524A">
        <w:tc>
          <w:tcPr>
            <w:tcW w:w="1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F947C" w14:textId="0433DB03" w:rsidR="002D63CB" w:rsidRPr="007128C9" w:rsidRDefault="002D63CB" w:rsidP="008707B0">
            <w:pPr>
              <w:jc w:val="both"/>
              <w:rPr>
                <w:rFonts w:eastAsia="Calibri"/>
                <w:szCs w:val="24"/>
              </w:rPr>
            </w:pPr>
            <w:r w:rsidRPr="007128C9">
              <w:rPr>
                <w:rFonts w:eastAsia="Calibri"/>
                <w:b/>
                <w:szCs w:val="24"/>
              </w:rPr>
              <w:t>1 problema –</w:t>
            </w:r>
            <w:r w:rsidRPr="007128C9">
              <w:rPr>
                <w:rFonts w:eastAsia="Calibri"/>
                <w:szCs w:val="24"/>
              </w:rPr>
              <w:t xml:space="preserve"> </w:t>
            </w:r>
            <w:r w:rsidR="008707B0">
              <w:rPr>
                <w:rFonts w:eastAsia="Calibri"/>
                <w:b/>
                <w:szCs w:val="24"/>
              </w:rPr>
              <w:t>n</w:t>
            </w:r>
            <w:r w:rsidR="001C77C5" w:rsidRPr="007128C9">
              <w:rPr>
                <w:b/>
                <w:szCs w:val="24"/>
              </w:rPr>
              <w:t>eoptimalus viešųjų finansų planavimas, paskirstymas, naudojimas ir atsiskaitymas už juos</w:t>
            </w:r>
          </w:p>
        </w:tc>
      </w:tr>
      <w:tr w:rsidR="002D63CB" w:rsidRPr="001C77C5" w14:paraId="6FB4E9A9" w14:textId="77777777" w:rsidTr="0053524A">
        <w:tc>
          <w:tcPr>
            <w:tcW w:w="1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B3E61" w14:textId="77777777" w:rsidR="001C77C5" w:rsidRPr="007128C9" w:rsidRDefault="001C77C5" w:rsidP="001C77C5">
            <w:pPr>
              <w:jc w:val="both"/>
              <w:rPr>
                <w:szCs w:val="24"/>
              </w:rPr>
            </w:pPr>
            <w:r w:rsidRPr="007128C9">
              <w:rPr>
                <w:b/>
                <w:szCs w:val="24"/>
              </w:rPr>
              <w:t>Spręstinos problemos priežastys</w:t>
            </w:r>
            <w:r w:rsidR="00811BDA" w:rsidRPr="007128C9">
              <w:rPr>
                <w:b/>
                <w:szCs w:val="24"/>
              </w:rPr>
              <w:t xml:space="preserve"> </w:t>
            </w:r>
            <w:r w:rsidR="00811BDA" w:rsidRPr="007128C9">
              <w:rPr>
                <w:szCs w:val="24"/>
              </w:rPr>
              <w:t>(</w:t>
            </w:r>
            <w:r w:rsidR="00811BDA" w:rsidRPr="007128C9">
              <w:rPr>
                <w:i/>
                <w:szCs w:val="24"/>
              </w:rPr>
              <w:t>prioriteto tvarka</w:t>
            </w:r>
            <w:r w:rsidR="00811BDA" w:rsidRPr="007128C9">
              <w:rPr>
                <w:szCs w:val="24"/>
              </w:rPr>
              <w:t>)</w:t>
            </w:r>
            <w:r w:rsidRPr="007128C9">
              <w:rPr>
                <w:b/>
                <w:szCs w:val="24"/>
              </w:rPr>
              <w:t xml:space="preserve">: </w:t>
            </w:r>
          </w:p>
          <w:p w14:paraId="24B50D92" w14:textId="71FB836D" w:rsidR="001C77C5" w:rsidRPr="007128C9" w:rsidRDefault="00EA41F1" w:rsidP="001F4F3B">
            <w:pPr>
              <w:jc w:val="both"/>
              <w:rPr>
                <w:b/>
                <w:strike/>
                <w:color w:val="000000" w:themeColor="text1"/>
                <w:szCs w:val="24"/>
              </w:rPr>
            </w:pPr>
            <w:r w:rsidRPr="007128C9">
              <w:rPr>
                <w:b/>
                <w:color w:val="000000" w:themeColor="text1"/>
                <w:szCs w:val="24"/>
              </w:rPr>
              <w:t>1.</w:t>
            </w:r>
            <w:r w:rsidR="001F4F3B" w:rsidRPr="007128C9">
              <w:rPr>
                <w:b/>
                <w:color w:val="000000" w:themeColor="text1"/>
                <w:szCs w:val="24"/>
              </w:rPr>
              <w:t xml:space="preserve">1. </w:t>
            </w:r>
            <w:r w:rsidR="001C77C5" w:rsidRPr="007128C9">
              <w:rPr>
                <w:b/>
                <w:color w:val="000000" w:themeColor="text1"/>
                <w:szCs w:val="24"/>
              </w:rPr>
              <w:t xml:space="preserve">Neefektyvus </w:t>
            </w:r>
            <w:r w:rsidR="00B41F42" w:rsidRPr="007128C9">
              <w:rPr>
                <w:b/>
                <w:szCs w:val="24"/>
              </w:rPr>
              <w:t>vidutinės trukmės</w:t>
            </w:r>
            <w:r w:rsidR="009A7E36">
              <w:rPr>
                <w:b/>
                <w:szCs w:val="24"/>
              </w:rPr>
              <w:t xml:space="preserve"> </w:t>
            </w:r>
            <w:r w:rsidR="00B41F42" w:rsidRPr="007128C9">
              <w:rPr>
                <w:b/>
                <w:color w:val="000000" w:themeColor="text1"/>
                <w:szCs w:val="24"/>
              </w:rPr>
              <w:t>valstybės biudžeto</w:t>
            </w:r>
            <w:r w:rsidR="001C77C5" w:rsidRPr="007128C9">
              <w:rPr>
                <w:b/>
                <w:color w:val="000000" w:themeColor="text1"/>
                <w:szCs w:val="24"/>
              </w:rPr>
              <w:t xml:space="preserve"> planavimas</w:t>
            </w:r>
            <w:r w:rsidR="006255B7" w:rsidRPr="007128C9">
              <w:rPr>
                <w:b/>
                <w:color w:val="000000" w:themeColor="text1"/>
                <w:szCs w:val="24"/>
              </w:rPr>
              <w:t>:</w:t>
            </w:r>
            <w:r w:rsidR="000A576F" w:rsidRPr="007128C9">
              <w:rPr>
                <w:b/>
                <w:strike/>
                <w:color w:val="000000" w:themeColor="text1"/>
                <w:szCs w:val="24"/>
              </w:rPr>
              <w:t xml:space="preserve"> </w:t>
            </w:r>
          </w:p>
          <w:p w14:paraId="50D6571B" w14:textId="68FD7B5F" w:rsidR="001F4F3B" w:rsidRPr="007128C9" w:rsidRDefault="001F4F3B" w:rsidP="00587C0B">
            <w:pPr>
              <w:ind w:firstLine="171"/>
              <w:jc w:val="both"/>
              <w:rPr>
                <w:bCs/>
                <w:color w:val="000000" w:themeColor="text1"/>
                <w:szCs w:val="24"/>
              </w:rPr>
            </w:pPr>
            <w:r w:rsidRPr="007128C9">
              <w:rPr>
                <w:bCs/>
                <w:color w:val="000000" w:themeColor="text1"/>
                <w:szCs w:val="24"/>
              </w:rPr>
              <w:t>1.1.</w:t>
            </w:r>
            <w:r w:rsidR="00EA41F1" w:rsidRPr="007128C9">
              <w:rPr>
                <w:bCs/>
                <w:color w:val="000000" w:themeColor="text1"/>
                <w:szCs w:val="24"/>
              </w:rPr>
              <w:t>1.</w:t>
            </w:r>
            <w:r w:rsidR="00971C41" w:rsidRPr="007128C9">
              <w:rPr>
                <w:bCs/>
                <w:color w:val="000000" w:themeColor="text1"/>
                <w:szCs w:val="24"/>
              </w:rPr>
              <w:t xml:space="preserve"> f</w:t>
            </w:r>
            <w:r w:rsidR="001C77C5" w:rsidRPr="007128C9">
              <w:rPr>
                <w:bCs/>
                <w:color w:val="000000" w:themeColor="text1"/>
                <w:szCs w:val="24"/>
              </w:rPr>
              <w:t xml:space="preserve">ormalus </w:t>
            </w:r>
            <w:r w:rsidR="00C773C7">
              <w:rPr>
                <w:bCs/>
                <w:color w:val="000000" w:themeColor="text1"/>
                <w:szCs w:val="24"/>
              </w:rPr>
              <w:t>vidutinės trukmės</w:t>
            </w:r>
            <w:r w:rsidR="001C77C5" w:rsidRPr="007128C9">
              <w:rPr>
                <w:bCs/>
                <w:color w:val="000000" w:themeColor="text1"/>
                <w:szCs w:val="24"/>
              </w:rPr>
              <w:t xml:space="preserve"> </w:t>
            </w:r>
            <w:r w:rsidR="00861631" w:rsidRPr="007128C9">
              <w:rPr>
                <w:bCs/>
                <w:color w:val="000000" w:themeColor="text1"/>
                <w:szCs w:val="24"/>
              </w:rPr>
              <w:t xml:space="preserve">valstybės </w:t>
            </w:r>
            <w:r w:rsidR="001C77C5" w:rsidRPr="007128C9">
              <w:rPr>
                <w:bCs/>
                <w:color w:val="000000" w:themeColor="text1"/>
                <w:szCs w:val="24"/>
              </w:rPr>
              <w:t>biudžeto planavimas</w:t>
            </w:r>
            <w:r w:rsidR="006255B7" w:rsidRPr="007128C9">
              <w:rPr>
                <w:bCs/>
                <w:color w:val="000000" w:themeColor="text1"/>
                <w:szCs w:val="24"/>
              </w:rPr>
              <w:t>;</w:t>
            </w:r>
            <w:r w:rsidR="001C77C5" w:rsidRPr="007128C9">
              <w:rPr>
                <w:bCs/>
                <w:color w:val="000000" w:themeColor="text1"/>
                <w:szCs w:val="24"/>
              </w:rPr>
              <w:t xml:space="preserve"> </w:t>
            </w:r>
          </w:p>
          <w:p w14:paraId="49D88212" w14:textId="5465B51D" w:rsidR="001C77C5" w:rsidRPr="007128C9" w:rsidRDefault="001F4F3B" w:rsidP="00587C0B">
            <w:pPr>
              <w:ind w:firstLine="171"/>
              <w:jc w:val="both"/>
              <w:rPr>
                <w:strike/>
                <w:color w:val="000000" w:themeColor="text1"/>
                <w:szCs w:val="24"/>
              </w:rPr>
            </w:pPr>
            <w:r w:rsidRPr="007128C9">
              <w:rPr>
                <w:bCs/>
                <w:color w:val="000000" w:themeColor="text1"/>
                <w:szCs w:val="24"/>
              </w:rPr>
              <w:t>1.</w:t>
            </w:r>
            <w:r w:rsidR="00EA41F1" w:rsidRPr="007128C9">
              <w:rPr>
                <w:bCs/>
                <w:color w:val="000000" w:themeColor="text1"/>
                <w:szCs w:val="24"/>
              </w:rPr>
              <w:t>1.</w:t>
            </w:r>
            <w:r w:rsidRPr="007128C9">
              <w:rPr>
                <w:bCs/>
                <w:color w:val="000000" w:themeColor="text1"/>
                <w:szCs w:val="24"/>
              </w:rPr>
              <w:t xml:space="preserve">2. </w:t>
            </w:r>
            <w:r w:rsidR="00971C41" w:rsidRPr="007128C9">
              <w:rPr>
                <w:bCs/>
                <w:color w:val="000000" w:themeColor="text1"/>
                <w:szCs w:val="24"/>
              </w:rPr>
              <w:t>n</w:t>
            </w:r>
            <w:r w:rsidR="00C70E49" w:rsidRPr="007128C9">
              <w:rPr>
                <w:bCs/>
                <w:color w:val="000000" w:themeColor="text1"/>
                <w:szCs w:val="24"/>
              </w:rPr>
              <w:t xml:space="preserve">eefektyviai planuojamos tęstinės veiklos </w:t>
            </w:r>
            <w:r w:rsidR="001D4B15">
              <w:rPr>
                <w:bCs/>
                <w:color w:val="000000" w:themeColor="text1"/>
                <w:szCs w:val="24"/>
              </w:rPr>
              <w:t>lėš</w:t>
            </w:r>
            <w:r w:rsidR="00C70E49" w:rsidRPr="007128C9">
              <w:rPr>
                <w:bCs/>
                <w:color w:val="000000" w:themeColor="text1"/>
                <w:szCs w:val="24"/>
              </w:rPr>
              <w:t>os</w:t>
            </w:r>
            <w:r w:rsidR="00132FEB" w:rsidRPr="007128C9">
              <w:rPr>
                <w:bCs/>
                <w:color w:val="000000" w:themeColor="text1"/>
                <w:szCs w:val="24"/>
              </w:rPr>
              <w:t>.</w:t>
            </w:r>
          </w:p>
          <w:p w14:paraId="1202CF86" w14:textId="37138675" w:rsidR="00B13C05" w:rsidRPr="007128C9" w:rsidRDefault="00EA41F1" w:rsidP="00F340C1">
            <w:pPr>
              <w:rPr>
                <w:b/>
                <w:color w:val="000000" w:themeColor="text1"/>
                <w:szCs w:val="24"/>
              </w:rPr>
            </w:pPr>
            <w:r w:rsidRPr="007128C9">
              <w:rPr>
                <w:b/>
                <w:color w:val="000000" w:themeColor="text1"/>
                <w:szCs w:val="24"/>
              </w:rPr>
              <w:t>1.</w:t>
            </w:r>
            <w:r w:rsidR="006E3955" w:rsidRPr="007128C9">
              <w:rPr>
                <w:b/>
                <w:color w:val="000000" w:themeColor="text1"/>
                <w:szCs w:val="24"/>
              </w:rPr>
              <w:t xml:space="preserve">2. Nepakankamai užtikrinamas </w:t>
            </w:r>
            <w:r w:rsidR="001D4B15">
              <w:rPr>
                <w:b/>
                <w:color w:val="000000" w:themeColor="text1"/>
                <w:szCs w:val="24"/>
              </w:rPr>
              <w:t xml:space="preserve">valstybės </w:t>
            </w:r>
            <w:r w:rsidR="006E3955" w:rsidRPr="007128C9">
              <w:rPr>
                <w:b/>
                <w:color w:val="000000" w:themeColor="text1"/>
                <w:szCs w:val="24"/>
              </w:rPr>
              <w:t>biudžeto planavimo ir pasiektų rezultatų skaidrumas:</w:t>
            </w:r>
          </w:p>
          <w:p w14:paraId="10DFF923" w14:textId="16910414" w:rsidR="006E3955" w:rsidRPr="007128C9" w:rsidRDefault="00EA41F1" w:rsidP="00587C0B">
            <w:pPr>
              <w:tabs>
                <w:tab w:val="left" w:pos="598"/>
              </w:tabs>
              <w:ind w:firstLine="171"/>
              <w:jc w:val="both"/>
              <w:rPr>
                <w:color w:val="000000" w:themeColor="text1"/>
                <w:szCs w:val="24"/>
              </w:rPr>
            </w:pPr>
            <w:r w:rsidRPr="007128C9">
              <w:rPr>
                <w:color w:val="000000" w:themeColor="text1"/>
                <w:szCs w:val="24"/>
              </w:rPr>
              <w:t>1.</w:t>
            </w:r>
            <w:r w:rsidR="006E3955" w:rsidRPr="007128C9">
              <w:rPr>
                <w:color w:val="000000" w:themeColor="text1"/>
                <w:szCs w:val="24"/>
              </w:rPr>
              <w:t xml:space="preserve">2.1. </w:t>
            </w:r>
            <w:r w:rsidR="00971C41" w:rsidRPr="007128C9">
              <w:rPr>
                <w:color w:val="000000" w:themeColor="text1"/>
                <w:szCs w:val="24"/>
              </w:rPr>
              <w:t>n</w:t>
            </w:r>
            <w:r w:rsidR="006E3955" w:rsidRPr="007128C9">
              <w:rPr>
                <w:color w:val="000000" w:themeColor="text1"/>
                <w:szCs w:val="24"/>
              </w:rPr>
              <w:t xml:space="preserve">ėra priemonės informacijai apie </w:t>
            </w:r>
            <w:r w:rsidR="001D4B15">
              <w:rPr>
                <w:color w:val="000000" w:themeColor="text1"/>
                <w:szCs w:val="24"/>
              </w:rPr>
              <w:t xml:space="preserve">valstybės </w:t>
            </w:r>
            <w:r w:rsidR="006E3955" w:rsidRPr="007128C9">
              <w:rPr>
                <w:color w:val="000000" w:themeColor="text1"/>
                <w:szCs w:val="24"/>
              </w:rPr>
              <w:t xml:space="preserve">biudžeto lėšų panaudojimo efektyvumą paprastai ir greitai gauti; </w:t>
            </w:r>
          </w:p>
          <w:p w14:paraId="7B6562B1" w14:textId="73991B85" w:rsidR="006E3955" w:rsidRPr="007128C9" w:rsidRDefault="00EA41F1" w:rsidP="00587C0B">
            <w:pPr>
              <w:tabs>
                <w:tab w:val="left" w:pos="598"/>
              </w:tabs>
              <w:ind w:firstLine="171"/>
              <w:jc w:val="both"/>
              <w:rPr>
                <w:color w:val="000000" w:themeColor="text1"/>
                <w:szCs w:val="24"/>
              </w:rPr>
            </w:pPr>
            <w:r w:rsidRPr="007128C9">
              <w:rPr>
                <w:color w:val="000000" w:themeColor="text1"/>
                <w:szCs w:val="24"/>
              </w:rPr>
              <w:t>1.</w:t>
            </w:r>
            <w:r w:rsidR="006E3955" w:rsidRPr="007128C9">
              <w:rPr>
                <w:color w:val="000000" w:themeColor="text1"/>
                <w:szCs w:val="24"/>
              </w:rPr>
              <w:t xml:space="preserve">2.2. </w:t>
            </w:r>
            <w:r w:rsidR="00631635" w:rsidRPr="007128C9">
              <w:rPr>
                <w:color w:val="000000" w:themeColor="text1"/>
                <w:szCs w:val="24"/>
              </w:rPr>
              <w:t>f</w:t>
            </w:r>
            <w:r w:rsidR="008A323C" w:rsidRPr="007128C9">
              <w:rPr>
                <w:color w:val="000000" w:themeColor="text1"/>
                <w:szCs w:val="24"/>
              </w:rPr>
              <w:t xml:space="preserve">ragmentiškas ir nenuoseklus </w:t>
            </w:r>
            <w:r w:rsidR="001D4B15">
              <w:rPr>
                <w:color w:val="000000" w:themeColor="text1"/>
                <w:szCs w:val="24"/>
              </w:rPr>
              <w:t xml:space="preserve">valstybės </w:t>
            </w:r>
            <w:r w:rsidR="00990651" w:rsidRPr="007128C9">
              <w:rPr>
                <w:color w:val="000000" w:themeColor="text1"/>
                <w:szCs w:val="24"/>
              </w:rPr>
              <w:t>biudžeto planavimo proces</w:t>
            </w:r>
            <w:r w:rsidR="008A323C" w:rsidRPr="007128C9">
              <w:rPr>
                <w:color w:val="000000" w:themeColor="text1"/>
                <w:szCs w:val="24"/>
              </w:rPr>
              <w:t>o viešinimas</w:t>
            </w:r>
            <w:r w:rsidR="006E3955" w:rsidRPr="007128C9">
              <w:rPr>
                <w:color w:val="000000" w:themeColor="text1"/>
                <w:szCs w:val="24"/>
              </w:rPr>
              <w:t>;</w:t>
            </w:r>
          </w:p>
          <w:p w14:paraId="7B881C3B" w14:textId="02A1C06C" w:rsidR="006E3955" w:rsidRPr="007128C9" w:rsidRDefault="00EA41F1" w:rsidP="00587C0B">
            <w:pPr>
              <w:tabs>
                <w:tab w:val="left" w:pos="598"/>
              </w:tabs>
              <w:ind w:firstLine="171"/>
              <w:jc w:val="both"/>
              <w:rPr>
                <w:szCs w:val="24"/>
              </w:rPr>
            </w:pPr>
            <w:r w:rsidRPr="007128C9">
              <w:rPr>
                <w:color w:val="000000" w:themeColor="text1"/>
                <w:szCs w:val="24"/>
              </w:rPr>
              <w:t>1.</w:t>
            </w:r>
            <w:r w:rsidR="006E3955" w:rsidRPr="007128C9">
              <w:rPr>
                <w:color w:val="000000" w:themeColor="text1"/>
                <w:szCs w:val="24"/>
              </w:rPr>
              <w:t xml:space="preserve">2.3. </w:t>
            </w:r>
            <w:r w:rsidR="005A1DEE" w:rsidRPr="00954F11">
              <w:rPr>
                <w:color w:val="000000" w:themeColor="text1"/>
                <w:szCs w:val="24"/>
              </w:rPr>
              <w:t>viešojo sektoriaus subjektų biudžeto vykdymo ataskaitų rinkiniuose, finansinių ataskaitų rinkiniuose ir metinėse veiklos ataskaitose pateikiamos informacijos suderinamumo stoka</w:t>
            </w:r>
            <w:r w:rsidR="00631635" w:rsidRPr="007128C9">
              <w:rPr>
                <w:szCs w:val="24"/>
              </w:rPr>
              <w:t>;</w:t>
            </w:r>
          </w:p>
          <w:p w14:paraId="2FAFEE0F" w14:textId="38F2A91F" w:rsidR="006E3955" w:rsidRPr="007128C9" w:rsidRDefault="00EA41F1" w:rsidP="00587C0B">
            <w:pPr>
              <w:ind w:firstLine="171"/>
              <w:rPr>
                <w:color w:val="000000" w:themeColor="text1"/>
                <w:szCs w:val="24"/>
              </w:rPr>
            </w:pPr>
            <w:r w:rsidRPr="007128C9">
              <w:rPr>
                <w:color w:val="000000" w:themeColor="text1"/>
                <w:szCs w:val="24"/>
              </w:rPr>
              <w:t>1.</w:t>
            </w:r>
            <w:r w:rsidR="006E3955" w:rsidRPr="007128C9">
              <w:rPr>
                <w:color w:val="000000" w:themeColor="text1"/>
                <w:szCs w:val="24"/>
              </w:rPr>
              <w:t>2.4.</w:t>
            </w:r>
            <w:r w:rsidR="00631635" w:rsidRPr="007128C9">
              <w:rPr>
                <w:color w:val="000000" w:themeColor="text1"/>
                <w:szCs w:val="24"/>
              </w:rPr>
              <w:t xml:space="preserve"> </w:t>
            </w:r>
            <w:r w:rsidR="008A323C" w:rsidRPr="007128C9">
              <w:rPr>
                <w:color w:val="000000" w:themeColor="text1"/>
                <w:szCs w:val="24"/>
              </w:rPr>
              <w:t>komunikacijos ir edukacijos viešųjų finansų klausimais stoka</w:t>
            </w:r>
            <w:r w:rsidR="00132FEB" w:rsidRPr="007128C9">
              <w:rPr>
                <w:color w:val="000000" w:themeColor="text1"/>
                <w:szCs w:val="24"/>
              </w:rPr>
              <w:t>.</w:t>
            </w:r>
          </w:p>
          <w:p w14:paraId="0B4C7B36" w14:textId="77777777" w:rsidR="00132FEB" w:rsidRPr="007128C9" w:rsidRDefault="00EA41F1" w:rsidP="00132FEB">
            <w:pPr>
              <w:rPr>
                <w:rFonts w:eastAsiaTheme="minorHAnsi"/>
                <w:b/>
                <w:bCs/>
                <w:iCs/>
                <w:szCs w:val="24"/>
              </w:rPr>
            </w:pPr>
            <w:r w:rsidRPr="007128C9">
              <w:rPr>
                <w:b/>
                <w:color w:val="000000" w:themeColor="text1"/>
                <w:szCs w:val="24"/>
              </w:rPr>
              <w:t>1.</w:t>
            </w:r>
            <w:r w:rsidR="00132FEB" w:rsidRPr="007128C9">
              <w:rPr>
                <w:b/>
                <w:color w:val="000000" w:themeColor="text1"/>
                <w:szCs w:val="24"/>
              </w:rPr>
              <w:t xml:space="preserve">3. </w:t>
            </w:r>
            <w:r w:rsidR="00132FEB" w:rsidRPr="007128C9">
              <w:rPr>
                <w:rFonts w:eastAsiaTheme="minorHAnsi"/>
                <w:b/>
                <w:bCs/>
                <w:iCs/>
                <w:szCs w:val="24"/>
              </w:rPr>
              <w:t xml:space="preserve">Reikiamų gebėjimų efektyviai planuoti, </w:t>
            </w:r>
            <w:r w:rsidR="00971C41" w:rsidRPr="007128C9">
              <w:rPr>
                <w:rFonts w:eastAsiaTheme="minorHAnsi"/>
                <w:b/>
                <w:bCs/>
                <w:iCs/>
                <w:szCs w:val="24"/>
              </w:rPr>
              <w:t xml:space="preserve">panaudoti </w:t>
            </w:r>
            <w:r w:rsidR="00132FEB" w:rsidRPr="007128C9">
              <w:rPr>
                <w:rFonts w:eastAsiaTheme="minorHAnsi"/>
                <w:b/>
                <w:bCs/>
                <w:iCs/>
                <w:szCs w:val="24"/>
              </w:rPr>
              <w:t>viešuosius finansus</w:t>
            </w:r>
            <w:r w:rsidR="006837A4" w:rsidRPr="007128C9">
              <w:rPr>
                <w:rFonts w:eastAsiaTheme="minorHAnsi"/>
                <w:b/>
                <w:bCs/>
                <w:iCs/>
                <w:szCs w:val="24"/>
              </w:rPr>
              <w:t xml:space="preserve"> </w:t>
            </w:r>
            <w:r w:rsidR="00971C41" w:rsidRPr="007128C9">
              <w:rPr>
                <w:rFonts w:eastAsiaTheme="minorHAnsi"/>
                <w:b/>
                <w:bCs/>
                <w:iCs/>
                <w:szCs w:val="24"/>
              </w:rPr>
              <w:t xml:space="preserve">ir atsiskaityti už juos </w:t>
            </w:r>
            <w:r w:rsidR="006837A4" w:rsidRPr="007128C9">
              <w:rPr>
                <w:rFonts w:eastAsiaTheme="minorHAnsi"/>
                <w:b/>
                <w:bCs/>
                <w:iCs/>
                <w:szCs w:val="24"/>
              </w:rPr>
              <w:t>trūkumas.</w:t>
            </w:r>
          </w:p>
          <w:p w14:paraId="101F7E38" w14:textId="77777777" w:rsidR="002020E7" w:rsidRPr="007128C9" w:rsidRDefault="002020E7" w:rsidP="002020E7">
            <w:pPr>
              <w:widowControl w:val="0"/>
              <w:jc w:val="both"/>
              <w:rPr>
                <w:b/>
                <w:szCs w:val="24"/>
              </w:rPr>
            </w:pPr>
          </w:p>
          <w:p w14:paraId="2339D548" w14:textId="77777777" w:rsidR="002020E7" w:rsidRPr="007128C9" w:rsidRDefault="002020E7" w:rsidP="002020E7">
            <w:pPr>
              <w:widowControl w:val="0"/>
              <w:jc w:val="both"/>
              <w:rPr>
                <w:b/>
                <w:szCs w:val="24"/>
              </w:rPr>
            </w:pPr>
            <w:r w:rsidRPr="007128C9">
              <w:rPr>
                <w:b/>
                <w:szCs w:val="24"/>
              </w:rPr>
              <w:lastRenderedPageBreak/>
              <w:t>Pažangos priemonė, kuria sprendžiama problema:</w:t>
            </w:r>
          </w:p>
          <w:p w14:paraId="7CB7E1B3" w14:textId="75B2A28C" w:rsidR="00055C55" w:rsidRPr="007128C9" w:rsidRDefault="002020E7" w:rsidP="00587C0B">
            <w:pPr>
              <w:ind w:left="29" w:firstLine="142"/>
              <w:jc w:val="both"/>
              <w:rPr>
                <w:i/>
                <w:color w:val="000000" w:themeColor="text1"/>
                <w:szCs w:val="24"/>
              </w:rPr>
            </w:pPr>
            <w:r w:rsidRPr="007128C9">
              <w:rPr>
                <w:b/>
                <w:szCs w:val="24"/>
              </w:rPr>
              <w:t>04-001-08-05-01</w:t>
            </w:r>
            <w:r w:rsidRPr="007128C9">
              <w:rPr>
                <w:szCs w:val="24"/>
              </w:rPr>
              <w:t xml:space="preserve"> </w:t>
            </w:r>
            <w:r w:rsidR="00782AC5" w:rsidRPr="007128C9">
              <w:rPr>
                <w:color w:val="000000" w:themeColor="text1"/>
                <w:szCs w:val="24"/>
              </w:rPr>
              <w:t>T</w:t>
            </w:r>
            <w:r w:rsidR="001C77C5" w:rsidRPr="007128C9">
              <w:rPr>
                <w:color w:val="000000" w:themeColor="text1"/>
                <w:szCs w:val="24"/>
              </w:rPr>
              <w:t xml:space="preserve">obulinti </w:t>
            </w:r>
            <w:r w:rsidR="001C77C5" w:rsidRPr="007128C9">
              <w:rPr>
                <w:szCs w:val="24"/>
              </w:rPr>
              <w:t>vidutinės trukmės</w:t>
            </w:r>
            <w:r w:rsidR="009A7E36">
              <w:rPr>
                <w:szCs w:val="24"/>
              </w:rPr>
              <w:t xml:space="preserve"> </w:t>
            </w:r>
            <w:r w:rsidR="001C77C5" w:rsidRPr="007128C9">
              <w:rPr>
                <w:color w:val="000000" w:themeColor="text1"/>
                <w:szCs w:val="24"/>
              </w:rPr>
              <w:t xml:space="preserve">biudžeto </w:t>
            </w:r>
            <w:r w:rsidR="00AC4499" w:rsidRPr="007128C9">
              <w:rPr>
                <w:color w:val="000000" w:themeColor="text1"/>
                <w:szCs w:val="24"/>
              </w:rPr>
              <w:t>sistemą</w:t>
            </w:r>
            <w:r w:rsidRPr="007128C9">
              <w:rPr>
                <w:i/>
                <w:color w:val="000000" w:themeColor="text1"/>
                <w:szCs w:val="24"/>
              </w:rPr>
              <w:t xml:space="preserve"> (šalinamos 1.1</w:t>
            </w:r>
            <w:r w:rsidR="00CF3D6F">
              <w:rPr>
                <w:i/>
                <w:color w:val="000000" w:themeColor="text1"/>
                <w:szCs w:val="24"/>
              </w:rPr>
              <w:t>,</w:t>
            </w:r>
            <w:r w:rsidRPr="007128C9">
              <w:rPr>
                <w:i/>
                <w:color w:val="000000" w:themeColor="text1"/>
                <w:szCs w:val="24"/>
              </w:rPr>
              <w:t xml:space="preserve"> 1.2</w:t>
            </w:r>
            <w:r w:rsidR="00CF3D6F">
              <w:rPr>
                <w:i/>
                <w:color w:val="000000" w:themeColor="text1"/>
                <w:szCs w:val="24"/>
              </w:rPr>
              <w:t xml:space="preserve"> ir 1.3</w:t>
            </w:r>
            <w:r w:rsidRPr="007128C9">
              <w:rPr>
                <w:i/>
                <w:color w:val="000000" w:themeColor="text1"/>
                <w:szCs w:val="24"/>
              </w:rPr>
              <w:t xml:space="preserve"> priežastys)</w:t>
            </w:r>
            <w:r w:rsidR="00AF0A5E" w:rsidRPr="007128C9">
              <w:rPr>
                <w:i/>
                <w:color w:val="000000" w:themeColor="text1"/>
                <w:szCs w:val="24"/>
              </w:rPr>
              <w:t>.</w:t>
            </w:r>
          </w:p>
          <w:p w14:paraId="355A9939" w14:textId="77777777" w:rsidR="000C19DB" w:rsidRPr="007128C9" w:rsidRDefault="00E76A90" w:rsidP="00587C0B">
            <w:pPr>
              <w:ind w:left="29" w:firstLine="142"/>
              <w:jc w:val="both"/>
              <w:rPr>
                <w:color w:val="000000" w:themeColor="text1"/>
                <w:szCs w:val="24"/>
              </w:rPr>
            </w:pPr>
            <w:r w:rsidRPr="007128C9">
              <w:rPr>
                <w:color w:val="000000" w:themeColor="text1"/>
                <w:szCs w:val="24"/>
              </w:rPr>
              <w:t xml:space="preserve"> </w:t>
            </w:r>
            <w:r w:rsidR="00B46D58" w:rsidRPr="007128C9">
              <w:rPr>
                <w:color w:val="000000" w:themeColor="text1"/>
                <w:szCs w:val="24"/>
              </w:rPr>
              <w:t xml:space="preserve"> </w:t>
            </w:r>
          </w:p>
        </w:tc>
      </w:tr>
      <w:tr w:rsidR="00DA22E7" w:rsidRPr="001C77C5" w14:paraId="404D2720" w14:textId="77777777" w:rsidTr="0053524A">
        <w:tc>
          <w:tcPr>
            <w:tcW w:w="1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4DCF4" w14:textId="5CE20E1F" w:rsidR="00DA22E7" w:rsidRPr="00F004D3" w:rsidRDefault="00DA22E7" w:rsidP="008707B0">
            <w:pPr>
              <w:jc w:val="both"/>
              <w:rPr>
                <w:szCs w:val="24"/>
              </w:rPr>
            </w:pPr>
            <w:r w:rsidRPr="00F004D3">
              <w:rPr>
                <w:b/>
                <w:szCs w:val="24"/>
              </w:rPr>
              <w:lastRenderedPageBreak/>
              <w:t>2 problema –</w:t>
            </w:r>
            <w:r w:rsidRPr="00F004D3">
              <w:rPr>
                <w:szCs w:val="24"/>
              </w:rPr>
              <w:t xml:space="preserve"> </w:t>
            </w:r>
            <w:r w:rsidR="008707B0">
              <w:rPr>
                <w:b/>
                <w:szCs w:val="24"/>
              </w:rPr>
              <w:t>m</w:t>
            </w:r>
            <w:r w:rsidRPr="00B36D8D">
              <w:rPr>
                <w:b/>
                <w:szCs w:val="24"/>
              </w:rPr>
              <w:t>o</w:t>
            </w:r>
            <w:r w:rsidRPr="00F004D3">
              <w:rPr>
                <w:b/>
                <w:szCs w:val="24"/>
              </w:rPr>
              <w:t>kestinis atotrūkis</w:t>
            </w:r>
            <w:r>
              <w:rPr>
                <w:b/>
                <w:szCs w:val="24"/>
              </w:rPr>
              <w:t xml:space="preserve"> </w:t>
            </w:r>
            <w:r w:rsidRPr="00B36D8D">
              <w:rPr>
                <w:szCs w:val="24"/>
              </w:rPr>
              <w:t>(mokestinių prievolių</w:t>
            </w:r>
            <w:r w:rsidR="009A02F5">
              <w:rPr>
                <w:szCs w:val="24"/>
              </w:rPr>
              <w:t xml:space="preserve"> vengimas</w:t>
            </w:r>
            <w:r w:rsidRPr="00B36D8D">
              <w:rPr>
                <w:szCs w:val="24"/>
              </w:rPr>
              <w:t>)</w:t>
            </w:r>
          </w:p>
        </w:tc>
      </w:tr>
      <w:tr w:rsidR="00DA22E7" w:rsidRPr="001C77C5" w14:paraId="79A47C82" w14:textId="77777777" w:rsidTr="0053524A">
        <w:tc>
          <w:tcPr>
            <w:tcW w:w="1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2D016" w14:textId="77777777" w:rsidR="00DA22E7" w:rsidRPr="007128C9" w:rsidRDefault="00DA22E7" w:rsidP="00A41A0C">
            <w:pPr>
              <w:jc w:val="both"/>
              <w:rPr>
                <w:rFonts w:eastAsia="Calibri"/>
                <w:b/>
                <w:szCs w:val="24"/>
              </w:rPr>
            </w:pPr>
            <w:r w:rsidRPr="007128C9">
              <w:rPr>
                <w:rFonts w:eastAsia="Calibri"/>
                <w:b/>
                <w:szCs w:val="24"/>
              </w:rPr>
              <w:t>Spręstinos problemos priežastys</w:t>
            </w:r>
            <w:r w:rsidR="00811BDA" w:rsidRPr="007128C9">
              <w:rPr>
                <w:rFonts w:eastAsia="Calibri"/>
                <w:b/>
                <w:szCs w:val="24"/>
              </w:rPr>
              <w:t xml:space="preserve"> </w:t>
            </w:r>
            <w:r w:rsidR="00976FCD" w:rsidRPr="007128C9">
              <w:rPr>
                <w:rFonts w:eastAsia="Calibri"/>
                <w:szCs w:val="24"/>
              </w:rPr>
              <w:t>(</w:t>
            </w:r>
            <w:r w:rsidR="00811BDA" w:rsidRPr="007128C9">
              <w:rPr>
                <w:i/>
                <w:szCs w:val="24"/>
              </w:rPr>
              <w:t>prioriteto tvarka</w:t>
            </w:r>
            <w:r w:rsidR="00811BDA" w:rsidRPr="007128C9">
              <w:rPr>
                <w:szCs w:val="24"/>
              </w:rPr>
              <w:t>)</w:t>
            </w:r>
            <w:r w:rsidR="00811BDA" w:rsidRPr="007128C9">
              <w:rPr>
                <w:b/>
                <w:szCs w:val="24"/>
              </w:rPr>
              <w:t>:</w:t>
            </w:r>
          </w:p>
          <w:p w14:paraId="1A55D78D" w14:textId="77777777" w:rsidR="00DA22E7" w:rsidRPr="007128C9" w:rsidRDefault="00EA41F1" w:rsidP="00DA22E7">
            <w:pPr>
              <w:jc w:val="both"/>
              <w:rPr>
                <w:b/>
                <w:szCs w:val="24"/>
              </w:rPr>
            </w:pPr>
            <w:r w:rsidRPr="007128C9">
              <w:rPr>
                <w:b/>
                <w:szCs w:val="24"/>
              </w:rPr>
              <w:t>2.</w:t>
            </w:r>
            <w:r w:rsidR="00DA22E7" w:rsidRPr="007128C9">
              <w:rPr>
                <w:b/>
                <w:szCs w:val="24"/>
              </w:rPr>
              <w:t>1. Nesudarytos visos prielaidos laiku nustatyti ir užkardyti sąmoningą mokesčių vengimą:</w:t>
            </w:r>
          </w:p>
          <w:p w14:paraId="6A3B03ED" w14:textId="77777777" w:rsidR="00DA22E7" w:rsidRPr="007128C9" w:rsidRDefault="00EA41F1" w:rsidP="00587C0B">
            <w:pPr>
              <w:ind w:firstLine="171"/>
              <w:jc w:val="both"/>
              <w:rPr>
                <w:szCs w:val="24"/>
              </w:rPr>
            </w:pPr>
            <w:r w:rsidRPr="007128C9">
              <w:rPr>
                <w:szCs w:val="24"/>
              </w:rPr>
              <w:t>2.</w:t>
            </w:r>
            <w:r w:rsidR="00971C41" w:rsidRPr="007128C9">
              <w:rPr>
                <w:szCs w:val="24"/>
              </w:rPr>
              <w:t>1.1. f</w:t>
            </w:r>
            <w:r w:rsidR="00DA22E7" w:rsidRPr="007128C9">
              <w:rPr>
                <w:szCs w:val="24"/>
              </w:rPr>
              <w:t>ragmentiškas analitinių išteklių naudojimas</w:t>
            </w:r>
            <w:r w:rsidR="006255B7" w:rsidRPr="007128C9">
              <w:rPr>
                <w:szCs w:val="24"/>
              </w:rPr>
              <w:t>;</w:t>
            </w:r>
            <w:r w:rsidR="00DA22E7" w:rsidRPr="007128C9">
              <w:rPr>
                <w:szCs w:val="24"/>
              </w:rPr>
              <w:t xml:space="preserve"> </w:t>
            </w:r>
          </w:p>
          <w:p w14:paraId="751294C7" w14:textId="77777777" w:rsidR="00DA22E7" w:rsidRPr="007128C9" w:rsidRDefault="00EA41F1" w:rsidP="00587C0B">
            <w:pPr>
              <w:ind w:firstLine="171"/>
              <w:jc w:val="both"/>
              <w:rPr>
                <w:bCs/>
                <w:szCs w:val="24"/>
              </w:rPr>
            </w:pPr>
            <w:r w:rsidRPr="007128C9">
              <w:rPr>
                <w:bCs/>
                <w:szCs w:val="24"/>
              </w:rPr>
              <w:t>2.</w:t>
            </w:r>
            <w:r w:rsidR="00DA22E7" w:rsidRPr="007128C9">
              <w:rPr>
                <w:bCs/>
                <w:szCs w:val="24"/>
              </w:rPr>
              <w:t>1</w:t>
            </w:r>
            <w:r w:rsidR="00971C41" w:rsidRPr="007128C9">
              <w:rPr>
                <w:bCs/>
                <w:szCs w:val="24"/>
              </w:rPr>
              <w:t>.2. i</w:t>
            </w:r>
            <w:r w:rsidR="00F150B7" w:rsidRPr="007128C9">
              <w:rPr>
                <w:bCs/>
                <w:szCs w:val="24"/>
              </w:rPr>
              <w:t xml:space="preserve">š dalies </w:t>
            </w:r>
            <w:proofErr w:type="spellStart"/>
            <w:r w:rsidR="00971C41" w:rsidRPr="007128C9">
              <w:rPr>
                <w:bCs/>
                <w:szCs w:val="24"/>
              </w:rPr>
              <w:t>su</w:t>
            </w:r>
            <w:r w:rsidR="00DA22E7" w:rsidRPr="007128C9">
              <w:rPr>
                <w:bCs/>
                <w:szCs w:val="24"/>
              </w:rPr>
              <w:t>skaitmeni</w:t>
            </w:r>
            <w:r w:rsidR="00971C41" w:rsidRPr="007128C9">
              <w:rPr>
                <w:bCs/>
                <w:szCs w:val="24"/>
              </w:rPr>
              <w:t>n</w:t>
            </w:r>
            <w:r w:rsidR="00DA22E7" w:rsidRPr="007128C9">
              <w:rPr>
                <w:bCs/>
                <w:szCs w:val="24"/>
              </w:rPr>
              <w:t>ti</w:t>
            </w:r>
            <w:proofErr w:type="spellEnd"/>
            <w:r w:rsidR="00DA22E7" w:rsidRPr="007128C9">
              <w:rPr>
                <w:bCs/>
                <w:szCs w:val="24"/>
              </w:rPr>
              <w:t xml:space="preserve"> duomenys</w:t>
            </w:r>
            <w:r w:rsidR="006255B7" w:rsidRPr="007128C9">
              <w:rPr>
                <w:bCs/>
                <w:szCs w:val="24"/>
              </w:rPr>
              <w:t>;</w:t>
            </w:r>
          </w:p>
          <w:p w14:paraId="64E295E5" w14:textId="3803F6CE" w:rsidR="00DA22E7" w:rsidRPr="007128C9" w:rsidRDefault="00EA41F1" w:rsidP="00587C0B">
            <w:pPr>
              <w:ind w:firstLine="171"/>
              <w:jc w:val="both"/>
              <w:rPr>
                <w:bCs/>
                <w:szCs w:val="24"/>
              </w:rPr>
            </w:pPr>
            <w:r w:rsidRPr="007128C9">
              <w:rPr>
                <w:bCs/>
                <w:szCs w:val="24"/>
              </w:rPr>
              <w:t>2.</w:t>
            </w:r>
            <w:r w:rsidR="00DA22E7" w:rsidRPr="007128C9">
              <w:rPr>
                <w:bCs/>
                <w:szCs w:val="24"/>
              </w:rPr>
              <w:t>1.3.</w:t>
            </w:r>
            <w:r w:rsidR="009A02F5" w:rsidRPr="007128C9">
              <w:rPr>
                <w:bCs/>
                <w:szCs w:val="24"/>
              </w:rPr>
              <w:t xml:space="preserve"> </w:t>
            </w:r>
            <w:proofErr w:type="spellStart"/>
            <w:r w:rsidR="009A02F5" w:rsidRPr="007128C9">
              <w:rPr>
                <w:bCs/>
                <w:szCs w:val="24"/>
              </w:rPr>
              <w:t>inovatyvesnių</w:t>
            </w:r>
            <w:proofErr w:type="spellEnd"/>
            <w:r w:rsidR="009A02F5" w:rsidRPr="007128C9">
              <w:rPr>
                <w:bCs/>
                <w:szCs w:val="24"/>
              </w:rPr>
              <w:t xml:space="preserve"> ir technologiškai naujesnių techninių priemon</w:t>
            </w:r>
            <w:r w:rsidR="00EE2EC3" w:rsidRPr="007128C9">
              <w:rPr>
                <w:bCs/>
                <w:szCs w:val="24"/>
              </w:rPr>
              <w:t>i</w:t>
            </w:r>
            <w:r w:rsidR="009A02F5" w:rsidRPr="007128C9">
              <w:rPr>
                <w:bCs/>
                <w:szCs w:val="24"/>
              </w:rPr>
              <w:t>ų, skirtų neteisėt</w:t>
            </w:r>
            <w:r w:rsidR="008707B0">
              <w:rPr>
                <w:bCs/>
                <w:szCs w:val="24"/>
              </w:rPr>
              <w:t>ai</w:t>
            </w:r>
            <w:r w:rsidR="009A02F5" w:rsidRPr="007128C9">
              <w:rPr>
                <w:bCs/>
                <w:szCs w:val="24"/>
              </w:rPr>
              <w:t xml:space="preserve"> tarptautin</w:t>
            </w:r>
            <w:r w:rsidR="008707B0">
              <w:rPr>
                <w:bCs/>
                <w:szCs w:val="24"/>
              </w:rPr>
              <w:t>ei</w:t>
            </w:r>
            <w:r w:rsidR="009A02F5" w:rsidRPr="007128C9">
              <w:rPr>
                <w:bCs/>
                <w:szCs w:val="24"/>
              </w:rPr>
              <w:t xml:space="preserve"> prekyb</w:t>
            </w:r>
            <w:r w:rsidR="008707B0">
              <w:rPr>
                <w:bCs/>
                <w:szCs w:val="24"/>
              </w:rPr>
              <w:t>ai užkardyti</w:t>
            </w:r>
            <w:r w:rsidR="009A02F5" w:rsidRPr="007128C9">
              <w:rPr>
                <w:bCs/>
                <w:szCs w:val="24"/>
              </w:rPr>
              <w:t>, trūkumas</w:t>
            </w:r>
            <w:r w:rsidR="006255B7" w:rsidRPr="007128C9">
              <w:rPr>
                <w:bCs/>
                <w:szCs w:val="24"/>
              </w:rPr>
              <w:t>;</w:t>
            </w:r>
          </w:p>
          <w:p w14:paraId="639D58EB" w14:textId="65EB960B" w:rsidR="00DA22E7" w:rsidRPr="007128C9" w:rsidRDefault="00EA41F1" w:rsidP="00587C0B">
            <w:pPr>
              <w:ind w:firstLine="171"/>
              <w:jc w:val="both"/>
              <w:rPr>
                <w:bCs/>
                <w:szCs w:val="24"/>
              </w:rPr>
            </w:pPr>
            <w:r w:rsidRPr="007128C9">
              <w:rPr>
                <w:szCs w:val="24"/>
              </w:rPr>
              <w:t>2.</w:t>
            </w:r>
            <w:r w:rsidR="00DA22E7" w:rsidRPr="007128C9">
              <w:rPr>
                <w:szCs w:val="24"/>
              </w:rPr>
              <w:t>1.4</w:t>
            </w:r>
            <w:r w:rsidR="00BA0DF8" w:rsidRPr="007128C9">
              <w:rPr>
                <w:szCs w:val="24"/>
              </w:rPr>
              <w:t xml:space="preserve">. </w:t>
            </w:r>
            <w:r w:rsidR="005A1DEE">
              <w:rPr>
                <w:szCs w:val="24"/>
              </w:rPr>
              <w:t>n</w:t>
            </w:r>
            <w:r w:rsidR="005A1DEE" w:rsidRPr="00954F11">
              <w:rPr>
                <w:szCs w:val="24"/>
              </w:rPr>
              <w:t>eužtikrintas pakankamų, savalaikių, lengvai prieinamų duomenų atvėrimas visiems nemokumo proceso dalyviams, nepakankama metodinė pagalba įmonėms rengiant restruktūrizavimo planus</w:t>
            </w:r>
            <w:r w:rsidR="006255B7" w:rsidRPr="007128C9">
              <w:rPr>
                <w:bCs/>
                <w:szCs w:val="24"/>
              </w:rPr>
              <w:t>;</w:t>
            </w:r>
          </w:p>
          <w:p w14:paraId="26690A56" w14:textId="046D6746" w:rsidR="00DA22E7" w:rsidRPr="007128C9" w:rsidRDefault="00EA41F1" w:rsidP="00587C0B">
            <w:pPr>
              <w:ind w:firstLine="171"/>
              <w:jc w:val="both"/>
              <w:rPr>
                <w:szCs w:val="24"/>
              </w:rPr>
            </w:pPr>
            <w:r w:rsidRPr="007128C9">
              <w:rPr>
                <w:bCs/>
                <w:szCs w:val="24"/>
              </w:rPr>
              <w:t>2.</w:t>
            </w:r>
            <w:r w:rsidR="00DA22E7" w:rsidRPr="007128C9">
              <w:rPr>
                <w:bCs/>
                <w:szCs w:val="24"/>
              </w:rPr>
              <w:t xml:space="preserve">1.5. </w:t>
            </w:r>
            <w:r w:rsidR="00681606" w:rsidRPr="007128C9">
              <w:rPr>
                <w:bCs/>
                <w:szCs w:val="24"/>
              </w:rPr>
              <w:t>priežiūros funkcijas atliekančios valstybės</w:t>
            </w:r>
            <w:r w:rsidR="00DA22E7" w:rsidRPr="007128C9">
              <w:rPr>
                <w:bCs/>
                <w:szCs w:val="24"/>
              </w:rPr>
              <w:t xml:space="preserve"> </w:t>
            </w:r>
            <w:r w:rsidR="00C773C7">
              <w:rPr>
                <w:bCs/>
                <w:szCs w:val="24"/>
              </w:rPr>
              <w:t>įstaigos</w:t>
            </w:r>
            <w:r w:rsidR="00DA22E7" w:rsidRPr="007128C9">
              <w:rPr>
                <w:bCs/>
                <w:szCs w:val="24"/>
              </w:rPr>
              <w:t xml:space="preserve">, rinkos subjektai neturi </w:t>
            </w:r>
            <w:r w:rsidR="00C773C7">
              <w:rPr>
                <w:bCs/>
                <w:szCs w:val="24"/>
              </w:rPr>
              <w:t>su</w:t>
            </w:r>
            <w:r w:rsidR="00DA22E7" w:rsidRPr="007128C9">
              <w:rPr>
                <w:bCs/>
                <w:szCs w:val="24"/>
              </w:rPr>
              <w:t>sistemin</w:t>
            </w:r>
            <w:r w:rsidR="00C773C7">
              <w:rPr>
                <w:bCs/>
                <w:szCs w:val="24"/>
              </w:rPr>
              <w:t>to</w:t>
            </w:r>
            <w:r w:rsidR="00DA22E7" w:rsidRPr="007128C9">
              <w:rPr>
                <w:bCs/>
                <w:szCs w:val="24"/>
              </w:rPr>
              <w:t>s informacijos apie tikras sandorių vertes</w:t>
            </w:r>
            <w:r w:rsidR="006255B7" w:rsidRPr="007128C9">
              <w:rPr>
                <w:bCs/>
                <w:szCs w:val="24"/>
              </w:rPr>
              <w:t>;</w:t>
            </w:r>
            <w:r w:rsidR="00DA22E7" w:rsidRPr="007128C9">
              <w:rPr>
                <w:szCs w:val="24"/>
              </w:rPr>
              <w:t xml:space="preserve"> </w:t>
            </w:r>
          </w:p>
          <w:p w14:paraId="26BE4C5A" w14:textId="77777777" w:rsidR="00DA22E7" w:rsidRPr="007128C9" w:rsidRDefault="00EA41F1" w:rsidP="00587C0B">
            <w:pPr>
              <w:ind w:firstLine="171"/>
              <w:jc w:val="both"/>
              <w:rPr>
                <w:bCs/>
                <w:szCs w:val="24"/>
              </w:rPr>
            </w:pPr>
            <w:r w:rsidRPr="007128C9">
              <w:rPr>
                <w:bCs/>
                <w:szCs w:val="24"/>
              </w:rPr>
              <w:t>2.</w:t>
            </w:r>
            <w:r w:rsidR="00DA22E7" w:rsidRPr="007128C9">
              <w:rPr>
                <w:bCs/>
                <w:szCs w:val="24"/>
              </w:rPr>
              <w:t xml:space="preserve">1.6. </w:t>
            </w:r>
            <w:r w:rsidR="00971C41" w:rsidRPr="007128C9">
              <w:rPr>
                <w:bCs/>
                <w:szCs w:val="24"/>
              </w:rPr>
              <w:t>n</w:t>
            </w:r>
            <w:r w:rsidR="00DA22E7" w:rsidRPr="007128C9">
              <w:rPr>
                <w:bCs/>
                <w:szCs w:val="24"/>
              </w:rPr>
              <w:t xml:space="preserve">epakankama turto ir verslo vertintojų kompetencija taikant visuotinai pripažintus vertinimo standartus </w:t>
            </w:r>
            <w:r w:rsidR="00717624" w:rsidRPr="007128C9">
              <w:rPr>
                <w:bCs/>
                <w:szCs w:val="24"/>
              </w:rPr>
              <w:t>lemia</w:t>
            </w:r>
            <w:r w:rsidR="00DA22E7" w:rsidRPr="007128C9">
              <w:rPr>
                <w:bCs/>
                <w:szCs w:val="24"/>
              </w:rPr>
              <w:t xml:space="preserve"> nepakankamos kokybės vertinimus, nesudarančius sąlygų patikimam tiek verslo, tiek valstybės sandorių ar mokestinių verčių nustatym</w:t>
            </w:r>
            <w:r w:rsidR="006255B7" w:rsidRPr="007128C9">
              <w:rPr>
                <w:bCs/>
                <w:szCs w:val="24"/>
              </w:rPr>
              <w:t>ui;</w:t>
            </w:r>
          </w:p>
          <w:p w14:paraId="6D83DAA1" w14:textId="41689BB7" w:rsidR="00EF6904" w:rsidRPr="007128C9" w:rsidRDefault="00EA41F1" w:rsidP="00587C0B">
            <w:pPr>
              <w:ind w:firstLine="171"/>
              <w:jc w:val="both"/>
              <w:rPr>
                <w:szCs w:val="24"/>
              </w:rPr>
            </w:pPr>
            <w:r w:rsidRPr="007128C9">
              <w:rPr>
                <w:szCs w:val="24"/>
              </w:rPr>
              <w:t>2.</w:t>
            </w:r>
            <w:r w:rsidR="00DA22E7" w:rsidRPr="007128C9">
              <w:rPr>
                <w:szCs w:val="24"/>
              </w:rPr>
              <w:t xml:space="preserve">1.7. </w:t>
            </w:r>
            <w:r w:rsidR="00971C41" w:rsidRPr="007128C9">
              <w:rPr>
                <w:szCs w:val="24"/>
              </w:rPr>
              <w:t>f</w:t>
            </w:r>
            <w:r w:rsidR="00DA22E7" w:rsidRPr="007128C9">
              <w:rPr>
                <w:bCs/>
                <w:szCs w:val="24"/>
              </w:rPr>
              <w:t xml:space="preserve">inansinės apskaitos teisinis reglamentavimas </w:t>
            </w:r>
            <w:r w:rsidR="00AF3168">
              <w:rPr>
                <w:bCs/>
                <w:szCs w:val="24"/>
              </w:rPr>
              <w:t>ne</w:t>
            </w:r>
            <w:r w:rsidR="00681606" w:rsidRPr="007128C9">
              <w:rPr>
                <w:bCs/>
                <w:szCs w:val="24"/>
              </w:rPr>
              <w:t>už</w:t>
            </w:r>
            <w:r w:rsidR="00DA22E7" w:rsidRPr="007128C9">
              <w:rPr>
                <w:bCs/>
                <w:szCs w:val="24"/>
              </w:rPr>
              <w:t>tikrin</w:t>
            </w:r>
            <w:r w:rsidR="00692979" w:rsidRPr="007128C9">
              <w:rPr>
                <w:bCs/>
                <w:szCs w:val="24"/>
              </w:rPr>
              <w:t>a</w:t>
            </w:r>
            <w:r w:rsidR="00692979" w:rsidRPr="007128C9">
              <w:rPr>
                <w:bCs/>
                <w:color w:val="FF0000"/>
                <w:szCs w:val="24"/>
              </w:rPr>
              <w:t xml:space="preserve"> </w:t>
            </w:r>
            <w:r w:rsidR="00692979" w:rsidRPr="007128C9">
              <w:rPr>
                <w:bCs/>
                <w:szCs w:val="24"/>
              </w:rPr>
              <w:t xml:space="preserve">ūkinių operacijų </w:t>
            </w:r>
            <w:r w:rsidR="00681606" w:rsidRPr="007128C9">
              <w:rPr>
                <w:bCs/>
                <w:szCs w:val="24"/>
              </w:rPr>
              <w:t>informacijos atsekamum</w:t>
            </w:r>
            <w:r w:rsidR="00AF3168">
              <w:rPr>
                <w:bCs/>
                <w:szCs w:val="24"/>
              </w:rPr>
              <w:t xml:space="preserve">o </w:t>
            </w:r>
            <w:r w:rsidR="00717624" w:rsidRPr="007128C9">
              <w:rPr>
                <w:bCs/>
                <w:szCs w:val="24"/>
              </w:rPr>
              <w:t xml:space="preserve">nuo </w:t>
            </w:r>
            <w:r w:rsidR="00EF6904" w:rsidRPr="007128C9">
              <w:rPr>
                <w:bCs/>
                <w:szCs w:val="24"/>
              </w:rPr>
              <w:t>jos registravim</w:t>
            </w:r>
            <w:r w:rsidR="00717624" w:rsidRPr="007128C9">
              <w:rPr>
                <w:bCs/>
                <w:szCs w:val="24"/>
              </w:rPr>
              <w:t>o</w:t>
            </w:r>
            <w:r w:rsidR="00EF6904" w:rsidRPr="007128C9">
              <w:rPr>
                <w:bCs/>
                <w:szCs w:val="24"/>
              </w:rPr>
              <w:t xml:space="preserve"> apskaitos registre iki finansinių ataskaitų sudarymo.</w:t>
            </w:r>
          </w:p>
          <w:p w14:paraId="76674CB1" w14:textId="6871C3C2" w:rsidR="00DA22E7" w:rsidRPr="007128C9" w:rsidRDefault="00DA22E7" w:rsidP="00DA22E7">
            <w:pPr>
              <w:jc w:val="both"/>
              <w:rPr>
                <w:b/>
                <w:szCs w:val="24"/>
              </w:rPr>
            </w:pPr>
            <w:r w:rsidRPr="007128C9">
              <w:rPr>
                <w:b/>
                <w:szCs w:val="24"/>
              </w:rPr>
              <w:t>2.</w:t>
            </w:r>
            <w:r w:rsidR="00EA41F1" w:rsidRPr="007128C9">
              <w:rPr>
                <w:b/>
                <w:szCs w:val="24"/>
              </w:rPr>
              <w:t xml:space="preserve">2. </w:t>
            </w:r>
            <w:r w:rsidRPr="007128C9">
              <w:rPr>
                <w:b/>
                <w:bCs/>
                <w:szCs w:val="24"/>
              </w:rPr>
              <w:t>Nėra išnaudojamos visos galimybės skatinti savanorišką mokesčių mokėjimą, grindžiamą bendradarbiavimu, teigiamais ir darniais mokesčių mokėtojų</w:t>
            </w:r>
            <w:r w:rsidR="007A6343" w:rsidRPr="007128C9">
              <w:rPr>
                <w:b/>
                <w:bCs/>
                <w:szCs w:val="24"/>
              </w:rPr>
              <w:t xml:space="preserve"> ir mokesčių administratoriaus</w:t>
            </w:r>
            <w:r w:rsidR="008707B0">
              <w:rPr>
                <w:b/>
                <w:bCs/>
                <w:szCs w:val="24"/>
              </w:rPr>
              <w:t xml:space="preserve"> santykiais</w:t>
            </w:r>
            <w:r w:rsidR="007A6343" w:rsidRPr="007128C9">
              <w:rPr>
                <w:b/>
                <w:bCs/>
                <w:szCs w:val="24"/>
              </w:rPr>
              <w:t>:</w:t>
            </w:r>
          </w:p>
          <w:p w14:paraId="73F62C64" w14:textId="6097BA17" w:rsidR="00DA22E7" w:rsidRPr="007128C9" w:rsidRDefault="00EA41F1" w:rsidP="00587C0B">
            <w:pPr>
              <w:ind w:firstLine="171"/>
              <w:jc w:val="both"/>
              <w:rPr>
                <w:bCs/>
                <w:szCs w:val="24"/>
              </w:rPr>
            </w:pPr>
            <w:r w:rsidRPr="007128C9">
              <w:rPr>
                <w:bCs/>
                <w:szCs w:val="24"/>
              </w:rPr>
              <w:t>2.</w:t>
            </w:r>
            <w:r w:rsidR="006255B7" w:rsidRPr="007128C9">
              <w:rPr>
                <w:bCs/>
                <w:szCs w:val="24"/>
              </w:rPr>
              <w:t xml:space="preserve">2.1. </w:t>
            </w:r>
            <w:r w:rsidR="008F7681" w:rsidRPr="007128C9">
              <w:rPr>
                <w:bCs/>
                <w:szCs w:val="24"/>
              </w:rPr>
              <w:t>m</w:t>
            </w:r>
            <w:r w:rsidR="00DA22E7" w:rsidRPr="007128C9">
              <w:rPr>
                <w:bCs/>
                <w:szCs w:val="24"/>
              </w:rPr>
              <w:t>okestinės procedūros nėra patogios vartotojams</w:t>
            </w:r>
            <w:r w:rsidR="006255B7" w:rsidRPr="007128C9">
              <w:rPr>
                <w:bCs/>
                <w:szCs w:val="24"/>
              </w:rPr>
              <w:t>;</w:t>
            </w:r>
          </w:p>
          <w:p w14:paraId="4611EF8A" w14:textId="77777777" w:rsidR="00DA22E7" w:rsidRPr="007128C9" w:rsidRDefault="00EA41F1" w:rsidP="00587C0B">
            <w:pPr>
              <w:ind w:firstLine="171"/>
              <w:jc w:val="both"/>
              <w:rPr>
                <w:b/>
                <w:bCs/>
                <w:szCs w:val="24"/>
              </w:rPr>
            </w:pPr>
            <w:r w:rsidRPr="007128C9">
              <w:rPr>
                <w:bCs/>
                <w:szCs w:val="24"/>
              </w:rPr>
              <w:t>2.</w:t>
            </w:r>
            <w:r w:rsidR="008F7681" w:rsidRPr="007128C9">
              <w:rPr>
                <w:bCs/>
                <w:szCs w:val="24"/>
              </w:rPr>
              <w:t>2.2. n</w:t>
            </w:r>
            <w:r w:rsidR="00DA22E7" w:rsidRPr="007128C9">
              <w:rPr>
                <w:bCs/>
                <w:szCs w:val="24"/>
              </w:rPr>
              <w:t>epakankamas mokesčių mokėtojų sąmoningumo ugdymas</w:t>
            </w:r>
            <w:r w:rsidR="006255B7" w:rsidRPr="007128C9">
              <w:rPr>
                <w:bCs/>
                <w:szCs w:val="24"/>
              </w:rPr>
              <w:t>.</w:t>
            </w:r>
          </w:p>
          <w:p w14:paraId="391F5AAC" w14:textId="77777777" w:rsidR="00DA22E7" w:rsidRPr="007128C9" w:rsidRDefault="00DA22E7" w:rsidP="00DA22E7">
            <w:pPr>
              <w:jc w:val="both"/>
              <w:rPr>
                <w:i/>
                <w:szCs w:val="24"/>
              </w:rPr>
            </w:pPr>
          </w:p>
          <w:p w14:paraId="02E654A6" w14:textId="77777777" w:rsidR="002020E7" w:rsidRPr="007128C9" w:rsidRDefault="002020E7" w:rsidP="002020E7">
            <w:pPr>
              <w:widowControl w:val="0"/>
              <w:jc w:val="both"/>
              <w:rPr>
                <w:b/>
                <w:szCs w:val="24"/>
              </w:rPr>
            </w:pPr>
            <w:r w:rsidRPr="007128C9">
              <w:rPr>
                <w:b/>
                <w:szCs w:val="24"/>
              </w:rPr>
              <w:t>Pažangos priemonė, kuria sprendžiama problema:</w:t>
            </w:r>
          </w:p>
          <w:p w14:paraId="594A27D0" w14:textId="77777777" w:rsidR="0007489D" w:rsidRPr="007128C9" w:rsidRDefault="002020E7" w:rsidP="00587C0B">
            <w:pPr>
              <w:ind w:firstLine="171"/>
              <w:jc w:val="both"/>
              <w:rPr>
                <w:i/>
                <w:iCs/>
                <w:szCs w:val="24"/>
              </w:rPr>
            </w:pPr>
            <w:r w:rsidRPr="007128C9">
              <w:rPr>
                <w:b/>
                <w:szCs w:val="24"/>
              </w:rPr>
              <w:t>04-001-08-05-02</w:t>
            </w:r>
            <w:r w:rsidRPr="007128C9">
              <w:rPr>
                <w:szCs w:val="24"/>
              </w:rPr>
              <w:t xml:space="preserve"> Didinti (gerinti) mokestinių prievolių vykdymą </w:t>
            </w:r>
            <w:r w:rsidRPr="007128C9">
              <w:rPr>
                <w:i/>
                <w:iCs/>
                <w:szCs w:val="24"/>
              </w:rPr>
              <w:t>(šalinamos 2.1 ir 2.2 priežastys).</w:t>
            </w:r>
          </w:p>
          <w:p w14:paraId="0CE649A8" w14:textId="77777777" w:rsidR="00055C55" w:rsidRPr="002020E7" w:rsidRDefault="00055C55" w:rsidP="00587C0B">
            <w:pPr>
              <w:ind w:firstLine="171"/>
              <w:jc w:val="both"/>
              <w:rPr>
                <w:i/>
                <w:szCs w:val="24"/>
              </w:rPr>
            </w:pPr>
          </w:p>
        </w:tc>
      </w:tr>
      <w:tr w:rsidR="00DA22E7" w:rsidRPr="001C77C5" w14:paraId="3B483674" w14:textId="77777777" w:rsidTr="0053524A">
        <w:tc>
          <w:tcPr>
            <w:tcW w:w="1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7632" w14:textId="6F6FE9D3" w:rsidR="00DA22E7" w:rsidRPr="001C77C5" w:rsidRDefault="007D3A15" w:rsidP="008707B0">
            <w:pPr>
              <w:jc w:val="both"/>
              <w:rPr>
                <w:rFonts w:eastAsia="Calibri"/>
                <w:b/>
                <w:szCs w:val="24"/>
              </w:rPr>
            </w:pPr>
            <w:r w:rsidRPr="00F004D3">
              <w:rPr>
                <w:b/>
                <w:szCs w:val="24"/>
              </w:rPr>
              <w:t>3 problema –</w:t>
            </w:r>
            <w:r>
              <w:rPr>
                <w:b/>
                <w:szCs w:val="24"/>
              </w:rPr>
              <w:t xml:space="preserve"> </w:t>
            </w:r>
            <w:r w:rsidR="008707B0">
              <w:rPr>
                <w:b/>
                <w:szCs w:val="24"/>
              </w:rPr>
              <w:t>n</w:t>
            </w:r>
            <w:r w:rsidR="00243DF8" w:rsidRPr="00AF0A5E">
              <w:rPr>
                <w:b/>
                <w:color w:val="000000" w:themeColor="text1"/>
                <w:szCs w:val="24"/>
              </w:rPr>
              <w:t>epakankamas</w:t>
            </w:r>
            <w:r w:rsidR="00243DF8" w:rsidRPr="00243DF8">
              <w:rPr>
                <w:b/>
                <w:color w:val="FF0000"/>
                <w:szCs w:val="24"/>
              </w:rPr>
              <w:t xml:space="preserve"> </w:t>
            </w:r>
            <w:r w:rsidRPr="002C3A7F">
              <w:rPr>
                <w:b/>
                <w:szCs w:val="24"/>
              </w:rPr>
              <w:t xml:space="preserve">mokesčių sistemos </w:t>
            </w:r>
            <w:r w:rsidRPr="0003653F">
              <w:rPr>
                <w:b/>
                <w:szCs w:val="24"/>
              </w:rPr>
              <w:t>suderinamum</w:t>
            </w:r>
            <w:r w:rsidR="0003653F">
              <w:rPr>
                <w:b/>
                <w:szCs w:val="24"/>
              </w:rPr>
              <w:t>as</w:t>
            </w:r>
            <w:r w:rsidRPr="0003653F">
              <w:rPr>
                <w:b/>
                <w:szCs w:val="24"/>
              </w:rPr>
              <w:t xml:space="preserve"> </w:t>
            </w:r>
            <w:r w:rsidRPr="002C3A7F">
              <w:rPr>
                <w:b/>
                <w:szCs w:val="24"/>
              </w:rPr>
              <w:t xml:space="preserve">su viešųjų išlaidų </w:t>
            </w:r>
            <w:r w:rsidRPr="00555FB3">
              <w:rPr>
                <w:b/>
                <w:szCs w:val="24"/>
              </w:rPr>
              <w:t>poreikiu</w:t>
            </w:r>
          </w:p>
        </w:tc>
      </w:tr>
      <w:tr w:rsidR="00DA22E7" w:rsidRPr="001C77C5" w14:paraId="7C993B68" w14:textId="77777777" w:rsidTr="0053524A">
        <w:tc>
          <w:tcPr>
            <w:tcW w:w="1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5DD542" w14:textId="49B0B5EA" w:rsidR="007D3A15" w:rsidRPr="007128C9" w:rsidRDefault="007D3A15" w:rsidP="007D3A15">
            <w:pPr>
              <w:jc w:val="both"/>
              <w:rPr>
                <w:b/>
                <w:szCs w:val="24"/>
              </w:rPr>
            </w:pPr>
            <w:r w:rsidRPr="007128C9">
              <w:rPr>
                <w:b/>
                <w:szCs w:val="24"/>
              </w:rPr>
              <w:t>Spręstinos problemos priežastys</w:t>
            </w:r>
            <w:r w:rsidR="00811BDA" w:rsidRPr="007128C9">
              <w:rPr>
                <w:b/>
                <w:szCs w:val="24"/>
              </w:rPr>
              <w:t xml:space="preserve"> </w:t>
            </w:r>
            <w:r w:rsidR="00976FCD" w:rsidRPr="007128C9">
              <w:rPr>
                <w:rFonts w:eastAsia="Calibri"/>
                <w:szCs w:val="24"/>
              </w:rPr>
              <w:t>(</w:t>
            </w:r>
            <w:r w:rsidR="00976FCD" w:rsidRPr="007128C9">
              <w:rPr>
                <w:i/>
                <w:szCs w:val="24"/>
              </w:rPr>
              <w:t>prioriteto tvarka</w:t>
            </w:r>
            <w:r w:rsidR="00976FCD" w:rsidRPr="007128C9">
              <w:rPr>
                <w:szCs w:val="24"/>
              </w:rPr>
              <w:t>)</w:t>
            </w:r>
            <w:r w:rsidR="00976FCD" w:rsidRPr="007128C9">
              <w:rPr>
                <w:b/>
                <w:szCs w:val="24"/>
              </w:rPr>
              <w:t>:</w:t>
            </w:r>
          </w:p>
          <w:p w14:paraId="16CB2C01" w14:textId="77777777" w:rsidR="007D3A15" w:rsidRPr="007128C9" w:rsidRDefault="00EA41F1" w:rsidP="00582895">
            <w:pPr>
              <w:jc w:val="both"/>
              <w:rPr>
                <w:b/>
                <w:szCs w:val="24"/>
              </w:rPr>
            </w:pPr>
            <w:r w:rsidRPr="007128C9">
              <w:rPr>
                <w:b/>
                <w:szCs w:val="24"/>
              </w:rPr>
              <w:t>3.</w:t>
            </w:r>
            <w:r w:rsidR="007D3A15" w:rsidRPr="007128C9">
              <w:rPr>
                <w:b/>
                <w:szCs w:val="24"/>
              </w:rPr>
              <w:t xml:space="preserve">1. </w:t>
            </w:r>
            <w:r w:rsidR="007D3A15" w:rsidRPr="007128C9">
              <w:rPr>
                <w:b/>
                <w:bCs/>
                <w:szCs w:val="24"/>
              </w:rPr>
              <w:t xml:space="preserve">Mokesčių struktūroje nepakankamai išnaudotas </w:t>
            </w:r>
            <w:r w:rsidR="007D3A15" w:rsidRPr="007128C9">
              <w:rPr>
                <w:b/>
                <w:szCs w:val="24"/>
                <w:lang w:eastAsia="lt-LT"/>
              </w:rPr>
              <w:t xml:space="preserve">šaltinių, laikomų nestabdančiais ekonomikos augimo, apmokestinimo potencialas: </w:t>
            </w:r>
          </w:p>
          <w:p w14:paraId="0B63F2D7" w14:textId="77777777" w:rsidR="007D3A15" w:rsidRPr="007128C9" w:rsidRDefault="00EA41F1" w:rsidP="00582895">
            <w:pPr>
              <w:ind w:firstLine="171"/>
              <w:jc w:val="both"/>
              <w:rPr>
                <w:szCs w:val="24"/>
              </w:rPr>
            </w:pPr>
            <w:r w:rsidRPr="007128C9">
              <w:rPr>
                <w:color w:val="000000"/>
                <w:szCs w:val="24"/>
              </w:rPr>
              <w:t>3.</w:t>
            </w:r>
            <w:r w:rsidR="007D3A15" w:rsidRPr="007128C9">
              <w:rPr>
                <w:color w:val="000000"/>
                <w:szCs w:val="24"/>
              </w:rPr>
              <w:t xml:space="preserve">1.1. </w:t>
            </w:r>
            <w:r w:rsidR="00717624" w:rsidRPr="007128C9">
              <w:rPr>
                <w:color w:val="000000"/>
                <w:szCs w:val="24"/>
              </w:rPr>
              <w:t>n</w:t>
            </w:r>
            <w:r w:rsidR="007D3A15" w:rsidRPr="007128C9">
              <w:rPr>
                <w:color w:val="000000"/>
                <w:szCs w:val="24"/>
              </w:rPr>
              <w:t>etiesioginiai</w:t>
            </w:r>
            <w:r w:rsidR="00717624" w:rsidRPr="007128C9">
              <w:rPr>
                <w:color w:val="000000"/>
                <w:szCs w:val="24"/>
              </w:rPr>
              <w:t>s</w:t>
            </w:r>
            <w:r w:rsidR="007D3A15" w:rsidRPr="007128C9">
              <w:rPr>
                <w:color w:val="000000"/>
                <w:szCs w:val="24"/>
              </w:rPr>
              <w:t xml:space="preserve"> mokesčiai</w:t>
            </w:r>
            <w:r w:rsidR="00717624" w:rsidRPr="007128C9">
              <w:rPr>
                <w:color w:val="000000"/>
                <w:szCs w:val="24"/>
              </w:rPr>
              <w:t>s</w:t>
            </w:r>
            <w:r w:rsidR="007D3A15" w:rsidRPr="007128C9">
              <w:rPr>
                <w:color w:val="000000"/>
                <w:szCs w:val="24"/>
              </w:rPr>
              <w:t xml:space="preserve"> nepakankamai prisid</w:t>
            </w:r>
            <w:r w:rsidR="007D3A15" w:rsidRPr="007128C9">
              <w:rPr>
                <w:szCs w:val="24"/>
              </w:rPr>
              <w:t>eda</w:t>
            </w:r>
            <w:r w:rsidR="00717624" w:rsidRPr="007128C9">
              <w:rPr>
                <w:szCs w:val="24"/>
              </w:rPr>
              <w:t>ma</w:t>
            </w:r>
            <w:r w:rsidR="007D3A15" w:rsidRPr="007128C9">
              <w:rPr>
                <w:szCs w:val="24"/>
              </w:rPr>
              <w:t xml:space="preserve"> prie </w:t>
            </w:r>
            <w:r w:rsidR="007D3A15" w:rsidRPr="007128C9">
              <w:rPr>
                <w:color w:val="000000"/>
                <w:szCs w:val="24"/>
              </w:rPr>
              <w:t>aplinkos apsaugai ir klimato kaitai keliamų uždavinių sprendimo;</w:t>
            </w:r>
          </w:p>
          <w:p w14:paraId="1467D8BB" w14:textId="77777777" w:rsidR="007D3A15" w:rsidRPr="007128C9" w:rsidRDefault="00EA41F1" w:rsidP="00587C0B">
            <w:pPr>
              <w:ind w:firstLine="171"/>
              <w:rPr>
                <w:szCs w:val="24"/>
              </w:rPr>
            </w:pPr>
            <w:r w:rsidRPr="007128C9">
              <w:rPr>
                <w:szCs w:val="24"/>
              </w:rPr>
              <w:t>3.</w:t>
            </w:r>
            <w:r w:rsidR="007D3A15" w:rsidRPr="007128C9">
              <w:rPr>
                <w:szCs w:val="24"/>
              </w:rPr>
              <w:t xml:space="preserve">1.2. </w:t>
            </w:r>
            <w:r w:rsidR="00717624" w:rsidRPr="007128C9">
              <w:rPr>
                <w:szCs w:val="24"/>
              </w:rPr>
              <w:t>n</w:t>
            </w:r>
            <w:r w:rsidR="007D3A15" w:rsidRPr="007128C9">
              <w:rPr>
                <w:szCs w:val="24"/>
              </w:rPr>
              <w:t>epakankam</w:t>
            </w:r>
            <w:r w:rsidR="002020E7" w:rsidRPr="007128C9">
              <w:rPr>
                <w:szCs w:val="24"/>
              </w:rPr>
              <w:t>os</w:t>
            </w:r>
            <w:r w:rsidR="007D3A15" w:rsidRPr="007128C9">
              <w:rPr>
                <w:szCs w:val="24"/>
              </w:rPr>
              <w:t xml:space="preserve"> ne</w:t>
            </w:r>
            <w:r w:rsidR="00A91FE3" w:rsidRPr="007128C9">
              <w:rPr>
                <w:szCs w:val="24"/>
              </w:rPr>
              <w:t xml:space="preserve">kilnojamojo turto apmokestinimo ir </w:t>
            </w:r>
            <w:r w:rsidR="007D3A15" w:rsidRPr="007128C9">
              <w:rPr>
                <w:szCs w:val="24"/>
              </w:rPr>
              <w:t>aplinkosauginių mokesčių bazė</w:t>
            </w:r>
            <w:r w:rsidR="00A91FE3" w:rsidRPr="007128C9">
              <w:rPr>
                <w:szCs w:val="24"/>
              </w:rPr>
              <w:t>s</w:t>
            </w:r>
            <w:r w:rsidR="006255B7" w:rsidRPr="007128C9">
              <w:rPr>
                <w:szCs w:val="24"/>
              </w:rPr>
              <w:t>.</w:t>
            </w:r>
          </w:p>
          <w:p w14:paraId="6EF2415E" w14:textId="0F975047" w:rsidR="007D3A15" w:rsidRPr="007128C9" w:rsidRDefault="00EA41F1" w:rsidP="007D3A15">
            <w:pPr>
              <w:shd w:val="clear" w:color="auto" w:fill="FFFFFF"/>
              <w:spacing w:after="300"/>
              <w:contextualSpacing/>
              <w:jc w:val="both"/>
              <w:rPr>
                <w:b/>
                <w:color w:val="000000"/>
                <w:szCs w:val="24"/>
              </w:rPr>
            </w:pPr>
            <w:r w:rsidRPr="007128C9">
              <w:rPr>
                <w:b/>
                <w:szCs w:val="24"/>
              </w:rPr>
              <w:t>3.</w:t>
            </w:r>
            <w:r w:rsidR="007D3A15" w:rsidRPr="007128C9">
              <w:rPr>
                <w:b/>
                <w:szCs w:val="24"/>
              </w:rPr>
              <w:t>2.</w:t>
            </w:r>
            <w:r w:rsidR="007D3A15" w:rsidRPr="007128C9">
              <w:rPr>
                <w:b/>
                <w:color w:val="000000"/>
                <w:szCs w:val="24"/>
              </w:rPr>
              <w:t xml:space="preserve"> Sudėtingas mokesčių sistemos pritaikomumas prie ekonomikos </w:t>
            </w:r>
            <w:proofErr w:type="spellStart"/>
            <w:r w:rsidR="007D3A15" w:rsidRPr="007128C9">
              <w:rPr>
                <w:b/>
                <w:color w:val="000000"/>
                <w:szCs w:val="24"/>
              </w:rPr>
              <w:t>skaitm</w:t>
            </w:r>
            <w:r w:rsidR="008F7681" w:rsidRPr="007128C9">
              <w:rPr>
                <w:b/>
                <w:color w:val="000000"/>
                <w:szCs w:val="24"/>
              </w:rPr>
              <w:t>en</w:t>
            </w:r>
            <w:r w:rsidR="008707B0">
              <w:rPr>
                <w:b/>
                <w:color w:val="000000"/>
                <w:szCs w:val="24"/>
              </w:rPr>
              <w:t>inimo</w:t>
            </w:r>
            <w:proofErr w:type="spellEnd"/>
            <w:r w:rsidR="008F7681" w:rsidRPr="007128C9">
              <w:rPr>
                <w:b/>
                <w:color w:val="000000"/>
                <w:szCs w:val="24"/>
              </w:rPr>
              <w:t xml:space="preserve"> </w:t>
            </w:r>
            <w:r w:rsidR="007D3A15" w:rsidRPr="007128C9">
              <w:rPr>
                <w:b/>
                <w:color w:val="000000"/>
                <w:szCs w:val="24"/>
              </w:rPr>
              <w:t xml:space="preserve">keliamų iššūkių ir užimtumo rinkos pokyčių ekonomikos </w:t>
            </w:r>
            <w:proofErr w:type="spellStart"/>
            <w:r w:rsidR="007D3A15" w:rsidRPr="007128C9">
              <w:rPr>
                <w:b/>
                <w:color w:val="000000"/>
                <w:szCs w:val="24"/>
              </w:rPr>
              <w:t>skaitmeninimo</w:t>
            </w:r>
            <w:proofErr w:type="spellEnd"/>
            <w:r w:rsidR="007D3A15" w:rsidRPr="007128C9">
              <w:rPr>
                <w:b/>
                <w:color w:val="000000"/>
                <w:szCs w:val="24"/>
              </w:rPr>
              <w:t xml:space="preserve"> (</w:t>
            </w:r>
            <w:r w:rsidR="007D3A15" w:rsidRPr="007128C9">
              <w:rPr>
                <w:b/>
                <w:szCs w:val="24"/>
                <w:lang w:eastAsia="lt-LT"/>
              </w:rPr>
              <w:t xml:space="preserve">dalijimosi ekonomikos) </w:t>
            </w:r>
            <w:r w:rsidR="007D3A15" w:rsidRPr="007128C9">
              <w:rPr>
                <w:b/>
                <w:color w:val="000000"/>
                <w:szCs w:val="24"/>
              </w:rPr>
              <w:t xml:space="preserve">sąlygomis: </w:t>
            </w:r>
          </w:p>
          <w:p w14:paraId="5EC29F45" w14:textId="77777777" w:rsidR="007D3A15" w:rsidRPr="007128C9" w:rsidRDefault="00EA41F1" w:rsidP="00587C0B">
            <w:pPr>
              <w:shd w:val="clear" w:color="auto" w:fill="FFFFFF"/>
              <w:spacing w:after="300"/>
              <w:ind w:firstLine="171"/>
              <w:contextualSpacing/>
              <w:jc w:val="both"/>
              <w:rPr>
                <w:szCs w:val="24"/>
                <w:lang w:eastAsia="lt-LT"/>
              </w:rPr>
            </w:pPr>
            <w:r w:rsidRPr="007128C9">
              <w:rPr>
                <w:color w:val="000000"/>
                <w:szCs w:val="24"/>
              </w:rPr>
              <w:t>3.</w:t>
            </w:r>
            <w:r w:rsidR="007D3A15" w:rsidRPr="007128C9">
              <w:rPr>
                <w:color w:val="000000"/>
                <w:szCs w:val="24"/>
              </w:rPr>
              <w:t xml:space="preserve">2.1. </w:t>
            </w:r>
            <w:r w:rsidR="00717624" w:rsidRPr="007128C9">
              <w:rPr>
                <w:color w:val="000000"/>
                <w:szCs w:val="24"/>
              </w:rPr>
              <w:t>d</w:t>
            </w:r>
            <w:r w:rsidR="007D3A15" w:rsidRPr="007128C9">
              <w:rPr>
                <w:szCs w:val="24"/>
                <w:lang w:eastAsia="lt-LT"/>
              </w:rPr>
              <w:t xml:space="preserve">abartinės pelno apmokestinimo taisyklės nebeužtikrina ekonomikos </w:t>
            </w:r>
            <w:proofErr w:type="spellStart"/>
            <w:r w:rsidR="007D3A15" w:rsidRPr="007128C9">
              <w:rPr>
                <w:szCs w:val="24"/>
                <w:lang w:eastAsia="lt-LT"/>
              </w:rPr>
              <w:t>skaitmeni</w:t>
            </w:r>
            <w:r w:rsidR="00717624" w:rsidRPr="007128C9">
              <w:rPr>
                <w:szCs w:val="24"/>
                <w:lang w:eastAsia="lt-LT"/>
              </w:rPr>
              <w:t>nimo</w:t>
            </w:r>
            <w:proofErr w:type="spellEnd"/>
            <w:r w:rsidR="007D3A15" w:rsidRPr="007128C9">
              <w:rPr>
                <w:szCs w:val="24"/>
                <w:lang w:eastAsia="lt-LT"/>
              </w:rPr>
              <w:t xml:space="preserve"> sąlygomis atsirandančių naujų verslo modelių sąžiningo ir efektyvaus apmokestinimo;</w:t>
            </w:r>
          </w:p>
          <w:p w14:paraId="6B64F819" w14:textId="77777777" w:rsidR="00EE373C" w:rsidRPr="007128C9" w:rsidRDefault="00EA41F1" w:rsidP="00587C0B">
            <w:pPr>
              <w:shd w:val="clear" w:color="auto" w:fill="FFFFFF" w:themeFill="background1"/>
              <w:ind w:firstLine="171"/>
              <w:rPr>
                <w:szCs w:val="24"/>
              </w:rPr>
            </w:pPr>
            <w:r w:rsidRPr="007128C9">
              <w:rPr>
                <w:szCs w:val="24"/>
              </w:rPr>
              <w:t>3.</w:t>
            </w:r>
            <w:r w:rsidR="007D3A15" w:rsidRPr="007128C9">
              <w:rPr>
                <w:szCs w:val="24"/>
              </w:rPr>
              <w:t>2.2.</w:t>
            </w:r>
            <w:r w:rsidR="00717624" w:rsidRPr="007128C9">
              <w:rPr>
                <w:szCs w:val="24"/>
              </w:rPr>
              <w:t xml:space="preserve"> n</w:t>
            </w:r>
            <w:r w:rsidR="00EE373C" w:rsidRPr="007128C9">
              <w:rPr>
                <w:szCs w:val="24"/>
              </w:rPr>
              <w:t>epakankamai</w:t>
            </w:r>
            <w:r w:rsidR="00EE373C" w:rsidRPr="007128C9">
              <w:rPr>
                <w:szCs w:val="24"/>
                <w:lang w:eastAsia="lt-LT"/>
              </w:rPr>
              <w:t xml:space="preserve"> subalansuota pajamų mokesčio našta taikant mokestinius režimus savarankiškai dirbantiems asmenims;</w:t>
            </w:r>
          </w:p>
          <w:p w14:paraId="1B8ED5B7" w14:textId="726F4158" w:rsidR="00EE373C" w:rsidRPr="007128C9" w:rsidRDefault="00EA41F1" w:rsidP="00582895">
            <w:pPr>
              <w:shd w:val="clear" w:color="auto" w:fill="FFFFFF" w:themeFill="background1"/>
              <w:ind w:firstLine="171"/>
              <w:jc w:val="both"/>
              <w:rPr>
                <w:szCs w:val="24"/>
              </w:rPr>
            </w:pPr>
            <w:r w:rsidRPr="007128C9">
              <w:rPr>
                <w:szCs w:val="24"/>
              </w:rPr>
              <w:t>3.</w:t>
            </w:r>
            <w:r w:rsidR="007D3A15" w:rsidRPr="007128C9">
              <w:rPr>
                <w:szCs w:val="24"/>
              </w:rPr>
              <w:t xml:space="preserve">2.3. </w:t>
            </w:r>
            <w:r w:rsidR="00717624" w:rsidRPr="007128C9">
              <w:rPr>
                <w:szCs w:val="24"/>
              </w:rPr>
              <w:t>n</w:t>
            </w:r>
            <w:r w:rsidR="00EE373C" w:rsidRPr="007128C9">
              <w:rPr>
                <w:szCs w:val="24"/>
              </w:rPr>
              <w:t xml:space="preserve">etolygus </w:t>
            </w:r>
            <w:r w:rsidR="0082115C" w:rsidRPr="007128C9">
              <w:rPr>
                <w:szCs w:val="24"/>
              </w:rPr>
              <w:t xml:space="preserve">valstybinio </w:t>
            </w:r>
            <w:r w:rsidR="00EE373C" w:rsidRPr="007128C9">
              <w:rPr>
                <w:szCs w:val="24"/>
              </w:rPr>
              <w:t>socialinio draudimo įmokų savarankiškai dirbantiems asmenims taikymas (</w:t>
            </w:r>
            <w:r w:rsidR="00EE373C" w:rsidRPr="007128C9">
              <w:rPr>
                <w:i/>
                <w:szCs w:val="24"/>
              </w:rPr>
              <w:t>priežast</w:t>
            </w:r>
            <w:r w:rsidR="002020E7" w:rsidRPr="007128C9">
              <w:rPr>
                <w:i/>
                <w:szCs w:val="24"/>
              </w:rPr>
              <w:t>ys</w:t>
            </w:r>
            <w:r w:rsidR="00EE373C" w:rsidRPr="007128C9">
              <w:rPr>
                <w:i/>
                <w:szCs w:val="24"/>
              </w:rPr>
              <w:t xml:space="preserve"> </w:t>
            </w:r>
            <w:r w:rsidR="008707B0">
              <w:rPr>
                <w:i/>
                <w:szCs w:val="24"/>
              </w:rPr>
              <w:t>nurodom</w:t>
            </w:r>
            <w:r w:rsidR="008707B0" w:rsidRPr="007128C9">
              <w:rPr>
                <w:i/>
                <w:szCs w:val="24"/>
              </w:rPr>
              <w:t xml:space="preserve">os </w:t>
            </w:r>
            <w:r w:rsidR="008707B0">
              <w:rPr>
                <w:i/>
                <w:iCs/>
                <w:szCs w:val="24"/>
              </w:rPr>
              <w:t xml:space="preserve">2021–2030 metų plėtros programos valdytojos </w:t>
            </w:r>
            <w:r w:rsidR="008707B0" w:rsidRPr="007128C9">
              <w:rPr>
                <w:i/>
                <w:szCs w:val="24"/>
              </w:rPr>
              <w:t xml:space="preserve">Lietuvos Respublikos socialinės apsaugos ir darbo ministerijos </w:t>
            </w:r>
            <w:r w:rsidR="008707B0">
              <w:rPr>
                <w:i/>
                <w:szCs w:val="24"/>
              </w:rPr>
              <w:t>p</w:t>
            </w:r>
            <w:r w:rsidR="008707B0" w:rsidRPr="007128C9">
              <w:rPr>
                <w:i/>
                <w:szCs w:val="24"/>
              </w:rPr>
              <w:t xml:space="preserve">ajamų nelygybės mažinimo plėtros </w:t>
            </w:r>
            <w:r w:rsidR="008707B0" w:rsidRPr="007128C9">
              <w:rPr>
                <w:i/>
                <w:szCs w:val="24"/>
              </w:rPr>
              <w:lastRenderedPageBreak/>
              <w:t>programoje</w:t>
            </w:r>
            <w:r w:rsidR="008707B0">
              <w:rPr>
                <w:i/>
                <w:szCs w:val="24"/>
              </w:rPr>
              <w:t xml:space="preserve">, patvirtintoje </w:t>
            </w:r>
            <w:r w:rsidR="008707B0" w:rsidRPr="007128C9">
              <w:rPr>
                <w:i/>
                <w:iCs/>
                <w:szCs w:val="24"/>
              </w:rPr>
              <w:t xml:space="preserve">Lietuvos Respublikos Vyriausybės 2021 m. </w:t>
            </w:r>
            <w:r w:rsidR="00C817A7">
              <w:rPr>
                <w:i/>
                <w:iCs/>
                <w:szCs w:val="24"/>
              </w:rPr>
              <w:t>lapkrič</w:t>
            </w:r>
            <w:r w:rsidR="008707B0" w:rsidRPr="007128C9">
              <w:rPr>
                <w:i/>
                <w:iCs/>
                <w:szCs w:val="24"/>
              </w:rPr>
              <w:t>io 10 d. nutarimu Nr. 932</w:t>
            </w:r>
            <w:r w:rsidR="008707B0">
              <w:rPr>
                <w:i/>
                <w:iCs/>
                <w:szCs w:val="24"/>
              </w:rPr>
              <w:t xml:space="preserve"> „</w:t>
            </w:r>
            <w:r w:rsidR="008707B0">
              <w:rPr>
                <w:i/>
                <w:szCs w:val="24"/>
              </w:rPr>
              <w:t xml:space="preserve">Dėl </w:t>
            </w:r>
            <w:r w:rsidR="008707B0" w:rsidRPr="00777214">
              <w:rPr>
                <w:i/>
                <w:szCs w:val="24"/>
              </w:rPr>
              <w:t>2021–2030 metų plėtros programos valdytojos Lietuvos Respublikos socialinės apsaugos ir darbo ministerijos pajamų nelygybės mažinimo plėtros programos patvirtinimo</w:t>
            </w:r>
            <w:r w:rsidR="008707B0">
              <w:rPr>
                <w:i/>
                <w:szCs w:val="24"/>
              </w:rPr>
              <w:t>“</w:t>
            </w:r>
            <w:r w:rsidR="008707B0" w:rsidRPr="007128C9">
              <w:rPr>
                <w:i/>
                <w:iCs/>
                <w:szCs w:val="24"/>
              </w:rPr>
              <w:t xml:space="preserve"> </w:t>
            </w:r>
            <w:r w:rsidR="008707B0" w:rsidRPr="007128C9">
              <w:rPr>
                <w:i/>
                <w:szCs w:val="24"/>
              </w:rPr>
              <w:t>(toliau – SADM plėtros programa</w:t>
            </w:r>
            <w:r w:rsidR="008707B0">
              <w:rPr>
                <w:i/>
                <w:szCs w:val="24"/>
              </w:rPr>
              <w:t>)</w:t>
            </w:r>
            <w:r w:rsidR="008707B0">
              <w:rPr>
                <w:szCs w:val="24"/>
              </w:rPr>
              <w:t>.</w:t>
            </w:r>
          </w:p>
          <w:p w14:paraId="51A9800E" w14:textId="77777777" w:rsidR="007D3A15" w:rsidRPr="007128C9" w:rsidRDefault="007D3A15" w:rsidP="00C94E93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 w:rsidRPr="007128C9">
              <w:rPr>
                <w:b/>
                <w:szCs w:val="24"/>
                <w:lang w:eastAsia="lt-LT"/>
              </w:rPr>
              <w:t>3.</w:t>
            </w:r>
            <w:r w:rsidR="00EA41F1" w:rsidRPr="007128C9">
              <w:rPr>
                <w:b/>
                <w:szCs w:val="24"/>
                <w:lang w:eastAsia="lt-LT"/>
              </w:rPr>
              <w:t>3.</w:t>
            </w:r>
            <w:r w:rsidR="00FE4A29" w:rsidRPr="007128C9">
              <w:rPr>
                <w:b/>
                <w:szCs w:val="24"/>
              </w:rPr>
              <w:t xml:space="preserve"> Neefektyvios ir (</w:t>
            </w:r>
            <w:r w:rsidRPr="007128C9">
              <w:rPr>
                <w:b/>
                <w:szCs w:val="24"/>
              </w:rPr>
              <w:t>ar</w:t>
            </w:r>
            <w:r w:rsidR="00FE4A29" w:rsidRPr="007128C9">
              <w:rPr>
                <w:b/>
                <w:szCs w:val="24"/>
              </w:rPr>
              <w:t>)</w:t>
            </w:r>
            <w:r w:rsidRPr="007128C9">
              <w:rPr>
                <w:b/>
                <w:szCs w:val="24"/>
              </w:rPr>
              <w:t xml:space="preserve"> valstybės prioritetų įgyvendinimo krypčių nebeatitinkančios mokesčių lengvatos:</w:t>
            </w:r>
          </w:p>
          <w:p w14:paraId="6EA28A3A" w14:textId="4C3F4224" w:rsidR="007D3A15" w:rsidRPr="007128C9" w:rsidRDefault="00EA41F1" w:rsidP="00587C0B">
            <w:pPr>
              <w:ind w:firstLine="171"/>
              <w:jc w:val="both"/>
              <w:rPr>
                <w:color w:val="000000" w:themeColor="text1"/>
                <w:szCs w:val="24"/>
              </w:rPr>
            </w:pPr>
            <w:r w:rsidRPr="007128C9">
              <w:rPr>
                <w:szCs w:val="24"/>
              </w:rPr>
              <w:t>3.</w:t>
            </w:r>
            <w:r w:rsidR="007D3A15" w:rsidRPr="007128C9">
              <w:rPr>
                <w:szCs w:val="24"/>
              </w:rPr>
              <w:t xml:space="preserve">3.1. </w:t>
            </w:r>
            <w:r w:rsidR="001C0083" w:rsidRPr="007128C9">
              <w:rPr>
                <w:color w:val="000000" w:themeColor="text1"/>
                <w:szCs w:val="24"/>
              </w:rPr>
              <w:t>d</w:t>
            </w:r>
            <w:r w:rsidR="007D3A15" w:rsidRPr="007128C9">
              <w:rPr>
                <w:color w:val="000000" w:themeColor="text1"/>
                <w:szCs w:val="24"/>
              </w:rPr>
              <w:t>alis mokesčių lengvatų ir specialūs apmokestinimo režimai galimai jau pasiekė jiems keliamus tikslus arba</w:t>
            </w:r>
            <w:r w:rsidR="00FB1297">
              <w:rPr>
                <w:color w:val="000000" w:themeColor="text1"/>
                <w:szCs w:val="24"/>
              </w:rPr>
              <w:t xml:space="preserve"> jiems keliami</w:t>
            </w:r>
            <w:r w:rsidR="007D3A15" w:rsidRPr="007128C9">
              <w:rPr>
                <w:color w:val="000000" w:themeColor="text1"/>
                <w:szCs w:val="24"/>
              </w:rPr>
              <w:t xml:space="preserve"> tikslai efektyviau galėtų būti pasiekti alternatyviomis priemonėmis;</w:t>
            </w:r>
          </w:p>
          <w:p w14:paraId="6C9DB78C" w14:textId="77777777" w:rsidR="007D3A15" w:rsidRPr="007128C9" w:rsidRDefault="00EA41F1" w:rsidP="00587C0B">
            <w:pPr>
              <w:ind w:firstLine="171"/>
              <w:jc w:val="both"/>
              <w:rPr>
                <w:szCs w:val="24"/>
              </w:rPr>
            </w:pPr>
            <w:r w:rsidRPr="007128C9">
              <w:rPr>
                <w:szCs w:val="24"/>
              </w:rPr>
              <w:t>3.</w:t>
            </w:r>
            <w:r w:rsidR="001C0083" w:rsidRPr="007128C9">
              <w:rPr>
                <w:szCs w:val="24"/>
              </w:rPr>
              <w:t>3.2. d</w:t>
            </w:r>
            <w:r w:rsidR="007D3A15" w:rsidRPr="007128C9">
              <w:rPr>
                <w:szCs w:val="24"/>
              </w:rPr>
              <w:t>alis mokesčių lengvatų nebe</w:t>
            </w:r>
            <w:r w:rsidR="00B626AE" w:rsidRPr="007128C9">
              <w:rPr>
                <w:szCs w:val="24"/>
              </w:rPr>
              <w:t>dera su pasikeitusiu požiūriu į ap</w:t>
            </w:r>
            <w:r w:rsidR="00861631" w:rsidRPr="007128C9">
              <w:rPr>
                <w:szCs w:val="24"/>
              </w:rPr>
              <w:t>l</w:t>
            </w:r>
            <w:r w:rsidR="00B626AE" w:rsidRPr="007128C9">
              <w:rPr>
                <w:szCs w:val="24"/>
              </w:rPr>
              <w:t>ink</w:t>
            </w:r>
            <w:r w:rsidR="007D3A15" w:rsidRPr="007128C9">
              <w:rPr>
                <w:szCs w:val="24"/>
              </w:rPr>
              <w:t>osaug</w:t>
            </w:r>
            <w:r w:rsidR="00B626AE" w:rsidRPr="007128C9">
              <w:rPr>
                <w:szCs w:val="24"/>
              </w:rPr>
              <w:t>ą</w:t>
            </w:r>
            <w:r w:rsidR="007D3A15" w:rsidRPr="007128C9">
              <w:rPr>
                <w:szCs w:val="24"/>
              </w:rPr>
              <w:t>;</w:t>
            </w:r>
          </w:p>
          <w:p w14:paraId="79976606" w14:textId="121F763E" w:rsidR="007D3A15" w:rsidRPr="007128C9" w:rsidRDefault="00EA41F1" w:rsidP="00587C0B">
            <w:pPr>
              <w:ind w:firstLine="171"/>
              <w:jc w:val="both"/>
              <w:rPr>
                <w:szCs w:val="24"/>
              </w:rPr>
            </w:pPr>
            <w:r w:rsidRPr="007128C9">
              <w:rPr>
                <w:szCs w:val="24"/>
              </w:rPr>
              <w:t>3.</w:t>
            </w:r>
            <w:r w:rsidR="007D3A15" w:rsidRPr="007128C9">
              <w:rPr>
                <w:szCs w:val="24"/>
              </w:rPr>
              <w:t>3.</w:t>
            </w:r>
            <w:r w:rsidR="00D71F1F" w:rsidRPr="007128C9">
              <w:rPr>
                <w:szCs w:val="24"/>
              </w:rPr>
              <w:t>3</w:t>
            </w:r>
            <w:r w:rsidR="001C0083" w:rsidRPr="007128C9">
              <w:rPr>
                <w:szCs w:val="24"/>
              </w:rPr>
              <w:t xml:space="preserve">. </w:t>
            </w:r>
            <w:r w:rsidR="005F2FBE" w:rsidRPr="007128C9">
              <w:rPr>
                <w:szCs w:val="24"/>
              </w:rPr>
              <w:t>a</w:t>
            </w:r>
            <w:r w:rsidR="005F2FBE" w:rsidRPr="007128C9">
              <w:rPr>
                <w:bCs/>
                <w:szCs w:val="24"/>
              </w:rPr>
              <w:t xml:space="preserve">tsižvelgiant į </w:t>
            </w:r>
            <w:r w:rsidR="00F15E67" w:rsidRPr="007128C9">
              <w:rPr>
                <w:bCs/>
                <w:szCs w:val="24"/>
              </w:rPr>
              <w:t xml:space="preserve">papildomo finansinio apsirūpinimo </w:t>
            </w:r>
            <w:r w:rsidR="00F15E67">
              <w:rPr>
                <w:bCs/>
                <w:szCs w:val="24"/>
              </w:rPr>
              <w:t xml:space="preserve">poreikį, susijusį </w:t>
            </w:r>
            <w:r w:rsidR="00B626AE" w:rsidRPr="007128C9">
              <w:rPr>
                <w:bCs/>
                <w:szCs w:val="24"/>
              </w:rPr>
              <w:t xml:space="preserve">su </w:t>
            </w:r>
            <w:r w:rsidR="005F2FBE" w:rsidRPr="007128C9">
              <w:rPr>
                <w:bCs/>
                <w:szCs w:val="24"/>
              </w:rPr>
              <w:t xml:space="preserve">visuomenės </w:t>
            </w:r>
            <w:r w:rsidR="00B626AE" w:rsidRPr="007128C9">
              <w:rPr>
                <w:bCs/>
                <w:szCs w:val="24"/>
              </w:rPr>
              <w:t>senėjimu</w:t>
            </w:r>
            <w:r w:rsidR="005F2FBE" w:rsidRPr="007128C9">
              <w:rPr>
                <w:bCs/>
                <w:szCs w:val="24"/>
              </w:rPr>
              <w:t xml:space="preserve">, </w:t>
            </w:r>
            <w:r w:rsidR="005E4D3B">
              <w:rPr>
                <w:bCs/>
                <w:szCs w:val="24"/>
              </w:rPr>
              <w:t xml:space="preserve">svarbu </w:t>
            </w:r>
            <w:r w:rsidR="005F2FBE" w:rsidRPr="007128C9">
              <w:rPr>
                <w:bCs/>
                <w:szCs w:val="24"/>
              </w:rPr>
              <w:t xml:space="preserve">įvertinti, ar su investavimo ir ilgalaikio taupymo skatinimu susijusios mokesčių lengvatos orientuotos tik į dalį investicinių priemonių </w:t>
            </w:r>
            <w:r w:rsidR="00AF3168">
              <w:rPr>
                <w:bCs/>
                <w:szCs w:val="24"/>
              </w:rPr>
              <w:t xml:space="preserve">ir </w:t>
            </w:r>
            <w:r w:rsidR="005F2FBE" w:rsidRPr="007128C9">
              <w:rPr>
                <w:bCs/>
                <w:szCs w:val="24"/>
              </w:rPr>
              <w:t>atitinka šiandienos poreikius</w:t>
            </w:r>
            <w:r w:rsidR="007D3A15" w:rsidRPr="007128C9">
              <w:rPr>
                <w:szCs w:val="24"/>
              </w:rPr>
              <w:t>.</w:t>
            </w:r>
          </w:p>
          <w:p w14:paraId="4031F13C" w14:textId="77777777" w:rsidR="007D3A15" w:rsidRPr="007128C9" w:rsidRDefault="007D3A15" w:rsidP="007D3A15">
            <w:pPr>
              <w:jc w:val="both"/>
              <w:rPr>
                <w:szCs w:val="24"/>
              </w:rPr>
            </w:pPr>
          </w:p>
          <w:p w14:paraId="57006AC7" w14:textId="77777777" w:rsidR="002020E7" w:rsidRPr="007128C9" w:rsidRDefault="002020E7" w:rsidP="002020E7">
            <w:pPr>
              <w:widowControl w:val="0"/>
              <w:jc w:val="both"/>
              <w:rPr>
                <w:b/>
                <w:szCs w:val="24"/>
              </w:rPr>
            </w:pPr>
            <w:r w:rsidRPr="007128C9">
              <w:rPr>
                <w:b/>
                <w:szCs w:val="24"/>
              </w:rPr>
              <w:t>Pažangos priemonė, kuria sprendžiama problema:</w:t>
            </w:r>
          </w:p>
          <w:p w14:paraId="460D4848" w14:textId="7E863837" w:rsidR="002020E7" w:rsidRPr="007128C9" w:rsidRDefault="002020E7" w:rsidP="00587C0B">
            <w:pPr>
              <w:ind w:firstLine="171"/>
              <w:jc w:val="both"/>
              <w:rPr>
                <w:b/>
                <w:szCs w:val="24"/>
              </w:rPr>
            </w:pPr>
            <w:r w:rsidRPr="007128C9">
              <w:rPr>
                <w:b/>
                <w:szCs w:val="24"/>
              </w:rPr>
              <w:t>04-001-08-05-03</w:t>
            </w:r>
            <w:r w:rsidRPr="007128C9">
              <w:rPr>
                <w:szCs w:val="24"/>
              </w:rPr>
              <w:t xml:space="preserve"> </w:t>
            </w:r>
            <w:r w:rsidRPr="007128C9">
              <w:rPr>
                <w:iCs/>
                <w:szCs w:val="24"/>
              </w:rPr>
              <w:t>Tobulinti mokesčių sistemą</w:t>
            </w:r>
            <w:r w:rsidR="005B5C9D">
              <w:rPr>
                <w:iCs/>
                <w:szCs w:val="24"/>
              </w:rPr>
              <w:t xml:space="preserve"> pagal</w:t>
            </w:r>
            <w:r w:rsidRPr="007128C9">
              <w:rPr>
                <w:iCs/>
                <w:szCs w:val="24"/>
              </w:rPr>
              <w:t xml:space="preserve"> viešųjų išlaidų poreik</w:t>
            </w:r>
            <w:r w:rsidR="005B5C9D">
              <w:rPr>
                <w:iCs/>
                <w:szCs w:val="24"/>
              </w:rPr>
              <w:t xml:space="preserve">į </w:t>
            </w:r>
            <w:r w:rsidRPr="007128C9">
              <w:rPr>
                <w:i/>
                <w:iCs/>
                <w:szCs w:val="24"/>
              </w:rPr>
              <w:t>(šalinamos 3.1, 3.2</w:t>
            </w:r>
            <w:r w:rsidR="00245C77">
              <w:rPr>
                <w:i/>
                <w:iCs/>
                <w:szCs w:val="24"/>
              </w:rPr>
              <w:t xml:space="preserve"> </w:t>
            </w:r>
            <w:r w:rsidRPr="007128C9">
              <w:rPr>
                <w:i/>
                <w:iCs/>
                <w:szCs w:val="24"/>
              </w:rPr>
              <w:t>ir 3.3 priežastys)</w:t>
            </w:r>
            <w:r w:rsidRPr="007128C9">
              <w:rPr>
                <w:iCs/>
                <w:szCs w:val="24"/>
              </w:rPr>
              <w:t>.</w:t>
            </w:r>
            <w:r w:rsidRPr="007128C9">
              <w:rPr>
                <w:b/>
                <w:szCs w:val="24"/>
              </w:rPr>
              <w:t xml:space="preserve"> </w:t>
            </w:r>
          </w:p>
          <w:p w14:paraId="58318FB0" w14:textId="77777777" w:rsidR="007128C9" w:rsidRPr="007128C9" w:rsidRDefault="007128C9" w:rsidP="00587C0B">
            <w:pPr>
              <w:ind w:firstLine="171"/>
              <w:jc w:val="both"/>
              <w:rPr>
                <w:b/>
                <w:szCs w:val="24"/>
              </w:rPr>
            </w:pPr>
          </w:p>
          <w:p w14:paraId="1610594D" w14:textId="42A66869" w:rsidR="007128C9" w:rsidRPr="007128C9" w:rsidRDefault="007128C9" w:rsidP="007128C9">
            <w:pPr>
              <w:jc w:val="both"/>
              <w:rPr>
                <w:b/>
                <w:szCs w:val="24"/>
              </w:rPr>
            </w:pPr>
            <w:r w:rsidRPr="007128C9">
              <w:rPr>
                <w:b/>
                <w:szCs w:val="24"/>
              </w:rPr>
              <w:t>Priemonės</w:t>
            </w:r>
            <w:r w:rsidR="008707B0">
              <w:rPr>
                <w:b/>
                <w:szCs w:val="24"/>
              </w:rPr>
              <w:t>,</w:t>
            </w:r>
            <w:r w:rsidRPr="007128C9">
              <w:rPr>
                <w:b/>
                <w:szCs w:val="24"/>
              </w:rPr>
              <w:t xml:space="preserve"> numatytos kitose </w:t>
            </w:r>
            <w:r w:rsidR="001B1F9C">
              <w:rPr>
                <w:b/>
                <w:szCs w:val="24"/>
              </w:rPr>
              <w:t xml:space="preserve">plėtros </w:t>
            </w:r>
            <w:r w:rsidRPr="007128C9">
              <w:rPr>
                <w:b/>
                <w:szCs w:val="24"/>
              </w:rPr>
              <w:t>programose:</w:t>
            </w:r>
          </w:p>
          <w:p w14:paraId="5BF7BA3E" w14:textId="1B3FA03C" w:rsidR="007128C9" w:rsidRPr="007128C9" w:rsidRDefault="008D6C9A" w:rsidP="00587C0B">
            <w:pPr>
              <w:ind w:firstLine="171"/>
              <w:jc w:val="both"/>
              <w:rPr>
                <w:rFonts w:eastAsiaTheme="minorHAnsi"/>
                <w:szCs w:val="24"/>
              </w:rPr>
            </w:pPr>
            <w:r w:rsidRPr="007128C9">
              <w:rPr>
                <w:rFonts w:eastAsiaTheme="minorHAnsi"/>
                <w:szCs w:val="24"/>
              </w:rPr>
              <w:t>SADM plėtros program</w:t>
            </w:r>
            <w:r w:rsidR="007128C9" w:rsidRPr="007128C9">
              <w:rPr>
                <w:rFonts w:eastAsiaTheme="minorHAnsi"/>
                <w:szCs w:val="24"/>
              </w:rPr>
              <w:t>oje:</w:t>
            </w:r>
          </w:p>
          <w:p w14:paraId="4821730D" w14:textId="1F68D576" w:rsidR="008400A0" w:rsidRPr="007128C9" w:rsidRDefault="008400A0" w:rsidP="00587C0B">
            <w:pPr>
              <w:ind w:firstLine="171"/>
              <w:jc w:val="both"/>
              <w:rPr>
                <w:b/>
                <w:szCs w:val="24"/>
              </w:rPr>
            </w:pPr>
            <w:r w:rsidRPr="007128C9">
              <w:rPr>
                <w:b/>
                <w:szCs w:val="24"/>
              </w:rPr>
              <w:t>09-002-02-01-10</w:t>
            </w:r>
            <w:r w:rsidRPr="007128C9">
              <w:rPr>
                <w:szCs w:val="24"/>
              </w:rPr>
              <w:t xml:space="preserve"> Mažinti savarankiškai dirbančių asmenų ir likusių dirbančiųjų disponuojamų pajamų atotrūkį (</w:t>
            </w:r>
            <w:r w:rsidR="00D44BB6" w:rsidRPr="007128C9">
              <w:rPr>
                <w:i/>
                <w:szCs w:val="24"/>
              </w:rPr>
              <w:t>prisidedama prie 3.2 priežasties šalinimo</w:t>
            </w:r>
            <w:r w:rsidR="00D44BB6" w:rsidRPr="007128C9">
              <w:rPr>
                <w:szCs w:val="24"/>
              </w:rPr>
              <w:t xml:space="preserve"> (</w:t>
            </w:r>
            <w:r w:rsidRPr="007128C9">
              <w:rPr>
                <w:i/>
                <w:iCs/>
                <w:szCs w:val="24"/>
              </w:rPr>
              <w:t>šalinam</w:t>
            </w:r>
            <w:r w:rsidR="00D44BB6" w:rsidRPr="007128C9">
              <w:rPr>
                <w:i/>
                <w:iCs/>
                <w:szCs w:val="24"/>
              </w:rPr>
              <w:t>a</w:t>
            </w:r>
            <w:r w:rsidRPr="007128C9">
              <w:rPr>
                <w:i/>
                <w:iCs/>
                <w:szCs w:val="24"/>
              </w:rPr>
              <w:t xml:space="preserve"> 3.2.3 priežast</w:t>
            </w:r>
            <w:r w:rsidR="00D44BB6" w:rsidRPr="007128C9">
              <w:rPr>
                <w:i/>
                <w:iCs/>
                <w:szCs w:val="24"/>
              </w:rPr>
              <w:t>i</w:t>
            </w:r>
            <w:r w:rsidRPr="007128C9">
              <w:rPr>
                <w:i/>
                <w:iCs/>
                <w:szCs w:val="24"/>
              </w:rPr>
              <w:t>s</w:t>
            </w:r>
            <w:r w:rsidRPr="007128C9">
              <w:rPr>
                <w:szCs w:val="24"/>
              </w:rPr>
              <w:t>)</w:t>
            </w:r>
            <w:r w:rsidR="0040661B">
              <w:rPr>
                <w:szCs w:val="24"/>
              </w:rPr>
              <w:t>.</w:t>
            </w:r>
          </w:p>
          <w:p w14:paraId="069AD2E4" w14:textId="77777777" w:rsidR="00055C55" w:rsidRPr="002020E7" w:rsidRDefault="00055C55" w:rsidP="00AF2C67">
            <w:pPr>
              <w:ind w:firstLine="171"/>
              <w:jc w:val="both"/>
              <w:rPr>
                <w:sz w:val="22"/>
                <w:szCs w:val="22"/>
              </w:rPr>
            </w:pPr>
          </w:p>
        </w:tc>
      </w:tr>
      <w:tr w:rsidR="00E940B6" w:rsidRPr="001C77C5" w14:paraId="2D2C4250" w14:textId="77777777" w:rsidTr="0053524A">
        <w:tc>
          <w:tcPr>
            <w:tcW w:w="1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890908" w14:textId="730DFDD4" w:rsidR="00E940B6" w:rsidRPr="00C52490" w:rsidRDefault="006837A4" w:rsidP="008707B0">
            <w:pPr>
              <w:rPr>
                <w:szCs w:val="22"/>
              </w:rPr>
            </w:pPr>
            <w:r w:rsidRPr="00C52490">
              <w:rPr>
                <w:b/>
                <w:szCs w:val="24"/>
              </w:rPr>
              <w:lastRenderedPageBreak/>
              <w:t>4</w:t>
            </w:r>
            <w:r w:rsidR="00E940B6" w:rsidRPr="00C52490">
              <w:rPr>
                <w:b/>
                <w:szCs w:val="24"/>
              </w:rPr>
              <w:t xml:space="preserve"> problema – </w:t>
            </w:r>
            <w:r w:rsidR="008707B0">
              <w:rPr>
                <w:b/>
                <w:szCs w:val="24"/>
              </w:rPr>
              <w:t>n</w:t>
            </w:r>
            <w:r w:rsidR="00E940B6" w:rsidRPr="00C52490">
              <w:rPr>
                <w:b/>
                <w:szCs w:val="22"/>
              </w:rPr>
              <w:t>epakankamai išnaudojamas privačių lėšų pritraukimo potencialas</w:t>
            </w:r>
            <w:r w:rsidR="00E940B6" w:rsidRPr="00C52490">
              <w:rPr>
                <w:b/>
                <w:szCs w:val="24"/>
              </w:rPr>
              <w:t xml:space="preserve"> </w:t>
            </w:r>
          </w:p>
        </w:tc>
      </w:tr>
      <w:tr w:rsidR="00E940B6" w:rsidRPr="001C77C5" w14:paraId="457B48FA" w14:textId="77777777" w:rsidTr="0053524A">
        <w:tc>
          <w:tcPr>
            <w:tcW w:w="1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8B8B4" w14:textId="77777777" w:rsidR="006A4F5D" w:rsidRPr="00CB5FF0" w:rsidRDefault="006A4F5D" w:rsidP="006A4F5D">
            <w:pPr>
              <w:jc w:val="both"/>
              <w:rPr>
                <w:b/>
                <w:szCs w:val="24"/>
              </w:rPr>
            </w:pPr>
            <w:r w:rsidRPr="00CB5FF0">
              <w:rPr>
                <w:b/>
                <w:szCs w:val="24"/>
              </w:rPr>
              <w:t>Spręstinos problemos priežastys</w:t>
            </w:r>
            <w:r w:rsidR="00811BDA">
              <w:rPr>
                <w:b/>
                <w:szCs w:val="24"/>
              </w:rPr>
              <w:t xml:space="preserve"> </w:t>
            </w:r>
            <w:r w:rsidR="00976FCD" w:rsidRPr="00976FCD">
              <w:rPr>
                <w:rFonts w:eastAsia="Calibri"/>
                <w:szCs w:val="24"/>
              </w:rPr>
              <w:t>(</w:t>
            </w:r>
            <w:r w:rsidR="00976FCD" w:rsidRPr="002020E7">
              <w:rPr>
                <w:i/>
                <w:szCs w:val="24"/>
              </w:rPr>
              <w:t>prioriteto tvarka</w:t>
            </w:r>
            <w:r w:rsidR="00976FCD" w:rsidRPr="00811BDA">
              <w:rPr>
                <w:szCs w:val="24"/>
              </w:rPr>
              <w:t>)</w:t>
            </w:r>
            <w:r w:rsidR="00976FCD" w:rsidRPr="001C77C5">
              <w:rPr>
                <w:b/>
                <w:szCs w:val="24"/>
              </w:rPr>
              <w:t>:</w:t>
            </w:r>
          </w:p>
          <w:p w14:paraId="01D2895E" w14:textId="3F02C110" w:rsidR="006A4F5D" w:rsidRPr="0040661B" w:rsidRDefault="00EA41F1" w:rsidP="00C7184E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b/>
                <w:bCs/>
                <w:szCs w:val="24"/>
              </w:rPr>
              <w:t>4.</w:t>
            </w:r>
            <w:r w:rsidR="006A4F5D" w:rsidRPr="00976FCD">
              <w:rPr>
                <w:b/>
                <w:bCs/>
                <w:szCs w:val="24"/>
              </w:rPr>
              <w:t>1</w:t>
            </w:r>
            <w:r w:rsidR="006A4F5D" w:rsidRPr="000E06AB">
              <w:rPr>
                <w:b/>
                <w:bCs/>
                <w:szCs w:val="24"/>
              </w:rPr>
              <w:t xml:space="preserve">. </w:t>
            </w:r>
            <w:r w:rsidR="00C21919" w:rsidRPr="000E06AB">
              <w:rPr>
                <w:b/>
                <w:bCs/>
                <w:szCs w:val="24"/>
              </w:rPr>
              <w:t xml:space="preserve">Nėra </w:t>
            </w:r>
            <w:r w:rsidR="00F15E67">
              <w:rPr>
                <w:b/>
                <w:bCs/>
                <w:szCs w:val="24"/>
              </w:rPr>
              <w:t>bendros</w:t>
            </w:r>
            <w:r w:rsidR="00F15E67" w:rsidRPr="000E06AB">
              <w:rPr>
                <w:b/>
                <w:bCs/>
                <w:szCs w:val="24"/>
              </w:rPr>
              <w:t xml:space="preserve"> </w:t>
            </w:r>
            <w:r w:rsidR="004B19F3" w:rsidRPr="000E06AB">
              <w:rPr>
                <w:b/>
                <w:bCs/>
                <w:szCs w:val="24"/>
              </w:rPr>
              <w:t>ir integruoto</w:t>
            </w:r>
            <w:r w:rsidR="00C21919" w:rsidRPr="000E06AB">
              <w:rPr>
                <w:b/>
                <w:bCs/>
                <w:szCs w:val="24"/>
              </w:rPr>
              <w:t>s</w:t>
            </w:r>
            <w:r w:rsidR="004B19F3" w:rsidRPr="000E06AB">
              <w:rPr>
                <w:b/>
                <w:bCs/>
                <w:szCs w:val="24"/>
              </w:rPr>
              <w:t xml:space="preserve"> finansinių priemonių</w:t>
            </w:r>
            <w:r w:rsidR="00C21919" w:rsidRPr="000E06AB">
              <w:rPr>
                <w:b/>
                <w:bCs/>
                <w:szCs w:val="24"/>
              </w:rPr>
              <w:t xml:space="preserve"> valdymo sistemos</w:t>
            </w:r>
            <w:r w:rsidR="006A4F5D" w:rsidRPr="000E06AB">
              <w:rPr>
                <w:b/>
                <w:bCs/>
                <w:szCs w:val="24"/>
                <w:shd w:val="clear" w:color="auto" w:fill="FFFFFF" w:themeFill="background1"/>
              </w:rPr>
              <w:t>.</w:t>
            </w:r>
          </w:p>
          <w:p w14:paraId="04EC8291" w14:textId="77777777" w:rsidR="006A4F5D" w:rsidRPr="00976FCD" w:rsidRDefault="00EA41F1" w:rsidP="00C7184E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b/>
                <w:szCs w:val="24"/>
              </w:rPr>
              <w:t>4.</w:t>
            </w:r>
            <w:r w:rsidR="006A4F5D" w:rsidRPr="00976FCD">
              <w:rPr>
                <w:b/>
                <w:szCs w:val="24"/>
              </w:rPr>
              <w:t>2. Neužtikrinamas tvarus investavimas.</w:t>
            </w:r>
          </w:p>
          <w:p w14:paraId="3C8CB065" w14:textId="7ED01BED" w:rsidR="00AF10FD" w:rsidRPr="00CB5FF0" w:rsidRDefault="00EA41F1" w:rsidP="000955E0">
            <w:pPr>
              <w:jc w:val="both"/>
              <w:rPr>
                <w:bCs/>
                <w:szCs w:val="24"/>
              </w:rPr>
            </w:pPr>
            <w:r>
              <w:rPr>
                <w:rFonts w:eastAsia="Calibri"/>
                <w:b/>
                <w:szCs w:val="24"/>
              </w:rPr>
              <w:t>4.</w:t>
            </w:r>
            <w:r w:rsidR="006A4F5D" w:rsidRPr="00976FCD">
              <w:rPr>
                <w:rFonts w:eastAsia="Calibri"/>
                <w:b/>
                <w:szCs w:val="24"/>
              </w:rPr>
              <w:t xml:space="preserve">3. </w:t>
            </w:r>
            <w:r w:rsidR="00E940B6" w:rsidRPr="00976FCD">
              <w:rPr>
                <w:b/>
                <w:bCs/>
                <w:szCs w:val="24"/>
              </w:rPr>
              <w:t xml:space="preserve">Nėra </w:t>
            </w:r>
            <w:r w:rsidR="006E1B70">
              <w:rPr>
                <w:b/>
                <w:bCs/>
                <w:szCs w:val="24"/>
              </w:rPr>
              <w:t xml:space="preserve">strateginės </w:t>
            </w:r>
            <w:r w:rsidR="000955E0">
              <w:rPr>
                <w:b/>
                <w:bCs/>
                <w:szCs w:val="24"/>
              </w:rPr>
              <w:t>viešojo ir privataus sektorių partnerystės taikymo</w:t>
            </w:r>
            <w:r w:rsidR="006E1B70">
              <w:rPr>
                <w:b/>
                <w:bCs/>
                <w:szCs w:val="24"/>
              </w:rPr>
              <w:t>, planavimo ir įgyvendinimo</w:t>
            </w:r>
            <w:r w:rsidR="000955E0">
              <w:rPr>
                <w:b/>
                <w:bCs/>
                <w:szCs w:val="24"/>
              </w:rPr>
              <w:t xml:space="preserve"> sistemos.</w:t>
            </w:r>
            <w:r w:rsidR="00C52490" w:rsidRPr="00CB5FF0">
              <w:rPr>
                <w:bCs/>
                <w:szCs w:val="24"/>
              </w:rPr>
              <w:t xml:space="preserve"> </w:t>
            </w:r>
          </w:p>
          <w:p w14:paraId="7C57EA7C" w14:textId="77777777" w:rsidR="002020E7" w:rsidRDefault="002020E7" w:rsidP="002020E7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  <w:p w14:paraId="53CB9A9F" w14:textId="77777777" w:rsidR="002020E7" w:rsidRPr="007128C9" w:rsidRDefault="002020E7" w:rsidP="002020E7">
            <w:pPr>
              <w:widowControl w:val="0"/>
              <w:jc w:val="both"/>
              <w:rPr>
                <w:b/>
                <w:szCs w:val="24"/>
              </w:rPr>
            </w:pPr>
            <w:r w:rsidRPr="007128C9">
              <w:rPr>
                <w:b/>
                <w:szCs w:val="24"/>
              </w:rPr>
              <w:t>Pažangos priemonė, kuria sprendžiama problema:</w:t>
            </w:r>
          </w:p>
          <w:p w14:paraId="44F79E1A" w14:textId="4DD3909A" w:rsidR="00E940B6" w:rsidRPr="007128C9" w:rsidRDefault="002020E7" w:rsidP="00A97B6F">
            <w:pPr>
              <w:ind w:firstLine="171"/>
              <w:jc w:val="both"/>
              <w:rPr>
                <w:szCs w:val="24"/>
              </w:rPr>
            </w:pPr>
            <w:r w:rsidRPr="00055C55">
              <w:rPr>
                <w:b/>
                <w:szCs w:val="24"/>
              </w:rPr>
              <w:t>04-001-08-05-04</w:t>
            </w:r>
            <w:r>
              <w:rPr>
                <w:szCs w:val="24"/>
              </w:rPr>
              <w:t xml:space="preserve"> </w:t>
            </w:r>
            <w:r w:rsidR="00F1221F" w:rsidRPr="002020E7">
              <w:rPr>
                <w:szCs w:val="24"/>
              </w:rPr>
              <w:t>Stiprinti viešojo ir privataus sektorių partnerystę</w:t>
            </w:r>
            <w:r w:rsidR="00A41A0C">
              <w:rPr>
                <w:szCs w:val="24"/>
              </w:rPr>
              <w:t xml:space="preserve"> </w:t>
            </w:r>
            <w:r w:rsidR="00F1221F" w:rsidRPr="002020E7">
              <w:rPr>
                <w:szCs w:val="24"/>
              </w:rPr>
              <w:t xml:space="preserve">ir skatinti privačių investicijų </w:t>
            </w:r>
            <w:r w:rsidR="00F1221F" w:rsidRPr="007128C9">
              <w:rPr>
                <w:szCs w:val="24"/>
              </w:rPr>
              <w:t>pritraukimą</w:t>
            </w:r>
            <w:r w:rsidR="002D3681" w:rsidRPr="007128C9">
              <w:rPr>
                <w:szCs w:val="24"/>
              </w:rPr>
              <w:t xml:space="preserve"> </w:t>
            </w:r>
            <w:r w:rsidR="002D3681" w:rsidRPr="007128C9">
              <w:rPr>
                <w:i/>
                <w:iCs/>
                <w:szCs w:val="24"/>
              </w:rPr>
              <w:t>(šalinamos 4.1, 4.2 ir 4.3 priežastys)</w:t>
            </w:r>
            <w:r w:rsidR="002D3681" w:rsidRPr="007128C9">
              <w:rPr>
                <w:iCs/>
                <w:szCs w:val="24"/>
              </w:rPr>
              <w:t>.</w:t>
            </w:r>
            <w:r w:rsidR="002D3681" w:rsidRPr="007128C9">
              <w:rPr>
                <w:b/>
                <w:szCs w:val="24"/>
              </w:rPr>
              <w:t xml:space="preserve"> </w:t>
            </w:r>
          </w:p>
          <w:p w14:paraId="6A792B34" w14:textId="77777777" w:rsidR="00055C55" w:rsidRPr="002020E7" w:rsidRDefault="00055C55" w:rsidP="002020E7">
            <w:pPr>
              <w:jc w:val="both"/>
              <w:rPr>
                <w:bCs/>
                <w:szCs w:val="24"/>
                <w:lang w:eastAsia="lt-LT"/>
              </w:rPr>
            </w:pPr>
          </w:p>
        </w:tc>
      </w:tr>
      <w:tr w:rsidR="00DA22E7" w:rsidRPr="001C77C5" w14:paraId="3B63BE0C" w14:textId="77777777" w:rsidTr="0053524A">
        <w:tc>
          <w:tcPr>
            <w:tcW w:w="1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AB658E" w14:textId="22640CB6" w:rsidR="00DA22E7" w:rsidRPr="001C77C5" w:rsidRDefault="00E940B6" w:rsidP="00C773C7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  <w:r w:rsidR="007D3A15" w:rsidRPr="00F004D3">
              <w:rPr>
                <w:b/>
                <w:szCs w:val="24"/>
              </w:rPr>
              <w:t xml:space="preserve"> problema</w:t>
            </w:r>
            <w:r w:rsidR="00243DF8">
              <w:rPr>
                <w:b/>
                <w:szCs w:val="24"/>
              </w:rPr>
              <w:t xml:space="preserve"> –</w:t>
            </w:r>
            <w:r w:rsidR="007D3A15" w:rsidRPr="00F004D3">
              <w:rPr>
                <w:b/>
                <w:szCs w:val="24"/>
              </w:rPr>
              <w:t xml:space="preserve"> </w:t>
            </w:r>
            <w:r w:rsidR="008707B0">
              <w:rPr>
                <w:b/>
                <w:szCs w:val="24"/>
              </w:rPr>
              <w:t>n</w:t>
            </w:r>
            <w:r w:rsidR="000D7C49">
              <w:rPr>
                <w:b/>
                <w:szCs w:val="24"/>
              </w:rPr>
              <w:t xml:space="preserve">epakankamai efektyvus, nesistemingas </w:t>
            </w:r>
            <w:r w:rsidR="000D7C49" w:rsidRPr="00EA019F">
              <w:rPr>
                <w:b/>
                <w:szCs w:val="24"/>
              </w:rPr>
              <w:t xml:space="preserve">valstybės nekilnojamojo turto </w:t>
            </w:r>
            <w:r w:rsidR="000D7C49">
              <w:rPr>
                <w:rFonts w:eastAsia="MS Mincho"/>
                <w:b/>
                <w:iCs/>
                <w:szCs w:val="24"/>
              </w:rPr>
              <w:t>valdymas</w:t>
            </w:r>
          </w:p>
        </w:tc>
      </w:tr>
      <w:tr w:rsidR="007D3A15" w:rsidRPr="001C77C5" w14:paraId="303B96EA" w14:textId="77777777" w:rsidTr="0053524A">
        <w:tc>
          <w:tcPr>
            <w:tcW w:w="1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7E9471" w14:textId="77777777" w:rsidR="00604B64" w:rsidRDefault="00604B64" w:rsidP="00604B64">
            <w:pPr>
              <w:ind w:left="29"/>
              <w:jc w:val="both"/>
              <w:rPr>
                <w:b/>
                <w:szCs w:val="24"/>
              </w:rPr>
            </w:pPr>
            <w:r w:rsidRPr="00F004D3">
              <w:rPr>
                <w:b/>
                <w:szCs w:val="24"/>
              </w:rPr>
              <w:t>Spręstinos problemos priežastys</w:t>
            </w:r>
            <w:r w:rsidR="00811BDA">
              <w:rPr>
                <w:b/>
                <w:szCs w:val="24"/>
              </w:rPr>
              <w:t xml:space="preserve"> </w:t>
            </w:r>
            <w:r w:rsidR="00976FCD" w:rsidRPr="00976FCD">
              <w:rPr>
                <w:rFonts w:eastAsia="Calibri"/>
                <w:szCs w:val="24"/>
              </w:rPr>
              <w:t>(</w:t>
            </w:r>
            <w:r w:rsidR="00976FCD" w:rsidRPr="002020E7">
              <w:rPr>
                <w:i/>
                <w:szCs w:val="24"/>
              </w:rPr>
              <w:t>prioriteto tvarka</w:t>
            </w:r>
            <w:r w:rsidR="00976FCD" w:rsidRPr="00811BDA">
              <w:rPr>
                <w:szCs w:val="24"/>
              </w:rPr>
              <w:t>)</w:t>
            </w:r>
            <w:r w:rsidR="00976FCD" w:rsidRPr="001C77C5">
              <w:rPr>
                <w:b/>
                <w:szCs w:val="24"/>
              </w:rPr>
              <w:t>:</w:t>
            </w:r>
          </w:p>
          <w:p w14:paraId="1F11BB33" w14:textId="77777777" w:rsidR="00604B64" w:rsidRPr="00976FCD" w:rsidRDefault="00EA41F1" w:rsidP="004A7007">
            <w:pPr>
              <w:jc w:val="both"/>
              <w:rPr>
                <w:rFonts w:eastAsia="MS Mincho"/>
                <w:b/>
                <w:iCs/>
                <w:szCs w:val="24"/>
              </w:rPr>
            </w:pPr>
            <w:r>
              <w:rPr>
                <w:b/>
                <w:szCs w:val="24"/>
              </w:rPr>
              <w:t>5.</w:t>
            </w:r>
            <w:r w:rsidR="004A7007" w:rsidRPr="00976FCD">
              <w:rPr>
                <w:b/>
                <w:szCs w:val="24"/>
              </w:rPr>
              <w:t xml:space="preserve">1. </w:t>
            </w:r>
            <w:r w:rsidR="00604B64" w:rsidRPr="00976FCD">
              <w:rPr>
                <w:b/>
                <w:szCs w:val="24"/>
              </w:rPr>
              <w:t xml:space="preserve">Perteklinis, nepatenkinamos būklės centralizuotai valdomo </w:t>
            </w:r>
            <w:r w:rsidR="00604B64" w:rsidRPr="00976FCD">
              <w:rPr>
                <w:rFonts w:eastAsia="MS Mincho"/>
                <w:b/>
                <w:iCs/>
                <w:szCs w:val="24"/>
              </w:rPr>
              <w:t>AVNT portfelis</w:t>
            </w:r>
            <w:r w:rsidR="001C0083" w:rsidRPr="00976FCD">
              <w:rPr>
                <w:rFonts w:eastAsia="MS Mincho"/>
                <w:b/>
                <w:iCs/>
                <w:szCs w:val="24"/>
              </w:rPr>
              <w:t>.</w:t>
            </w:r>
          </w:p>
          <w:p w14:paraId="064748A8" w14:textId="356782F0" w:rsidR="00604B64" w:rsidRPr="00B626AE" w:rsidRDefault="00EA41F1" w:rsidP="00C52490">
            <w:pPr>
              <w:jc w:val="both"/>
              <w:rPr>
                <w:rFonts w:eastAsia="MS Mincho"/>
                <w:b/>
                <w:iCs/>
                <w:szCs w:val="24"/>
              </w:rPr>
            </w:pPr>
            <w:r>
              <w:rPr>
                <w:rFonts w:eastAsia="MS Mincho"/>
                <w:b/>
                <w:bCs/>
                <w:iCs/>
              </w:rPr>
              <w:t>5.</w:t>
            </w:r>
            <w:r w:rsidR="004A7007" w:rsidRPr="00976FCD">
              <w:rPr>
                <w:rFonts w:eastAsia="MS Mincho"/>
                <w:b/>
                <w:bCs/>
                <w:iCs/>
              </w:rPr>
              <w:t xml:space="preserve">2. </w:t>
            </w:r>
            <w:r w:rsidR="00C52490" w:rsidRPr="00976FCD">
              <w:rPr>
                <w:b/>
                <w:szCs w:val="24"/>
              </w:rPr>
              <w:t xml:space="preserve">Švietimo ir sporto, sveikatos, socialinės apsaugos, kultūros, teisingumo, vidaus reikalų srityse </w:t>
            </w:r>
            <w:r w:rsidR="00C773C7">
              <w:rPr>
                <w:b/>
                <w:szCs w:val="24"/>
              </w:rPr>
              <w:t xml:space="preserve">valstybės nekilnojamasis turtas </w:t>
            </w:r>
            <w:r w:rsidR="00C52490" w:rsidRPr="00976FCD">
              <w:rPr>
                <w:b/>
                <w:szCs w:val="24"/>
              </w:rPr>
              <w:t>valdomas decentralizuotai ir neefektyvia</w:t>
            </w:r>
            <w:r w:rsidR="00C52490" w:rsidRPr="00055C55">
              <w:rPr>
                <w:b/>
                <w:szCs w:val="24"/>
              </w:rPr>
              <w:t>i.</w:t>
            </w:r>
          </w:p>
          <w:p w14:paraId="77BB0030" w14:textId="77777777" w:rsidR="001E7378" w:rsidRPr="007128C9" w:rsidRDefault="001E7378" w:rsidP="001E7378">
            <w:pPr>
              <w:pStyle w:val="Sraopastraipa"/>
              <w:ind w:left="749"/>
              <w:jc w:val="both"/>
              <w:rPr>
                <w:szCs w:val="24"/>
              </w:rPr>
            </w:pPr>
          </w:p>
          <w:p w14:paraId="5C032341" w14:textId="77777777" w:rsidR="002020E7" w:rsidRPr="007128C9" w:rsidRDefault="002020E7" w:rsidP="002020E7">
            <w:pPr>
              <w:widowControl w:val="0"/>
              <w:jc w:val="both"/>
              <w:rPr>
                <w:b/>
                <w:szCs w:val="24"/>
              </w:rPr>
            </w:pPr>
            <w:r w:rsidRPr="007128C9">
              <w:rPr>
                <w:b/>
                <w:szCs w:val="24"/>
              </w:rPr>
              <w:t>Pažangos priemonė, kuria sprendžiama problema:</w:t>
            </w:r>
          </w:p>
          <w:p w14:paraId="7F6C4B27" w14:textId="09A6D020" w:rsidR="007D3A15" w:rsidRDefault="002020E7" w:rsidP="00A97B6F">
            <w:pPr>
              <w:ind w:firstLine="171"/>
              <w:jc w:val="both"/>
              <w:rPr>
                <w:szCs w:val="24"/>
              </w:rPr>
            </w:pPr>
            <w:r w:rsidRPr="00055C55">
              <w:rPr>
                <w:b/>
                <w:szCs w:val="24"/>
              </w:rPr>
              <w:t>04-001-08-05-05</w:t>
            </w:r>
            <w:r w:rsidRPr="002020E7">
              <w:rPr>
                <w:szCs w:val="24"/>
              </w:rPr>
              <w:t xml:space="preserve"> </w:t>
            </w:r>
            <w:r w:rsidR="00604B64" w:rsidRPr="00546944">
              <w:rPr>
                <w:szCs w:val="24"/>
              </w:rPr>
              <w:t xml:space="preserve">Optimizuoti </w:t>
            </w:r>
            <w:r w:rsidR="007674D4" w:rsidRPr="007674D4">
              <w:rPr>
                <w:color w:val="000000" w:themeColor="text1"/>
                <w:szCs w:val="24"/>
              </w:rPr>
              <w:t>v</w:t>
            </w:r>
            <w:r w:rsidR="00A41A0C" w:rsidRPr="007674D4">
              <w:rPr>
                <w:color w:val="000000" w:themeColor="text1"/>
                <w:szCs w:val="24"/>
              </w:rPr>
              <w:t>alstybės nekilnojamojo turto</w:t>
            </w:r>
            <w:r w:rsidR="00A41A0C">
              <w:rPr>
                <w:b/>
                <w:color w:val="000000" w:themeColor="text1"/>
                <w:sz w:val="20"/>
              </w:rPr>
              <w:t xml:space="preserve"> </w:t>
            </w:r>
            <w:r w:rsidR="00604B64" w:rsidRPr="002020E7">
              <w:rPr>
                <w:szCs w:val="24"/>
              </w:rPr>
              <w:t>apimtis</w:t>
            </w:r>
            <w:r w:rsidR="002D3681">
              <w:rPr>
                <w:szCs w:val="24"/>
              </w:rPr>
              <w:t xml:space="preserve"> </w:t>
            </w:r>
            <w:r w:rsidR="002D3681" w:rsidRPr="007128C9">
              <w:rPr>
                <w:i/>
                <w:iCs/>
                <w:szCs w:val="24"/>
              </w:rPr>
              <w:t>(šalinamos 5.1</w:t>
            </w:r>
            <w:r w:rsidR="00631635" w:rsidRPr="007128C9">
              <w:rPr>
                <w:i/>
                <w:iCs/>
                <w:szCs w:val="24"/>
              </w:rPr>
              <w:t xml:space="preserve"> ir</w:t>
            </w:r>
            <w:r w:rsidR="002D3681" w:rsidRPr="007128C9">
              <w:rPr>
                <w:i/>
                <w:iCs/>
                <w:szCs w:val="24"/>
              </w:rPr>
              <w:t xml:space="preserve"> 5.2 priežastys)</w:t>
            </w:r>
            <w:r w:rsidR="002D3681" w:rsidRPr="007128C9">
              <w:rPr>
                <w:iCs/>
                <w:szCs w:val="24"/>
              </w:rPr>
              <w:t>.</w:t>
            </w:r>
            <w:r w:rsidR="002D3681" w:rsidRPr="007E304E">
              <w:rPr>
                <w:b/>
                <w:szCs w:val="24"/>
              </w:rPr>
              <w:t xml:space="preserve"> </w:t>
            </w:r>
          </w:p>
          <w:p w14:paraId="788C0F80" w14:textId="77777777" w:rsidR="00055C55" w:rsidRPr="002020E7" w:rsidRDefault="00055C55" w:rsidP="002020E7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386592" w:rsidRPr="001C77C5" w14:paraId="2ECC06E1" w14:textId="77777777" w:rsidTr="0053524A">
        <w:tc>
          <w:tcPr>
            <w:tcW w:w="1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195AC2" w14:textId="347F3B08" w:rsidR="00386592" w:rsidRPr="00C17FB3" w:rsidRDefault="00E940B6" w:rsidP="0038659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6</w:t>
            </w:r>
            <w:r w:rsidR="00386592" w:rsidRPr="00896CBB">
              <w:rPr>
                <w:b/>
                <w:szCs w:val="24"/>
              </w:rPr>
              <w:t xml:space="preserve"> problema – </w:t>
            </w:r>
            <w:r w:rsidR="008707B0">
              <w:rPr>
                <w:b/>
                <w:szCs w:val="24"/>
              </w:rPr>
              <w:t>s</w:t>
            </w:r>
            <w:r w:rsidR="00896CBB" w:rsidRPr="00A3417E">
              <w:rPr>
                <w:b/>
                <w:szCs w:val="24"/>
              </w:rPr>
              <w:t>avivaldybių finansinio savarankiškumo trūkumas</w:t>
            </w:r>
          </w:p>
          <w:p w14:paraId="5CBBB6D1" w14:textId="77777777" w:rsidR="00386592" w:rsidRDefault="00386592" w:rsidP="00386592">
            <w:pPr>
              <w:jc w:val="both"/>
              <w:rPr>
                <w:b/>
                <w:szCs w:val="24"/>
              </w:rPr>
            </w:pPr>
            <w:r w:rsidRPr="00F004D3">
              <w:rPr>
                <w:b/>
                <w:szCs w:val="24"/>
              </w:rPr>
              <w:t>Spręstinos problemos priežastys</w:t>
            </w:r>
            <w:r w:rsidR="00811BDA" w:rsidRPr="00811BDA">
              <w:rPr>
                <w:szCs w:val="24"/>
              </w:rPr>
              <w:t xml:space="preserve"> </w:t>
            </w:r>
            <w:r w:rsidR="00976FCD" w:rsidRPr="00976FCD">
              <w:rPr>
                <w:rFonts w:eastAsia="Calibri"/>
                <w:szCs w:val="24"/>
              </w:rPr>
              <w:t>(</w:t>
            </w:r>
            <w:r w:rsidR="00976FCD" w:rsidRPr="002020E7">
              <w:rPr>
                <w:i/>
                <w:szCs w:val="24"/>
              </w:rPr>
              <w:t>prioriteto tvarka</w:t>
            </w:r>
            <w:r w:rsidR="00976FCD" w:rsidRPr="00811BDA">
              <w:rPr>
                <w:szCs w:val="24"/>
              </w:rPr>
              <w:t>)</w:t>
            </w:r>
            <w:r w:rsidR="00976FCD" w:rsidRPr="001C77C5">
              <w:rPr>
                <w:b/>
                <w:szCs w:val="24"/>
              </w:rPr>
              <w:t>:</w:t>
            </w:r>
          </w:p>
          <w:p w14:paraId="286150F6" w14:textId="77777777" w:rsidR="006D24EC" w:rsidRPr="00976FCD" w:rsidRDefault="00EA41F1" w:rsidP="00782AC5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6.</w:t>
            </w:r>
            <w:r w:rsidR="00782AC5" w:rsidRPr="00976FCD">
              <w:rPr>
                <w:b/>
                <w:szCs w:val="24"/>
              </w:rPr>
              <w:t xml:space="preserve">1. </w:t>
            </w:r>
            <w:r w:rsidR="006D24EC" w:rsidRPr="00976FCD">
              <w:rPr>
                <w:b/>
                <w:szCs w:val="24"/>
              </w:rPr>
              <w:t>Nepagrįstas savivaldybių viešosios infrastruktūros poreikis ateityje ir nominalus reikalingų investicijų dydis, siekiant užtikrinti optimalų viešųjų paslaugų teikimą.</w:t>
            </w:r>
          </w:p>
          <w:p w14:paraId="386BA976" w14:textId="72E081A5" w:rsidR="006D24EC" w:rsidRPr="00782AC5" w:rsidRDefault="00EA41F1" w:rsidP="00782AC5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6.</w:t>
            </w:r>
            <w:r w:rsidR="00782AC5" w:rsidRPr="00976FCD">
              <w:rPr>
                <w:b/>
                <w:szCs w:val="24"/>
              </w:rPr>
              <w:t>2.</w:t>
            </w:r>
            <w:r w:rsidR="00782AC5">
              <w:rPr>
                <w:szCs w:val="24"/>
              </w:rPr>
              <w:t xml:space="preserve"> </w:t>
            </w:r>
            <w:r w:rsidR="00A02657" w:rsidRPr="00A02657">
              <w:rPr>
                <w:rFonts w:eastAsiaTheme="minorHAnsi"/>
                <w:b/>
                <w:color w:val="000000"/>
                <w:szCs w:val="24"/>
              </w:rPr>
              <w:t xml:space="preserve">Per mažas savivaldybių pajėgumas padidinti </w:t>
            </w:r>
            <w:r w:rsidR="005A2E2F">
              <w:rPr>
                <w:rFonts w:eastAsiaTheme="minorHAnsi"/>
                <w:b/>
                <w:color w:val="000000"/>
                <w:szCs w:val="24"/>
              </w:rPr>
              <w:t xml:space="preserve">savo biudžetų </w:t>
            </w:r>
            <w:r w:rsidR="00A02657" w:rsidRPr="00A02657">
              <w:rPr>
                <w:rFonts w:eastAsiaTheme="minorHAnsi"/>
                <w:b/>
                <w:color w:val="000000"/>
                <w:szCs w:val="24"/>
              </w:rPr>
              <w:t>pajamas</w:t>
            </w:r>
            <w:r w:rsidR="00E7185D" w:rsidRPr="00EA41F1">
              <w:rPr>
                <w:rFonts w:ascii="Helv" w:eastAsiaTheme="minorHAnsi" w:hAnsi="Helv" w:cs="Helv"/>
                <w:b/>
                <w:color w:val="000000"/>
                <w:sz w:val="20"/>
              </w:rPr>
              <w:t>:</w:t>
            </w:r>
          </w:p>
          <w:p w14:paraId="1550E145" w14:textId="77777777" w:rsidR="00EA41F1" w:rsidRDefault="00EA41F1" w:rsidP="00055C55">
            <w:pPr>
              <w:ind w:firstLine="171"/>
              <w:jc w:val="both"/>
              <w:rPr>
                <w:szCs w:val="24"/>
              </w:rPr>
            </w:pPr>
            <w:r w:rsidRPr="00EA41F1">
              <w:rPr>
                <w:szCs w:val="24"/>
              </w:rPr>
              <w:t xml:space="preserve">6.2.1. </w:t>
            </w:r>
            <w:r w:rsidR="001C0083" w:rsidRPr="00EA41F1">
              <w:rPr>
                <w:szCs w:val="24"/>
              </w:rPr>
              <w:t>p</w:t>
            </w:r>
            <w:r w:rsidR="00C52490" w:rsidRPr="00EA41F1">
              <w:rPr>
                <w:szCs w:val="24"/>
              </w:rPr>
              <w:t xml:space="preserve">er </w:t>
            </w:r>
            <w:r w:rsidR="00480124" w:rsidRPr="00EA41F1">
              <w:rPr>
                <w:szCs w:val="24"/>
              </w:rPr>
              <w:t>mažą savivaldybių biudžetų pajamų dalį sudaro pajamos iš mokesčių, kurių</w:t>
            </w:r>
            <w:r w:rsidR="00C52490" w:rsidRPr="00EA41F1">
              <w:rPr>
                <w:szCs w:val="24"/>
              </w:rPr>
              <w:t xml:space="preserve"> tarifus nustato vietos valdžia;</w:t>
            </w:r>
          </w:p>
          <w:p w14:paraId="5ADEDFE4" w14:textId="77777777" w:rsidR="006D24EC" w:rsidRPr="00EA41F1" w:rsidRDefault="00EA41F1" w:rsidP="00055C55">
            <w:pPr>
              <w:ind w:firstLine="171"/>
              <w:jc w:val="both"/>
              <w:rPr>
                <w:szCs w:val="24"/>
              </w:rPr>
            </w:pPr>
            <w:r w:rsidRPr="00EA41F1">
              <w:rPr>
                <w:szCs w:val="24"/>
              </w:rPr>
              <w:t>6.2.2.</w:t>
            </w:r>
            <w:r w:rsidR="00142D74">
              <w:rPr>
                <w:szCs w:val="24"/>
              </w:rPr>
              <w:t xml:space="preserve"> </w:t>
            </w:r>
            <w:r w:rsidR="00A02657" w:rsidRPr="00EA41F1">
              <w:rPr>
                <w:szCs w:val="24"/>
              </w:rPr>
              <w:t xml:space="preserve">tobulintinas </w:t>
            </w:r>
            <w:r w:rsidR="006D24EC" w:rsidRPr="00EA41F1">
              <w:rPr>
                <w:szCs w:val="24"/>
              </w:rPr>
              <w:t>saviva</w:t>
            </w:r>
            <w:r w:rsidR="00C52490" w:rsidRPr="00EA41F1">
              <w:rPr>
                <w:szCs w:val="24"/>
              </w:rPr>
              <w:t xml:space="preserve">ldybių skolinimosi reguliavimas </w:t>
            </w:r>
            <w:r w:rsidR="006D24EC" w:rsidRPr="00EA41F1">
              <w:rPr>
                <w:szCs w:val="24"/>
              </w:rPr>
              <w:t>ar priemonės.</w:t>
            </w:r>
          </w:p>
          <w:p w14:paraId="33402723" w14:textId="10085F20" w:rsidR="006D24EC" w:rsidRPr="00EA41F1" w:rsidRDefault="00EA41F1" w:rsidP="00EA41F1">
            <w:pPr>
              <w:pStyle w:val="Sraopastraipa"/>
              <w:numPr>
                <w:ilvl w:val="1"/>
                <w:numId w:val="14"/>
              </w:num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  <w:r w:rsidR="006D24EC" w:rsidRPr="00EA41F1">
              <w:rPr>
                <w:b/>
                <w:szCs w:val="24"/>
              </w:rPr>
              <w:t xml:space="preserve">Neoptimalios savivaldybių tęstinės </w:t>
            </w:r>
            <w:r w:rsidR="001D4B15">
              <w:rPr>
                <w:b/>
                <w:szCs w:val="24"/>
              </w:rPr>
              <w:t>veiklos lėšos</w:t>
            </w:r>
            <w:r w:rsidR="006D24EC" w:rsidRPr="00EA41F1">
              <w:rPr>
                <w:b/>
                <w:szCs w:val="24"/>
              </w:rPr>
              <w:t>:</w:t>
            </w:r>
          </w:p>
          <w:p w14:paraId="3F2A467A" w14:textId="005D6420" w:rsidR="006D24EC" w:rsidRPr="000E06AB" w:rsidRDefault="00EA41F1" w:rsidP="00055C55">
            <w:pPr>
              <w:ind w:firstLine="171"/>
              <w:jc w:val="both"/>
              <w:rPr>
                <w:szCs w:val="24"/>
              </w:rPr>
            </w:pPr>
            <w:r>
              <w:rPr>
                <w:szCs w:val="24"/>
              </w:rPr>
              <w:t>6.3.1.</w:t>
            </w:r>
            <w:r w:rsidR="008E5813" w:rsidRPr="00EA41F1">
              <w:rPr>
                <w:szCs w:val="24"/>
              </w:rPr>
              <w:t xml:space="preserve"> </w:t>
            </w:r>
            <w:r w:rsidR="001C0083" w:rsidRPr="000E06AB">
              <w:rPr>
                <w:szCs w:val="24"/>
              </w:rPr>
              <w:t>s</w:t>
            </w:r>
            <w:r w:rsidR="006D24EC" w:rsidRPr="000E06AB">
              <w:rPr>
                <w:szCs w:val="24"/>
              </w:rPr>
              <w:t xml:space="preserve">avivaldybių </w:t>
            </w:r>
            <w:r w:rsidR="00F326D1">
              <w:rPr>
                <w:szCs w:val="24"/>
              </w:rPr>
              <w:t xml:space="preserve">išlaidos </w:t>
            </w:r>
            <w:r w:rsidR="005A2E2F">
              <w:rPr>
                <w:szCs w:val="24"/>
              </w:rPr>
              <w:t xml:space="preserve">savivaldybių </w:t>
            </w:r>
            <w:r w:rsidR="006D24EC" w:rsidRPr="000E06AB">
              <w:rPr>
                <w:szCs w:val="24"/>
              </w:rPr>
              <w:t xml:space="preserve">funkcijoms vykdyti nėra </w:t>
            </w:r>
            <w:r w:rsidR="00405A65" w:rsidRPr="00147F8A">
              <w:rPr>
                <w:szCs w:val="24"/>
              </w:rPr>
              <w:t>vertinamos</w:t>
            </w:r>
            <w:r w:rsidR="00F326D1" w:rsidRPr="00147F8A">
              <w:rPr>
                <w:szCs w:val="24"/>
              </w:rPr>
              <w:t xml:space="preserve"> </w:t>
            </w:r>
            <w:r w:rsidR="00405A65">
              <w:rPr>
                <w:szCs w:val="24"/>
              </w:rPr>
              <w:t xml:space="preserve">pagal </w:t>
            </w:r>
            <w:r w:rsidR="00F326D1">
              <w:rPr>
                <w:szCs w:val="24"/>
              </w:rPr>
              <w:t>savivaldybių kontekst</w:t>
            </w:r>
            <w:r w:rsidR="005A2E2F">
              <w:rPr>
                <w:szCs w:val="24"/>
              </w:rPr>
              <w:t xml:space="preserve">ą (dydis, urbanistinė struktūra, gyventojų struktūra, verslo struktūra ir kt.) </w:t>
            </w:r>
            <w:r w:rsidR="00F326D1">
              <w:rPr>
                <w:szCs w:val="24"/>
              </w:rPr>
              <w:t xml:space="preserve">ir </w:t>
            </w:r>
            <w:r w:rsidR="005A2E2F">
              <w:rPr>
                <w:szCs w:val="24"/>
              </w:rPr>
              <w:t xml:space="preserve">savivaldybių </w:t>
            </w:r>
            <w:r w:rsidR="00F326D1">
              <w:rPr>
                <w:szCs w:val="24"/>
              </w:rPr>
              <w:t>funkcij</w:t>
            </w:r>
            <w:r w:rsidR="005A2E2F">
              <w:rPr>
                <w:szCs w:val="24"/>
              </w:rPr>
              <w:t>ų vykdymo efektyvumą ir rezultatyvumą apibūdinančius</w:t>
            </w:r>
            <w:r w:rsidR="00F326D1">
              <w:rPr>
                <w:szCs w:val="24"/>
              </w:rPr>
              <w:t xml:space="preserve"> rodikli</w:t>
            </w:r>
            <w:r w:rsidR="00405A65">
              <w:rPr>
                <w:szCs w:val="24"/>
              </w:rPr>
              <w:t>u</w:t>
            </w:r>
            <w:r w:rsidR="00F326D1">
              <w:rPr>
                <w:szCs w:val="24"/>
              </w:rPr>
              <w:t>s</w:t>
            </w:r>
            <w:r w:rsidR="00853623" w:rsidRPr="000E06AB">
              <w:rPr>
                <w:szCs w:val="24"/>
              </w:rPr>
              <w:t>;</w:t>
            </w:r>
          </w:p>
          <w:p w14:paraId="53DE8B37" w14:textId="28DA0627" w:rsidR="006D24EC" w:rsidRPr="00055C55" w:rsidRDefault="00EA41F1" w:rsidP="00055C55">
            <w:pPr>
              <w:ind w:firstLine="171"/>
              <w:jc w:val="both"/>
              <w:rPr>
                <w:szCs w:val="24"/>
              </w:rPr>
            </w:pPr>
            <w:r w:rsidRPr="00055C55">
              <w:rPr>
                <w:szCs w:val="24"/>
              </w:rPr>
              <w:t xml:space="preserve">6.3.2. </w:t>
            </w:r>
            <w:r w:rsidR="000805C5" w:rsidRPr="000805C5">
              <w:rPr>
                <w:szCs w:val="24"/>
              </w:rPr>
              <w:t xml:space="preserve">valstybinių (valstybės perduotų savivaldybėms) </w:t>
            </w:r>
            <w:r w:rsidR="00033686" w:rsidRPr="000805C5">
              <w:rPr>
                <w:szCs w:val="24"/>
              </w:rPr>
              <w:t xml:space="preserve">centrinės ir vietos valdžios </w:t>
            </w:r>
            <w:r w:rsidR="000805C5" w:rsidRPr="000805C5">
              <w:rPr>
                <w:szCs w:val="24"/>
              </w:rPr>
              <w:t xml:space="preserve">funkcijų pasiskirstymas turi trūkumų: neįvertintas valstybinių funkcijų finansavimo poreikis, apimtis, pakankamumas ir valdymo efektyvumas kartu su savivaldybių </w:t>
            </w:r>
            <w:proofErr w:type="spellStart"/>
            <w:r w:rsidR="000805C5" w:rsidRPr="000805C5">
              <w:rPr>
                <w:szCs w:val="24"/>
              </w:rPr>
              <w:t>savarankiško</w:t>
            </w:r>
            <w:r w:rsidR="00033686">
              <w:rPr>
                <w:szCs w:val="24"/>
              </w:rPr>
              <w:t>sio</w:t>
            </w:r>
            <w:r w:rsidR="000805C5" w:rsidRPr="000805C5">
              <w:rPr>
                <w:szCs w:val="24"/>
              </w:rPr>
              <w:t>mis</w:t>
            </w:r>
            <w:proofErr w:type="spellEnd"/>
            <w:r w:rsidR="000805C5" w:rsidRPr="000805C5">
              <w:rPr>
                <w:szCs w:val="24"/>
              </w:rPr>
              <w:t xml:space="preserve"> funkcijomis</w:t>
            </w:r>
            <w:r w:rsidR="006D24EC" w:rsidRPr="00055C55">
              <w:rPr>
                <w:szCs w:val="24"/>
              </w:rPr>
              <w:t xml:space="preserve"> (</w:t>
            </w:r>
            <w:r w:rsidR="001C0083" w:rsidRPr="00055C55">
              <w:rPr>
                <w:szCs w:val="24"/>
              </w:rPr>
              <w:t>p</w:t>
            </w:r>
            <w:r w:rsidR="006D24EC" w:rsidRPr="00055C55">
              <w:rPr>
                <w:szCs w:val="24"/>
              </w:rPr>
              <w:t xml:space="preserve">roblemos priežastis iš dalies bus </w:t>
            </w:r>
            <w:r w:rsidR="002117A6">
              <w:rPr>
                <w:szCs w:val="24"/>
              </w:rPr>
              <w:t>sprendžiama</w:t>
            </w:r>
            <w:r w:rsidR="001C0083" w:rsidRPr="00055C55">
              <w:rPr>
                <w:szCs w:val="24"/>
              </w:rPr>
              <w:t xml:space="preserve"> </w:t>
            </w:r>
            <w:r w:rsidR="00405A65" w:rsidRPr="00582895">
              <w:rPr>
                <w:szCs w:val="24"/>
              </w:rPr>
              <w:t>2021–2030 metų plėtros programos valdytojos Lietuvos Respublikos</w:t>
            </w:r>
            <w:r w:rsidR="00405A65" w:rsidRPr="00055C55">
              <w:rPr>
                <w:szCs w:val="24"/>
              </w:rPr>
              <w:t xml:space="preserve"> </w:t>
            </w:r>
            <w:r w:rsidR="00B23361" w:rsidRPr="00055C55">
              <w:rPr>
                <w:szCs w:val="24"/>
              </w:rPr>
              <w:t>v</w:t>
            </w:r>
            <w:r w:rsidR="006D24EC" w:rsidRPr="00055C55">
              <w:rPr>
                <w:szCs w:val="24"/>
              </w:rPr>
              <w:t>idaus reikalų ministerijos</w:t>
            </w:r>
            <w:r w:rsidR="00B23361" w:rsidRPr="00055C55">
              <w:rPr>
                <w:szCs w:val="24"/>
              </w:rPr>
              <w:t xml:space="preserve"> </w:t>
            </w:r>
            <w:r w:rsidR="00405A65">
              <w:rPr>
                <w:szCs w:val="24"/>
              </w:rPr>
              <w:t>v</w:t>
            </w:r>
            <w:r w:rsidR="006D24EC" w:rsidRPr="00055C55">
              <w:rPr>
                <w:szCs w:val="24"/>
              </w:rPr>
              <w:t>iešojo valdymo plėtros programoje</w:t>
            </w:r>
            <w:r w:rsidR="007128C9">
              <w:rPr>
                <w:szCs w:val="24"/>
              </w:rPr>
              <w:t xml:space="preserve"> </w:t>
            </w:r>
            <w:r w:rsidR="007128C9" w:rsidRPr="00055C55">
              <w:rPr>
                <w:szCs w:val="24"/>
              </w:rPr>
              <w:t>(toliau – VRM</w:t>
            </w:r>
            <w:r w:rsidR="007128C9">
              <w:rPr>
                <w:szCs w:val="24"/>
              </w:rPr>
              <w:t xml:space="preserve"> plėtros programa</w:t>
            </w:r>
            <w:r w:rsidR="007128C9" w:rsidRPr="00055C55">
              <w:rPr>
                <w:szCs w:val="24"/>
              </w:rPr>
              <w:t>)</w:t>
            </w:r>
            <w:r w:rsidR="006D24EC" w:rsidRPr="00055C55">
              <w:rPr>
                <w:szCs w:val="24"/>
              </w:rPr>
              <w:t xml:space="preserve"> </w:t>
            </w:r>
            <w:r w:rsidR="002117A6">
              <w:rPr>
                <w:szCs w:val="24"/>
              </w:rPr>
              <w:t>numatytomis veiklomis</w:t>
            </w:r>
            <w:r w:rsidR="006D24EC" w:rsidRPr="00055C55">
              <w:rPr>
                <w:szCs w:val="24"/>
              </w:rPr>
              <w:t>).</w:t>
            </w:r>
          </w:p>
          <w:p w14:paraId="1B8F8F1B" w14:textId="77777777" w:rsidR="002020E7" w:rsidRPr="007128C9" w:rsidRDefault="002020E7" w:rsidP="002020E7">
            <w:pPr>
              <w:widowControl w:val="0"/>
              <w:jc w:val="both"/>
              <w:rPr>
                <w:b/>
                <w:szCs w:val="24"/>
              </w:rPr>
            </w:pPr>
          </w:p>
          <w:p w14:paraId="6D71B547" w14:textId="77777777" w:rsidR="002020E7" w:rsidRPr="007128C9" w:rsidRDefault="002020E7" w:rsidP="002020E7">
            <w:pPr>
              <w:widowControl w:val="0"/>
              <w:jc w:val="both"/>
              <w:rPr>
                <w:b/>
                <w:szCs w:val="24"/>
              </w:rPr>
            </w:pPr>
            <w:r w:rsidRPr="007128C9">
              <w:rPr>
                <w:b/>
                <w:szCs w:val="24"/>
              </w:rPr>
              <w:t>Pažangos priemonė, kuria sprendžiama problema:</w:t>
            </w:r>
          </w:p>
          <w:p w14:paraId="3E446705" w14:textId="7508A787" w:rsidR="00386592" w:rsidRPr="007128C9" w:rsidRDefault="002020E7" w:rsidP="00912839">
            <w:pPr>
              <w:ind w:firstLine="171"/>
              <w:jc w:val="both"/>
              <w:rPr>
                <w:szCs w:val="24"/>
              </w:rPr>
            </w:pPr>
            <w:r w:rsidRPr="00055C55">
              <w:rPr>
                <w:b/>
                <w:szCs w:val="24"/>
              </w:rPr>
              <w:t>04-001-08-05-06</w:t>
            </w:r>
            <w:r w:rsidRPr="002020E7">
              <w:rPr>
                <w:szCs w:val="24"/>
              </w:rPr>
              <w:t xml:space="preserve"> </w:t>
            </w:r>
            <w:r w:rsidR="00604B64" w:rsidRPr="002020E7">
              <w:rPr>
                <w:szCs w:val="24"/>
              </w:rPr>
              <w:t xml:space="preserve">Didinti tvarų </w:t>
            </w:r>
            <w:r w:rsidR="00C94E93" w:rsidRPr="002020E7">
              <w:rPr>
                <w:szCs w:val="24"/>
              </w:rPr>
              <w:t>saviv</w:t>
            </w:r>
            <w:r w:rsidR="00604B64" w:rsidRPr="002020E7">
              <w:rPr>
                <w:szCs w:val="24"/>
              </w:rPr>
              <w:t xml:space="preserve">aldybių </w:t>
            </w:r>
            <w:r w:rsidR="005D1B4C" w:rsidRPr="002020E7">
              <w:rPr>
                <w:szCs w:val="24"/>
              </w:rPr>
              <w:t xml:space="preserve">finansinį </w:t>
            </w:r>
            <w:r w:rsidR="00604B64" w:rsidRPr="002020E7">
              <w:rPr>
                <w:szCs w:val="24"/>
              </w:rPr>
              <w:t>savarankiškumą</w:t>
            </w:r>
            <w:r w:rsidR="002D3681">
              <w:rPr>
                <w:szCs w:val="24"/>
              </w:rPr>
              <w:t xml:space="preserve"> </w:t>
            </w:r>
            <w:r w:rsidR="002D3681" w:rsidRPr="007128C9">
              <w:rPr>
                <w:i/>
                <w:iCs/>
                <w:szCs w:val="24"/>
              </w:rPr>
              <w:t>(šalinamos 6.1, 6.2 ir 6.3 priežastys)</w:t>
            </w:r>
            <w:r w:rsidR="002D3681" w:rsidRPr="007128C9">
              <w:rPr>
                <w:iCs/>
                <w:szCs w:val="24"/>
              </w:rPr>
              <w:t>.</w:t>
            </w:r>
            <w:r w:rsidR="002D3681" w:rsidRPr="007128C9">
              <w:rPr>
                <w:szCs w:val="24"/>
              </w:rPr>
              <w:t xml:space="preserve"> </w:t>
            </w:r>
          </w:p>
          <w:p w14:paraId="5AD756C0" w14:textId="7D43D177" w:rsidR="007128C9" w:rsidRDefault="007128C9" w:rsidP="007128C9">
            <w:pPr>
              <w:jc w:val="both"/>
              <w:rPr>
                <w:b/>
                <w:szCs w:val="24"/>
              </w:rPr>
            </w:pPr>
            <w:r w:rsidRPr="007128C9">
              <w:rPr>
                <w:b/>
                <w:szCs w:val="24"/>
              </w:rPr>
              <w:t>Priemonės</w:t>
            </w:r>
            <w:r w:rsidR="00E51C8A">
              <w:rPr>
                <w:b/>
                <w:szCs w:val="24"/>
              </w:rPr>
              <w:t>,</w:t>
            </w:r>
            <w:r w:rsidRPr="007128C9">
              <w:rPr>
                <w:b/>
                <w:szCs w:val="24"/>
              </w:rPr>
              <w:t xml:space="preserve"> numatytos kitose </w:t>
            </w:r>
            <w:r w:rsidR="001B1F9C">
              <w:rPr>
                <w:b/>
                <w:szCs w:val="24"/>
              </w:rPr>
              <w:t xml:space="preserve">plėtros </w:t>
            </w:r>
            <w:r w:rsidRPr="007128C9">
              <w:rPr>
                <w:b/>
                <w:szCs w:val="24"/>
              </w:rPr>
              <w:t>programose:</w:t>
            </w:r>
          </w:p>
          <w:p w14:paraId="4349D3CE" w14:textId="080FA0FB" w:rsidR="007128C9" w:rsidRPr="007128C9" w:rsidRDefault="007128C9" w:rsidP="007128C9">
            <w:pPr>
              <w:jc w:val="both"/>
              <w:rPr>
                <w:szCs w:val="24"/>
              </w:rPr>
            </w:pPr>
            <w:r w:rsidRPr="007128C9">
              <w:rPr>
                <w:szCs w:val="24"/>
              </w:rPr>
              <w:t>VRM plėtros programoje:</w:t>
            </w:r>
          </w:p>
          <w:p w14:paraId="6130F8F7" w14:textId="49EAC0BC" w:rsidR="00055C55" w:rsidRPr="002020E7" w:rsidRDefault="001B1F9C" w:rsidP="001B1F9C">
            <w:pPr>
              <w:jc w:val="both"/>
              <w:rPr>
                <w:szCs w:val="24"/>
              </w:rPr>
            </w:pPr>
            <w:r>
              <w:rPr>
                <w:b/>
              </w:rPr>
              <w:t xml:space="preserve">  </w:t>
            </w:r>
            <w:r w:rsidRPr="00582895">
              <w:rPr>
                <w:b/>
                <w:szCs w:val="22"/>
              </w:rPr>
              <w:t>01-004-08-04-02</w:t>
            </w:r>
            <w:r>
              <w:rPr>
                <w:szCs w:val="22"/>
              </w:rPr>
              <w:t xml:space="preserve"> </w:t>
            </w:r>
            <w:r w:rsidRPr="00A24A40">
              <w:rPr>
                <w:rFonts w:eastAsiaTheme="minorHAnsi"/>
                <w:szCs w:val="22"/>
              </w:rPr>
              <w:t>Vykdyti viešojo valdymo struktūros reformą</w:t>
            </w:r>
            <w:r>
              <w:t xml:space="preserve">, užtikrinant: </w:t>
            </w:r>
            <w:r w:rsidRPr="00A24A40">
              <w:rPr>
                <w:rFonts w:eastAsiaTheme="minorHAnsi"/>
                <w:szCs w:val="22"/>
              </w:rPr>
              <w:t>racionalų viešųjų funkcijų paskirstymą tarp valstybinių ir vietos valdžios institucijų</w:t>
            </w:r>
            <w:r>
              <w:t xml:space="preserve"> </w:t>
            </w:r>
            <w:r w:rsidR="007128C9">
              <w:t>(</w:t>
            </w:r>
            <w:r w:rsidR="007128C9" w:rsidRPr="0040661B">
              <w:rPr>
                <w:i/>
              </w:rPr>
              <w:t>prisidedama prie 6.3 priežasties šalinimo</w:t>
            </w:r>
            <w:r w:rsidR="007128C9">
              <w:t xml:space="preserve"> (</w:t>
            </w:r>
            <w:r w:rsidR="007128C9" w:rsidRPr="007128C9">
              <w:rPr>
                <w:i/>
                <w:iCs/>
                <w:szCs w:val="24"/>
              </w:rPr>
              <w:t>šalinama 6.3.2 priežastis</w:t>
            </w:r>
            <w:r w:rsidR="0040661B">
              <w:rPr>
                <w:i/>
                <w:iCs/>
                <w:szCs w:val="24"/>
              </w:rPr>
              <w:t>).</w:t>
            </w:r>
          </w:p>
        </w:tc>
      </w:tr>
    </w:tbl>
    <w:p w14:paraId="6430B5D6" w14:textId="77777777" w:rsidR="002D63CB" w:rsidRDefault="002D63CB" w:rsidP="002D63CB">
      <w:pPr>
        <w:keepNext/>
        <w:keepLines/>
        <w:ind w:left="284" w:hanging="284"/>
        <w:jc w:val="center"/>
        <w:rPr>
          <w:b/>
          <w:color w:val="000000"/>
        </w:rPr>
      </w:pPr>
    </w:p>
    <w:p w14:paraId="3BBCB340" w14:textId="77777777" w:rsidR="002D63CB" w:rsidRDefault="002D63CB" w:rsidP="002D63CB">
      <w:pPr>
        <w:keepNext/>
        <w:keepLines/>
        <w:ind w:left="284" w:hanging="284"/>
        <w:jc w:val="center"/>
        <w:rPr>
          <w:b/>
          <w:color w:val="000000"/>
        </w:rPr>
      </w:pPr>
      <w:r>
        <w:rPr>
          <w:b/>
          <w:color w:val="000000"/>
        </w:rPr>
        <w:t>II SKYRIUS</w:t>
      </w:r>
    </w:p>
    <w:p w14:paraId="5135764A" w14:textId="77777777" w:rsidR="002D63CB" w:rsidRDefault="002D63CB" w:rsidP="002D63CB">
      <w:pPr>
        <w:keepNext/>
        <w:keepLines/>
        <w:ind w:left="284" w:hanging="284"/>
        <w:jc w:val="center"/>
        <w:rPr>
          <w:b/>
          <w:color w:val="000000"/>
        </w:rPr>
      </w:pPr>
      <w:r>
        <w:rPr>
          <w:b/>
          <w:color w:val="000000"/>
        </w:rPr>
        <w:t>FINANSINIŲ PROJEKCIJŲ DALIS</w:t>
      </w:r>
    </w:p>
    <w:p w14:paraId="0B07DF22" w14:textId="77777777" w:rsidR="002D63CB" w:rsidRDefault="002D63CB" w:rsidP="002D63CB">
      <w:pPr>
        <w:keepNext/>
        <w:keepLines/>
        <w:jc w:val="both"/>
        <w:rPr>
          <w:b/>
          <w:color w:val="000000"/>
        </w:rPr>
      </w:pPr>
    </w:p>
    <w:tbl>
      <w:tblPr>
        <w:tblW w:w="54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0"/>
        <w:gridCol w:w="3723"/>
        <w:gridCol w:w="6479"/>
      </w:tblGrid>
      <w:tr w:rsidR="002D63CB" w14:paraId="7D18C09D" w14:textId="77777777" w:rsidTr="00350E8C">
        <w:trPr>
          <w:trHeight w:val="604"/>
        </w:trPr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807E48E" w14:textId="77777777" w:rsidR="002D63CB" w:rsidRDefault="002D63CB" w:rsidP="00A41A0C">
            <w:pPr>
              <w:jc w:val="center"/>
              <w:rPr>
                <w:rFonts w:eastAsia="Calibri"/>
                <w:b/>
                <w:sz w:val="20"/>
                <w:szCs w:val="22"/>
              </w:rPr>
            </w:pPr>
            <w:r>
              <w:rPr>
                <w:rFonts w:eastAsia="Calibri"/>
                <w:b/>
                <w:sz w:val="20"/>
                <w:szCs w:val="22"/>
              </w:rPr>
              <w:t>NPP uždavinys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1D8072E" w14:textId="77777777" w:rsidR="002D63CB" w:rsidRDefault="002D63CB" w:rsidP="00A41A0C">
            <w:pPr>
              <w:jc w:val="center"/>
              <w:rPr>
                <w:rFonts w:eastAsia="Calibri"/>
                <w:b/>
                <w:sz w:val="20"/>
                <w:szCs w:val="22"/>
              </w:rPr>
            </w:pPr>
            <w:r>
              <w:rPr>
                <w:rFonts w:eastAsia="Calibri"/>
                <w:b/>
                <w:sz w:val="20"/>
                <w:szCs w:val="22"/>
              </w:rPr>
              <w:t xml:space="preserve">Finansinės projekcijos, tūkst. </w:t>
            </w:r>
            <w:proofErr w:type="spellStart"/>
            <w:r>
              <w:rPr>
                <w:rFonts w:eastAsia="Calibri"/>
                <w:b/>
                <w:sz w:val="20"/>
                <w:szCs w:val="22"/>
              </w:rPr>
              <w:t>Eur</w:t>
            </w:r>
            <w:proofErr w:type="spellEnd"/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798699F" w14:textId="77777777" w:rsidR="002D63CB" w:rsidRDefault="002D63CB" w:rsidP="00A41A0C">
            <w:pPr>
              <w:jc w:val="center"/>
              <w:rPr>
                <w:rFonts w:eastAsia="Calibri"/>
                <w:b/>
                <w:sz w:val="20"/>
                <w:szCs w:val="22"/>
              </w:rPr>
            </w:pPr>
            <w:r>
              <w:rPr>
                <w:rFonts w:eastAsia="Calibri"/>
                <w:b/>
                <w:sz w:val="20"/>
                <w:szCs w:val="22"/>
              </w:rPr>
              <w:t>Finansavimo šaltiniai</w:t>
            </w:r>
          </w:p>
        </w:tc>
      </w:tr>
      <w:tr w:rsidR="002D63CB" w14:paraId="74571FA5" w14:textId="77777777" w:rsidTr="00350E8C"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9A24EA8" w14:textId="77777777" w:rsidR="002D63CB" w:rsidRDefault="002D63CB" w:rsidP="00A41A0C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1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2B0542E" w14:textId="77777777" w:rsidR="002D63CB" w:rsidRDefault="002D63CB" w:rsidP="00A41A0C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2</w:t>
            </w: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19A37AF" w14:textId="77777777" w:rsidR="002D63CB" w:rsidRDefault="002D63CB" w:rsidP="00A41A0C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3</w:t>
            </w:r>
          </w:p>
        </w:tc>
      </w:tr>
      <w:tr w:rsidR="002D63CB" w14:paraId="17403895" w14:textId="77777777" w:rsidTr="00DC3E36">
        <w:trPr>
          <w:trHeight w:val="450"/>
        </w:trPr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5EC6F" w14:textId="77777777" w:rsidR="002D63CB" w:rsidRPr="001F1B15" w:rsidRDefault="001C77C5" w:rsidP="00C56C31">
            <w:pPr>
              <w:jc w:val="both"/>
              <w:rPr>
                <w:rFonts w:eastAsia="Calibri"/>
                <w:i/>
                <w:color w:val="808080"/>
                <w:sz w:val="20"/>
              </w:rPr>
            </w:pPr>
            <w:r w:rsidRPr="001F1B15">
              <w:rPr>
                <w:color w:val="000000" w:themeColor="text1"/>
                <w:sz w:val="20"/>
              </w:rPr>
              <w:t>8.</w:t>
            </w:r>
            <w:r w:rsidR="00C56C31" w:rsidRPr="001F1B15">
              <w:rPr>
                <w:color w:val="000000" w:themeColor="text1"/>
                <w:sz w:val="20"/>
              </w:rPr>
              <w:t>5</w:t>
            </w:r>
            <w:r w:rsidR="00E06A24">
              <w:rPr>
                <w:color w:val="000000" w:themeColor="text1"/>
                <w:sz w:val="20"/>
              </w:rPr>
              <w:t xml:space="preserve"> uždavinys</w:t>
            </w:r>
            <w:r w:rsidRPr="001F1B15">
              <w:rPr>
                <w:color w:val="000000" w:themeColor="text1"/>
                <w:sz w:val="20"/>
              </w:rPr>
              <w:t xml:space="preserve"> </w:t>
            </w:r>
            <w:r w:rsidR="00E06A24">
              <w:rPr>
                <w:color w:val="000000" w:themeColor="text1"/>
                <w:sz w:val="20"/>
              </w:rPr>
              <w:t>„</w:t>
            </w:r>
            <w:r w:rsidRPr="001F1B15">
              <w:rPr>
                <w:color w:val="000000" w:themeColor="text1"/>
                <w:sz w:val="20"/>
              </w:rPr>
              <w:t>Didinti viešųjų finansų ir valstybės turto valdymo ir panaudojimo efektyvumą</w:t>
            </w:r>
            <w:r w:rsidR="00E06A24">
              <w:rPr>
                <w:color w:val="000000" w:themeColor="text1"/>
                <w:sz w:val="20"/>
              </w:rPr>
              <w:t>“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42F4" w14:textId="1C53F87F" w:rsidR="008F1B8C" w:rsidRPr="007E4343" w:rsidRDefault="00701A38" w:rsidP="007E4343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405A65">
              <w:rPr>
                <w:rFonts w:eastAsia="Calibri"/>
                <w:sz w:val="20"/>
              </w:rPr>
              <w:t> </w:t>
            </w:r>
            <w:r w:rsidR="004975D7">
              <w:rPr>
                <w:sz w:val="20"/>
              </w:rPr>
              <w:t>340</w:t>
            </w:r>
            <w:r w:rsidR="00B61CFC">
              <w:rPr>
                <w:sz w:val="20"/>
              </w:rPr>
              <w:t xml:space="preserve"> </w:t>
            </w:r>
          </w:p>
          <w:p w14:paraId="6F11624E" w14:textId="77777777" w:rsidR="00DB310C" w:rsidRPr="007E4343" w:rsidRDefault="00DB310C" w:rsidP="00DB310C">
            <w:pPr>
              <w:jc w:val="right"/>
              <w:rPr>
                <w:rFonts w:eastAsia="Calibri"/>
                <w:sz w:val="20"/>
              </w:rPr>
            </w:pPr>
            <w:r w:rsidRPr="007E4343">
              <w:rPr>
                <w:rFonts w:eastAsia="Calibri"/>
                <w:sz w:val="20"/>
              </w:rPr>
              <w:t>16</w:t>
            </w:r>
            <w:r>
              <w:rPr>
                <w:rFonts w:eastAsia="Calibri"/>
                <w:sz w:val="20"/>
              </w:rPr>
              <w:t> </w:t>
            </w:r>
            <w:r w:rsidR="00597774">
              <w:rPr>
                <w:rFonts w:eastAsia="Calibri"/>
                <w:sz w:val="20"/>
              </w:rPr>
              <w:t>848</w:t>
            </w:r>
          </w:p>
          <w:p w14:paraId="08F5381C" w14:textId="77777777" w:rsidR="007E4343" w:rsidRDefault="007E4343" w:rsidP="000C5B87">
            <w:pPr>
              <w:jc w:val="right"/>
              <w:rPr>
                <w:rFonts w:eastAsia="Calibri"/>
                <w:sz w:val="20"/>
              </w:rPr>
            </w:pPr>
          </w:p>
          <w:p w14:paraId="427641B2" w14:textId="77777777" w:rsidR="000D056C" w:rsidRPr="007E4343" w:rsidRDefault="000D056C" w:rsidP="000C5B87">
            <w:pPr>
              <w:jc w:val="right"/>
              <w:rPr>
                <w:rFonts w:eastAsia="Calibri"/>
                <w:sz w:val="20"/>
              </w:rPr>
            </w:pPr>
          </w:p>
          <w:p w14:paraId="4DC313FE" w14:textId="77777777" w:rsidR="00E06A24" w:rsidRDefault="00E06A24" w:rsidP="000C5B87">
            <w:pPr>
              <w:jc w:val="right"/>
              <w:rPr>
                <w:rFonts w:eastAsia="Calibri"/>
                <w:sz w:val="20"/>
              </w:rPr>
            </w:pPr>
          </w:p>
          <w:p w14:paraId="4FE2D84E" w14:textId="34A5A3C2" w:rsidR="007E4343" w:rsidRPr="007E4343" w:rsidRDefault="007E4343" w:rsidP="000C5B87">
            <w:pPr>
              <w:jc w:val="right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4</w:t>
            </w:r>
            <w:r w:rsidR="00B61CFC">
              <w:rPr>
                <w:rFonts w:eastAsia="Calibri"/>
                <w:sz w:val="20"/>
              </w:rPr>
              <w:t>5</w:t>
            </w:r>
            <w:r w:rsidR="00405A65">
              <w:rPr>
                <w:rFonts w:eastAsia="Calibri"/>
                <w:sz w:val="20"/>
              </w:rPr>
              <w:t> </w:t>
            </w:r>
            <w:r w:rsidR="00DB310C">
              <w:rPr>
                <w:rFonts w:eastAsia="Calibri"/>
                <w:sz w:val="20"/>
              </w:rPr>
              <w:t>3</w:t>
            </w:r>
            <w:r w:rsidR="00E83CAA">
              <w:rPr>
                <w:rFonts w:eastAsia="Calibri"/>
                <w:sz w:val="20"/>
              </w:rPr>
              <w:t>4</w:t>
            </w:r>
            <w:r w:rsidR="0076794F">
              <w:rPr>
                <w:rFonts w:eastAsia="Calibri"/>
                <w:sz w:val="20"/>
              </w:rPr>
              <w:t>2</w:t>
            </w:r>
          </w:p>
          <w:p w14:paraId="43B07EB4" w14:textId="77777777" w:rsidR="00405A65" w:rsidRDefault="00405A65" w:rsidP="000C5B87">
            <w:pPr>
              <w:jc w:val="right"/>
              <w:rPr>
                <w:rFonts w:eastAsia="Calibri"/>
                <w:sz w:val="20"/>
              </w:rPr>
            </w:pPr>
          </w:p>
          <w:p w14:paraId="4C910ACB" w14:textId="48879585" w:rsidR="007E4343" w:rsidRPr="007E4343" w:rsidRDefault="00B61CFC" w:rsidP="000C5B87">
            <w:pPr>
              <w:jc w:val="right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33</w:t>
            </w:r>
            <w:r w:rsidR="00777A9F">
              <w:rPr>
                <w:rFonts w:eastAsia="Calibri"/>
                <w:sz w:val="20"/>
              </w:rPr>
              <w:t> </w:t>
            </w:r>
            <w:r w:rsidR="00597774">
              <w:rPr>
                <w:rFonts w:eastAsia="Calibri"/>
                <w:sz w:val="20"/>
              </w:rPr>
              <w:t>559</w:t>
            </w:r>
          </w:p>
          <w:p w14:paraId="0C7F0CA3" w14:textId="39212B51" w:rsidR="00777A9F" w:rsidRPr="007E4343" w:rsidRDefault="00777A9F" w:rsidP="0094588E">
            <w:pPr>
              <w:jc w:val="center"/>
              <w:rPr>
                <w:rFonts w:eastAsia="Calibri"/>
                <w:sz w:val="20"/>
              </w:rPr>
            </w:pPr>
          </w:p>
          <w:p w14:paraId="011475CD" w14:textId="77777777" w:rsidR="007E4343" w:rsidRPr="007E4343" w:rsidRDefault="007E4343" w:rsidP="000C5B87">
            <w:pPr>
              <w:jc w:val="right"/>
              <w:rPr>
                <w:rFonts w:eastAsia="Calibri"/>
                <w:sz w:val="20"/>
              </w:rPr>
            </w:pPr>
            <w:r w:rsidRPr="007E4343">
              <w:rPr>
                <w:rFonts w:eastAsia="Calibri"/>
                <w:sz w:val="20"/>
              </w:rPr>
              <w:t>8</w:t>
            </w:r>
            <w:r w:rsidR="00777A9F">
              <w:rPr>
                <w:rFonts w:eastAsia="Calibri"/>
                <w:sz w:val="20"/>
              </w:rPr>
              <w:t> </w:t>
            </w:r>
            <w:r w:rsidR="00597774">
              <w:rPr>
                <w:rFonts w:eastAsia="Calibri"/>
                <w:sz w:val="20"/>
              </w:rPr>
              <w:t>389</w:t>
            </w:r>
          </w:p>
          <w:p w14:paraId="2ABA12E9" w14:textId="77777777" w:rsidR="007E4343" w:rsidRDefault="007E4343" w:rsidP="00DC3E36">
            <w:pPr>
              <w:jc w:val="right"/>
              <w:rPr>
                <w:rFonts w:eastAsia="Calibri"/>
                <w:i/>
                <w:color w:val="808080"/>
                <w:sz w:val="20"/>
                <w:szCs w:val="22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2BE8" w14:textId="77777777" w:rsidR="004A722A" w:rsidRDefault="004A722A" w:rsidP="004A722A">
            <w:pPr>
              <w:rPr>
                <w:sz w:val="20"/>
              </w:rPr>
            </w:pPr>
            <w:r w:rsidRPr="005E6453">
              <w:rPr>
                <w:sz w:val="20"/>
              </w:rPr>
              <w:lastRenderedPageBreak/>
              <w:t>Valstybės biudžeto lėšos</w:t>
            </w:r>
          </w:p>
          <w:p w14:paraId="66C52867" w14:textId="51881B5F" w:rsidR="00E06A24" w:rsidRDefault="00011704" w:rsidP="00582895">
            <w:pPr>
              <w:jc w:val="both"/>
              <w:rPr>
                <w:sz w:val="20"/>
              </w:rPr>
            </w:pPr>
            <w:r>
              <w:rPr>
                <w:sz w:val="20"/>
              </w:rPr>
              <w:t>Valstybės biudžeto lėšos, skirtos apmokėti bendrai finansuojamų iš E</w:t>
            </w:r>
            <w:r w:rsidR="00A6366D">
              <w:rPr>
                <w:sz w:val="20"/>
              </w:rPr>
              <w:t xml:space="preserve">uropos </w:t>
            </w:r>
            <w:r>
              <w:rPr>
                <w:sz w:val="20"/>
              </w:rPr>
              <w:t>S</w:t>
            </w:r>
            <w:r w:rsidR="00A6366D">
              <w:rPr>
                <w:sz w:val="20"/>
              </w:rPr>
              <w:t>ąjungos</w:t>
            </w:r>
            <w:r w:rsidR="00147F8A">
              <w:rPr>
                <w:sz w:val="20"/>
              </w:rPr>
              <w:t xml:space="preserve"> (toliau – ES) </w:t>
            </w:r>
            <w:r>
              <w:rPr>
                <w:sz w:val="20"/>
              </w:rPr>
              <w:t xml:space="preserve"> fondų </w:t>
            </w:r>
            <w:r w:rsidR="00A6366D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lėšų projektų  netinkamam finansuoti iš ES fondų lėšų pirkimo ir (arba) importo </w:t>
            </w:r>
            <w:r w:rsidR="00E06A24">
              <w:rPr>
                <w:sz w:val="20"/>
              </w:rPr>
              <w:t>pridėtinės vertės mokesčiui (toliau –</w:t>
            </w:r>
            <w:r>
              <w:rPr>
                <w:sz w:val="20"/>
              </w:rPr>
              <w:t>PVM</w:t>
            </w:r>
            <w:r w:rsidR="00E06A24">
              <w:rPr>
                <w:sz w:val="20"/>
              </w:rPr>
              <w:t>)</w:t>
            </w:r>
            <w:bookmarkStart w:id="0" w:name="_Hlk67576481"/>
          </w:p>
          <w:p w14:paraId="34ABD3BB" w14:textId="21123C10" w:rsidR="004A722A" w:rsidRPr="008A7156" w:rsidRDefault="004A722A" w:rsidP="004A722A">
            <w:pPr>
              <w:rPr>
                <w:rStyle w:val="st"/>
                <w:sz w:val="20"/>
              </w:rPr>
            </w:pPr>
            <w:r w:rsidRPr="005E6453">
              <w:rPr>
                <w:sz w:val="20"/>
                <w:shd w:val="clear" w:color="auto" w:fill="FFFFFF"/>
              </w:rPr>
              <w:t xml:space="preserve">Ekonomikos gaivinimo ir atsparumo didinimo </w:t>
            </w:r>
            <w:r w:rsidR="008A7156" w:rsidRPr="008A7156">
              <w:rPr>
                <w:sz w:val="20"/>
              </w:rPr>
              <w:t>plan</w:t>
            </w:r>
            <w:r w:rsidR="00405A65">
              <w:rPr>
                <w:sz w:val="20"/>
              </w:rPr>
              <w:t>o</w:t>
            </w:r>
            <w:r w:rsidR="008A7156" w:rsidRPr="008A7156">
              <w:rPr>
                <w:sz w:val="20"/>
              </w:rPr>
              <w:t xml:space="preserve"> </w:t>
            </w:r>
            <w:r w:rsidR="008A7156" w:rsidRPr="008A7156">
              <w:rPr>
                <w:rFonts w:eastAsiaTheme="minorHAnsi"/>
                <w:bCs/>
                <w:color w:val="000000"/>
                <w:sz w:val="20"/>
              </w:rPr>
              <w:t>„Naujos kartos Lietuva“</w:t>
            </w:r>
            <w:r w:rsidR="00405A65">
              <w:rPr>
                <w:rFonts w:eastAsiaTheme="minorHAnsi"/>
                <w:bCs/>
                <w:color w:val="000000"/>
                <w:sz w:val="20"/>
              </w:rPr>
              <w:t xml:space="preserve"> lėšos</w:t>
            </w:r>
          </w:p>
          <w:bookmarkEnd w:id="0"/>
          <w:p w14:paraId="3EE67E62" w14:textId="23541A91" w:rsidR="00011704" w:rsidRDefault="004A722A" w:rsidP="00582895">
            <w:pPr>
              <w:jc w:val="both"/>
              <w:rPr>
                <w:spacing w:val="-2"/>
                <w:sz w:val="20"/>
                <w:lang w:eastAsia="lt-LT"/>
              </w:rPr>
            </w:pPr>
            <w:r w:rsidRPr="005E6453">
              <w:rPr>
                <w:spacing w:val="-2"/>
                <w:sz w:val="20"/>
                <w:lang w:eastAsia="lt-LT"/>
              </w:rPr>
              <w:t xml:space="preserve">2021–2027 m. </w:t>
            </w:r>
            <w:r w:rsidR="00A14483">
              <w:rPr>
                <w:spacing w:val="-2"/>
                <w:sz w:val="20"/>
                <w:lang w:eastAsia="lt-LT"/>
              </w:rPr>
              <w:t>i</w:t>
            </w:r>
            <w:r w:rsidR="00011704">
              <w:rPr>
                <w:spacing w:val="-2"/>
                <w:sz w:val="20"/>
                <w:lang w:eastAsia="lt-LT"/>
              </w:rPr>
              <w:t xml:space="preserve">ntegruoto sienų valdymo fondo </w:t>
            </w:r>
            <w:r w:rsidR="009A1E96">
              <w:rPr>
                <w:spacing w:val="-2"/>
                <w:sz w:val="20"/>
                <w:lang w:eastAsia="lt-LT"/>
              </w:rPr>
              <w:t>muitinio tikrinimo įrangos</w:t>
            </w:r>
            <w:r w:rsidR="00011704">
              <w:rPr>
                <w:spacing w:val="-2"/>
                <w:sz w:val="20"/>
                <w:lang w:eastAsia="lt-LT"/>
              </w:rPr>
              <w:t xml:space="preserve"> finansinės paramos priemonės lėšos</w:t>
            </w:r>
          </w:p>
          <w:p w14:paraId="2B8B3A16" w14:textId="4CDACBED" w:rsidR="00066F33" w:rsidRDefault="00066F33" w:rsidP="00582895">
            <w:pPr>
              <w:jc w:val="both"/>
              <w:rPr>
                <w:rFonts w:eastAsia="Calibri"/>
                <w:i/>
                <w:color w:val="808080"/>
                <w:sz w:val="20"/>
                <w:szCs w:val="22"/>
              </w:rPr>
            </w:pPr>
            <w:r w:rsidRPr="005E6453">
              <w:rPr>
                <w:spacing w:val="-2"/>
                <w:sz w:val="20"/>
                <w:lang w:eastAsia="lt-LT"/>
              </w:rPr>
              <w:t>2021–2027 m.</w:t>
            </w:r>
            <w:r w:rsidR="00011704">
              <w:rPr>
                <w:spacing w:val="-2"/>
                <w:sz w:val="20"/>
                <w:lang w:eastAsia="lt-LT"/>
              </w:rPr>
              <w:t xml:space="preserve"> </w:t>
            </w:r>
            <w:r w:rsidR="00A14483">
              <w:rPr>
                <w:spacing w:val="-2"/>
                <w:sz w:val="20"/>
                <w:lang w:eastAsia="lt-LT"/>
              </w:rPr>
              <w:t>integruoto</w:t>
            </w:r>
            <w:r w:rsidR="00011704">
              <w:rPr>
                <w:spacing w:val="-2"/>
                <w:sz w:val="20"/>
                <w:lang w:eastAsia="lt-LT"/>
              </w:rPr>
              <w:t xml:space="preserve"> sienų valdymo fondo </w:t>
            </w:r>
            <w:r w:rsidR="00E402BF">
              <w:rPr>
                <w:spacing w:val="-2"/>
                <w:sz w:val="20"/>
                <w:lang w:eastAsia="lt-LT"/>
              </w:rPr>
              <w:t xml:space="preserve">muitinio tikrinimo įrangos </w:t>
            </w:r>
            <w:r w:rsidR="00011704">
              <w:rPr>
                <w:spacing w:val="-2"/>
                <w:sz w:val="20"/>
                <w:lang w:eastAsia="lt-LT"/>
              </w:rPr>
              <w:lastRenderedPageBreak/>
              <w:t xml:space="preserve">finansinės paramos priemonės </w:t>
            </w:r>
            <w:r w:rsidRPr="005E6453">
              <w:rPr>
                <w:sz w:val="20"/>
              </w:rPr>
              <w:t>bendrojo finansavimo lėšos</w:t>
            </w:r>
          </w:p>
        </w:tc>
      </w:tr>
      <w:tr w:rsidR="002D63CB" w14:paraId="11A10049" w14:textId="77777777" w:rsidTr="00350E8C">
        <w:trPr>
          <w:trHeight w:val="353"/>
        </w:trPr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76C3" w14:textId="0F88A74D" w:rsidR="002D63CB" w:rsidRPr="00B23361" w:rsidRDefault="00B23361" w:rsidP="00A41A0C">
            <w:pPr>
              <w:jc w:val="both"/>
              <w:rPr>
                <w:rFonts w:eastAsia="Calibri"/>
                <w:color w:val="808080"/>
                <w:sz w:val="20"/>
                <w:szCs w:val="22"/>
              </w:rPr>
            </w:pPr>
            <w:r w:rsidRPr="00B23361">
              <w:rPr>
                <w:rFonts w:eastAsia="Calibri"/>
                <w:sz w:val="20"/>
                <w:szCs w:val="22"/>
              </w:rPr>
              <w:lastRenderedPageBreak/>
              <w:t>Plėtros programos suma</w:t>
            </w:r>
            <w:r w:rsidR="00A14483">
              <w:rPr>
                <w:rFonts w:eastAsia="Calibri"/>
                <w:sz w:val="20"/>
                <w:szCs w:val="22"/>
              </w:rPr>
              <w:t>,</w:t>
            </w:r>
            <w:r w:rsidRPr="00B23361">
              <w:rPr>
                <w:rFonts w:eastAsia="Calibri"/>
                <w:sz w:val="20"/>
                <w:szCs w:val="22"/>
              </w:rPr>
              <w:t xml:space="preserve"> iš viso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3C705" w14:textId="62B86D95" w:rsidR="002D63CB" w:rsidRPr="007E4343" w:rsidRDefault="007E4343" w:rsidP="009D1DE3">
            <w:pPr>
              <w:jc w:val="right"/>
              <w:rPr>
                <w:rFonts w:eastAsia="Calibri"/>
                <w:b/>
                <w:sz w:val="20"/>
                <w:szCs w:val="22"/>
              </w:rPr>
            </w:pPr>
            <w:r w:rsidRPr="00D64B14">
              <w:rPr>
                <w:rFonts w:eastAsia="Calibri"/>
                <w:b/>
                <w:sz w:val="20"/>
                <w:szCs w:val="22"/>
              </w:rPr>
              <w:t>1</w:t>
            </w:r>
            <w:r w:rsidR="00D64B14" w:rsidRPr="00D64B14">
              <w:rPr>
                <w:rFonts w:eastAsia="Calibri"/>
                <w:b/>
                <w:sz w:val="20"/>
                <w:szCs w:val="22"/>
              </w:rPr>
              <w:t>0</w:t>
            </w:r>
            <w:r w:rsidR="00597774">
              <w:rPr>
                <w:rFonts w:eastAsia="Calibri"/>
                <w:b/>
                <w:sz w:val="20"/>
                <w:szCs w:val="22"/>
              </w:rPr>
              <w:t>5</w:t>
            </w:r>
            <w:r w:rsidRPr="00D64B14">
              <w:rPr>
                <w:rFonts w:eastAsia="Calibri"/>
                <w:b/>
                <w:sz w:val="20"/>
                <w:szCs w:val="22"/>
              </w:rPr>
              <w:t xml:space="preserve"> </w:t>
            </w:r>
            <w:r w:rsidR="009D1DE3">
              <w:rPr>
                <w:rFonts w:eastAsia="Calibri"/>
                <w:b/>
                <w:sz w:val="20"/>
                <w:szCs w:val="22"/>
              </w:rPr>
              <w:t>47</w:t>
            </w:r>
            <w:r w:rsidR="00597774">
              <w:rPr>
                <w:rFonts w:eastAsia="Calibri"/>
                <w:b/>
                <w:sz w:val="20"/>
                <w:szCs w:val="22"/>
              </w:rPr>
              <w:t>8</w:t>
            </w: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DCCA" w14:textId="77777777" w:rsidR="002D63CB" w:rsidRPr="007E4343" w:rsidRDefault="002D63CB" w:rsidP="00FB0896">
            <w:pPr>
              <w:jc w:val="both"/>
              <w:rPr>
                <w:rFonts w:eastAsia="Calibri"/>
                <w:b/>
                <w:sz w:val="20"/>
                <w:szCs w:val="22"/>
              </w:rPr>
            </w:pPr>
          </w:p>
        </w:tc>
      </w:tr>
    </w:tbl>
    <w:p w14:paraId="6894AE42" w14:textId="77777777" w:rsidR="002D63CB" w:rsidRPr="000B22AB" w:rsidRDefault="002D63CB" w:rsidP="002D63CB">
      <w:pPr>
        <w:rPr>
          <w:b/>
          <w:color w:val="000000"/>
          <w:lang w:val="en-US"/>
        </w:rPr>
      </w:pPr>
    </w:p>
    <w:p w14:paraId="2AEE0D98" w14:textId="77777777" w:rsidR="002D63CB" w:rsidRDefault="002D63CB" w:rsidP="002D63CB">
      <w:pPr>
        <w:ind w:left="284" w:hanging="284"/>
        <w:jc w:val="center"/>
        <w:rPr>
          <w:b/>
          <w:color w:val="000000"/>
        </w:rPr>
      </w:pPr>
      <w:r>
        <w:rPr>
          <w:b/>
          <w:color w:val="000000"/>
        </w:rPr>
        <w:t xml:space="preserve">III SKYRIUS </w:t>
      </w:r>
    </w:p>
    <w:p w14:paraId="098C3E1D" w14:textId="77777777" w:rsidR="002D63CB" w:rsidRDefault="002D63CB" w:rsidP="002D63CB">
      <w:pPr>
        <w:ind w:left="284" w:hanging="284"/>
        <w:jc w:val="center"/>
        <w:rPr>
          <w:b/>
          <w:color w:val="000000"/>
        </w:rPr>
      </w:pPr>
      <w:r>
        <w:rPr>
          <w:b/>
          <w:color w:val="000000"/>
        </w:rPr>
        <w:t xml:space="preserve">PAŽANGOS PRIEMONIŲ RINKINYS </w:t>
      </w:r>
    </w:p>
    <w:p w14:paraId="6437935C" w14:textId="77777777" w:rsidR="002D63CB" w:rsidRDefault="002D63CB" w:rsidP="002D63CB">
      <w:pPr>
        <w:jc w:val="both"/>
      </w:pPr>
    </w:p>
    <w:tbl>
      <w:tblPr>
        <w:tblW w:w="53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1666"/>
        <w:gridCol w:w="1372"/>
        <w:gridCol w:w="1525"/>
        <w:gridCol w:w="1392"/>
        <w:gridCol w:w="1539"/>
        <w:gridCol w:w="1765"/>
        <w:gridCol w:w="1112"/>
        <w:gridCol w:w="1228"/>
        <w:gridCol w:w="1445"/>
      </w:tblGrid>
      <w:tr w:rsidR="00D34C11" w14:paraId="1B440462" w14:textId="77777777" w:rsidTr="00954F11">
        <w:trPr>
          <w:trHeight w:val="678"/>
        </w:trPr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31D0C6F" w14:textId="77777777" w:rsidR="002D63CB" w:rsidRDefault="002D63CB" w:rsidP="00B23361">
            <w:pPr>
              <w:jc w:val="center"/>
              <w:rPr>
                <w:rFonts w:eastAsia="Calibri"/>
                <w:b/>
                <w:sz w:val="20"/>
                <w:szCs w:val="22"/>
              </w:rPr>
            </w:pPr>
            <w:r>
              <w:rPr>
                <w:rFonts w:eastAsia="Calibri"/>
                <w:b/>
                <w:sz w:val="20"/>
                <w:szCs w:val="22"/>
              </w:rPr>
              <w:t>Pažangos priemonės kodas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C72DA43" w14:textId="77777777" w:rsidR="002D63CB" w:rsidRDefault="002D63CB" w:rsidP="00B23361">
            <w:pPr>
              <w:jc w:val="center"/>
              <w:rPr>
                <w:rFonts w:eastAsia="Calibri"/>
                <w:b/>
                <w:sz w:val="20"/>
                <w:szCs w:val="22"/>
              </w:rPr>
            </w:pPr>
            <w:r>
              <w:rPr>
                <w:rFonts w:eastAsia="Calibri"/>
                <w:b/>
                <w:sz w:val="20"/>
                <w:szCs w:val="22"/>
              </w:rPr>
              <w:t>Pažangos priemonė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D2C114E" w14:textId="77777777" w:rsidR="002D63CB" w:rsidRDefault="002D63CB" w:rsidP="00A41A0C">
            <w:pPr>
              <w:jc w:val="center"/>
              <w:rPr>
                <w:rFonts w:eastAsia="Calibri"/>
                <w:b/>
                <w:sz w:val="20"/>
                <w:szCs w:val="22"/>
              </w:rPr>
            </w:pPr>
            <w:r>
              <w:rPr>
                <w:rFonts w:eastAsia="Calibri"/>
                <w:b/>
                <w:sz w:val="20"/>
                <w:szCs w:val="22"/>
              </w:rPr>
              <w:t>Pažangos priemonės įgyvendinimo NPP uždavinys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EA0DCCA" w14:textId="77777777" w:rsidR="002D63CB" w:rsidRDefault="002D63CB" w:rsidP="00A41A0C">
            <w:pPr>
              <w:jc w:val="center"/>
              <w:rPr>
                <w:rFonts w:eastAsia="Calibri"/>
                <w:b/>
                <w:sz w:val="20"/>
                <w:szCs w:val="22"/>
              </w:rPr>
            </w:pPr>
            <w:r>
              <w:rPr>
                <w:rFonts w:eastAsia="Calibri"/>
                <w:b/>
                <w:sz w:val="20"/>
                <w:szCs w:val="22"/>
              </w:rPr>
              <w:t>Kiti NPP uždaviniai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C430A2D" w14:textId="77777777" w:rsidR="002D63CB" w:rsidRDefault="002D63CB" w:rsidP="00A41A0C">
            <w:pPr>
              <w:jc w:val="center"/>
              <w:rPr>
                <w:rFonts w:eastAsia="Calibri"/>
                <w:b/>
                <w:sz w:val="20"/>
                <w:szCs w:val="22"/>
              </w:rPr>
            </w:pPr>
            <w:r>
              <w:rPr>
                <w:rFonts w:eastAsia="Calibri"/>
                <w:b/>
                <w:sz w:val="20"/>
                <w:szCs w:val="22"/>
              </w:rPr>
              <w:t>Būtinos sąlygos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2EA1D32" w14:textId="77777777" w:rsidR="002D63CB" w:rsidRDefault="002D63CB" w:rsidP="00A41A0C">
            <w:pPr>
              <w:jc w:val="center"/>
              <w:rPr>
                <w:rFonts w:eastAsia="Calibri"/>
                <w:b/>
                <w:sz w:val="20"/>
                <w:szCs w:val="22"/>
              </w:rPr>
            </w:pPr>
            <w:r>
              <w:rPr>
                <w:rFonts w:eastAsia="Calibri"/>
                <w:b/>
                <w:sz w:val="20"/>
                <w:szCs w:val="22"/>
              </w:rPr>
              <w:t>Dalyvaujančios institucijos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A6EA728" w14:textId="77777777" w:rsidR="002D63CB" w:rsidRDefault="002D63CB" w:rsidP="00B23361">
            <w:pPr>
              <w:jc w:val="center"/>
              <w:rPr>
                <w:rFonts w:eastAsia="Calibri"/>
                <w:b/>
                <w:sz w:val="20"/>
                <w:szCs w:val="22"/>
              </w:rPr>
            </w:pPr>
            <w:r>
              <w:rPr>
                <w:rFonts w:eastAsia="Calibri"/>
                <w:b/>
                <w:sz w:val="20"/>
                <w:szCs w:val="22"/>
              </w:rPr>
              <w:t>Pažangos priemonės rezultato rodiklio pavadinimas</w:t>
            </w:r>
          </w:p>
        </w:tc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20F98E1" w14:textId="77777777" w:rsidR="002D63CB" w:rsidRDefault="002D63CB" w:rsidP="00A41A0C">
            <w:pPr>
              <w:jc w:val="center"/>
              <w:rPr>
                <w:rFonts w:eastAsia="Calibri"/>
                <w:b/>
                <w:sz w:val="20"/>
                <w:szCs w:val="22"/>
              </w:rPr>
            </w:pPr>
            <w:r>
              <w:rPr>
                <w:rFonts w:eastAsia="Calibri"/>
                <w:b/>
                <w:sz w:val="20"/>
                <w:szCs w:val="22"/>
              </w:rPr>
              <w:t>Pažangos priemonės rezultato rodiklio reikšmės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B68B713" w14:textId="680FE019" w:rsidR="002D63CB" w:rsidRDefault="002D63CB" w:rsidP="008259D1">
            <w:pPr>
              <w:jc w:val="center"/>
              <w:rPr>
                <w:rFonts w:eastAsia="Calibri"/>
                <w:b/>
                <w:sz w:val="20"/>
                <w:szCs w:val="22"/>
              </w:rPr>
            </w:pPr>
            <w:r>
              <w:rPr>
                <w:rFonts w:eastAsia="Calibri"/>
                <w:b/>
                <w:sz w:val="20"/>
                <w:szCs w:val="22"/>
              </w:rPr>
              <w:t>Pažangos priemonės papildomas požymis: LRV ĮP, HP</w:t>
            </w:r>
            <w:r w:rsidRPr="00A26736">
              <w:rPr>
                <w:rFonts w:eastAsia="Calibri"/>
                <w:sz w:val="20"/>
                <w:szCs w:val="22"/>
              </w:rPr>
              <w:t xml:space="preserve">, </w:t>
            </w:r>
            <w:r w:rsidRPr="00A26736">
              <w:rPr>
                <w:rFonts w:eastAsia="Calibri"/>
                <w:b/>
                <w:sz w:val="20"/>
                <w:szCs w:val="22"/>
              </w:rPr>
              <w:t>NRD</w:t>
            </w:r>
          </w:p>
        </w:tc>
      </w:tr>
      <w:tr w:rsidR="00D34C11" w14:paraId="313CE6C6" w14:textId="77777777" w:rsidTr="00954F11">
        <w:trPr>
          <w:trHeight w:val="184"/>
        </w:trPr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8EB16" w14:textId="77777777" w:rsidR="002D63CB" w:rsidRDefault="002D63CB" w:rsidP="00A41A0C">
            <w:pPr>
              <w:rPr>
                <w:rFonts w:eastAsia="Calibri"/>
                <w:b/>
                <w:sz w:val="20"/>
                <w:szCs w:val="22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F6969" w14:textId="77777777" w:rsidR="002D63CB" w:rsidRDefault="002D63CB" w:rsidP="00A41A0C">
            <w:pPr>
              <w:rPr>
                <w:rFonts w:eastAsia="Calibri"/>
                <w:b/>
                <w:sz w:val="20"/>
                <w:szCs w:val="22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A063" w14:textId="77777777" w:rsidR="002D63CB" w:rsidRDefault="002D63CB" w:rsidP="00A41A0C">
            <w:pPr>
              <w:rPr>
                <w:rFonts w:eastAsia="Calibri"/>
                <w:b/>
                <w:sz w:val="20"/>
                <w:szCs w:val="22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B521" w14:textId="77777777" w:rsidR="002D63CB" w:rsidRDefault="002D63CB" w:rsidP="00A41A0C">
            <w:pPr>
              <w:rPr>
                <w:rFonts w:eastAsia="Calibri"/>
                <w:b/>
                <w:sz w:val="20"/>
                <w:szCs w:val="22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5918C" w14:textId="77777777" w:rsidR="002D63CB" w:rsidRDefault="002D63CB" w:rsidP="00A41A0C">
            <w:pPr>
              <w:rPr>
                <w:rFonts w:eastAsia="Calibri"/>
                <w:b/>
                <w:sz w:val="20"/>
                <w:szCs w:val="22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D8AB2" w14:textId="77777777" w:rsidR="002D63CB" w:rsidRDefault="002D63CB" w:rsidP="00A41A0C">
            <w:pPr>
              <w:rPr>
                <w:rFonts w:eastAsia="Calibri"/>
                <w:b/>
                <w:sz w:val="20"/>
                <w:szCs w:val="22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E722F" w14:textId="77777777" w:rsidR="002D63CB" w:rsidRDefault="002D63CB" w:rsidP="00A41A0C">
            <w:pPr>
              <w:rPr>
                <w:rFonts w:eastAsia="Calibri"/>
                <w:b/>
                <w:sz w:val="20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7CF2C4C" w14:textId="77777777" w:rsidR="002D63CB" w:rsidRDefault="002D63CB" w:rsidP="00A41A0C">
            <w:pPr>
              <w:jc w:val="center"/>
              <w:rPr>
                <w:rFonts w:eastAsia="Calibri"/>
                <w:b/>
                <w:sz w:val="20"/>
                <w:szCs w:val="22"/>
              </w:rPr>
            </w:pPr>
            <w:r>
              <w:rPr>
                <w:rFonts w:eastAsia="Calibri"/>
                <w:b/>
                <w:sz w:val="20"/>
                <w:szCs w:val="22"/>
              </w:rPr>
              <w:t>Pradinė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1E33FEE" w14:textId="77777777" w:rsidR="002D63CB" w:rsidRDefault="002D63CB" w:rsidP="00A41A0C">
            <w:pPr>
              <w:jc w:val="center"/>
              <w:rPr>
                <w:rFonts w:eastAsia="Calibri"/>
                <w:b/>
                <w:sz w:val="20"/>
                <w:szCs w:val="22"/>
              </w:rPr>
            </w:pPr>
            <w:r>
              <w:rPr>
                <w:rFonts w:eastAsia="Calibri"/>
                <w:b/>
                <w:sz w:val="20"/>
                <w:szCs w:val="22"/>
              </w:rPr>
              <w:t>2030 m.</w:t>
            </w: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8673A" w14:textId="77777777" w:rsidR="002D63CB" w:rsidRDefault="002D63CB" w:rsidP="00A41A0C">
            <w:pPr>
              <w:rPr>
                <w:rFonts w:eastAsia="Calibri"/>
                <w:b/>
                <w:sz w:val="20"/>
                <w:szCs w:val="22"/>
              </w:rPr>
            </w:pPr>
          </w:p>
        </w:tc>
      </w:tr>
      <w:tr w:rsidR="00D34C11" w14:paraId="793BDE81" w14:textId="77777777" w:rsidTr="00954F11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86E1772" w14:textId="77777777" w:rsidR="002D63CB" w:rsidRDefault="002D63CB" w:rsidP="00A41A0C">
            <w:pPr>
              <w:jc w:val="center"/>
              <w:rPr>
                <w:rFonts w:eastAsia="Calibri"/>
                <w:sz w:val="20"/>
                <w:szCs w:val="22"/>
                <w:lang w:val="en-US"/>
              </w:rPr>
            </w:pPr>
            <w:r>
              <w:rPr>
                <w:rFonts w:eastAsia="Calibri"/>
                <w:sz w:val="20"/>
                <w:szCs w:val="22"/>
                <w:lang w:val="en-US"/>
              </w:rPr>
              <w:t>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28617E8" w14:textId="77777777" w:rsidR="002D63CB" w:rsidRDefault="002D63CB" w:rsidP="00A41A0C">
            <w:pPr>
              <w:jc w:val="center"/>
              <w:rPr>
                <w:rFonts w:eastAsia="Calibri"/>
                <w:sz w:val="20"/>
                <w:szCs w:val="22"/>
                <w:lang w:val="en-US"/>
              </w:rPr>
            </w:pPr>
            <w:r>
              <w:rPr>
                <w:rFonts w:eastAsia="Calibri"/>
                <w:sz w:val="20"/>
                <w:szCs w:val="22"/>
                <w:lang w:val="en-US"/>
              </w:rPr>
              <w:t>2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D4FC831" w14:textId="77777777" w:rsidR="002D63CB" w:rsidRDefault="002D63CB" w:rsidP="00A41A0C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8BFE063" w14:textId="77777777" w:rsidR="002D63CB" w:rsidRDefault="002D63CB" w:rsidP="00A41A0C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4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410059D" w14:textId="77777777" w:rsidR="002D63CB" w:rsidRDefault="002D63CB" w:rsidP="00A41A0C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5B43518" w14:textId="77777777" w:rsidR="002D63CB" w:rsidRDefault="002D63CB" w:rsidP="00A41A0C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D65CA7B" w14:textId="77777777" w:rsidR="002D63CB" w:rsidRDefault="002D63CB" w:rsidP="00A41A0C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515DF0C" w14:textId="77777777" w:rsidR="002D63CB" w:rsidRDefault="002D63CB" w:rsidP="00A41A0C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8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31AADB1" w14:textId="77777777" w:rsidR="002D63CB" w:rsidRDefault="002D63CB" w:rsidP="00A41A0C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1865370" w14:textId="77777777" w:rsidR="002D63CB" w:rsidRDefault="002D63CB" w:rsidP="00A41A0C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10</w:t>
            </w:r>
          </w:p>
        </w:tc>
      </w:tr>
      <w:tr w:rsidR="00AC6814" w14:paraId="5E16BCA0" w14:textId="77777777" w:rsidTr="00954F11">
        <w:trPr>
          <w:trHeight w:val="981"/>
        </w:trPr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3ED82" w14:textId="77777777" w:rsidR="00AC6814" w:rsidRPr="008806D0" w:rsidRDefault="00AC6814" w:rsidP="00C56C31">
            <w:pPr>
              <w:jc w:val="both"/>
              <w:rPr>
                <w:rFonts w:eastAsia="Calibri"/>
                <w:sz w:val="20"/>
              </w:rPr>
            </w:pPr>
            <w:r w:rsidRPr="00A669A2">
              <w:rPr>
                <w:sz w:val="20"/>
              </w:rPr>
              <w:t>04-001-08-05-01 (PP)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4B4468" w14:textId="2AEEB536" w:rsidR="00AC6814" w:rsidRPr="00364098" w:rsidRDefault="00AC6814" w:rsidP="00192F6E">
            <w:pPr>
              <w:jc w:val="both"/>
              <w:rPr>
                <w:b/>
                <w:color w:val="000000" w:themeColor="text1"/>
                <w:sz w:val="20"/>
              </w:rPr>
            </w:pPr>
            <w:r w:rsidRPr="00364098">
              <w:rPr>
                <w:b/>
                <w:color w:val="000000" w:themeColor="text1"/>
                <w:sz w:val="20"/>
              </w:rPr>
              <w:t xml:space="preserve">Tobulinti vidutinės trukmės biudžeto </w:t>
            </w:r>
            <w:r w:rsidR="00AC4499">
              <w:rPr>
                <w:b/>
                <w:color w:val="000000" w:themeColor="text1"/>
                <w:sz w:val="20"/>
              </w:rPr>
              <w:t>sistemą</w:t>
            </w:r>
          </w:p>
          <w:p w14:paraId="738C1BC0" w14:textId="77777777" w:rsidR="00AC6814" w:rsidRPr="00364098" w:rsidRDefault="00AC6814" w:rsidP="00192F6E">
            <w:pPr>
              <w:jc w:val="both"/>
              <w:rPr>
                <w:rFonts w:eastAsia="Calibri"/>
                <w:b/>
                <w:color w:val="808080"/>
                <w:sz w:val="20"/>
                <w:szCs w:val="22"/>
              </w:rPr>
            </w:pP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18A03" w14:textId="77777777" w:rsidR="00AC6814" w:rsidRPr="00F004D3" w:rsidRDefault="00AC6814" w:rsidP="001C77C5">
            <w:pPr>
              <w:rPr>
                <w:color w:val="000000" w:themeColor="text1"/>
                <w:sz w:val="20"/>
              </w:rPr>
            </w:pPr>
            <w:r w:rsidRPr="00F004D3">
              <w:rPr>
                <w:color w:val="000000" w:themeColor="text1"/>
                <w:sz w:val="20"/>
              </w:rPr>
              <w:t>8.</w:t>
            </w:r>
            <w:r>
              <w:rPr>
                <w:color w:val="000000" w:themeColor="text1"/>
                <w:sz w:val="20"/>
              </w:rPr>
              <w:t>5</w:t>
            </w:r>
            <w:r w:rsidRPr="00F004D3">
              <w:rPr>
                <w:color w:val="000000" w:themeColor="text1"/>
                <w:sz w:val="20"/>
              </w:rPr>
              <w:t xml:space="preserve">. Didinti viešųjų finansų ir valstybės turto </w:t>
            </w:r>
          </w:p>
          <w:p w14:paraId="78E87944" w14:textId="77777777" w:rsidR="00AC6814" w:rsidRDefault="00AC6814" w:rsidP="001C77C5">
            <w:pPr>
              <w:rPr>
                <w:rFonts w:eastAsia="Calibri"/>
                <w:i/>
                <w:color w:val="808080"/>
                <w:sz w:val="20"/>
                <w:szCs w:val="22"/>
              </w:rPr>
            </w:pPr>
            <w:r w:rsidRPr="00F004D3">
              <w:rPr>
                <w:color w:val="000000" w:themeColor="text1"/>
                <w:sz w:val="20"/>
              </w:rPr>
              <w:t>valdymo ir panaudojimo efektyvumą</w:t>
            </w:r>
            <w:r>
              <w:rPr>
                <w:rFonts w:eastAsia="Calibri"/>
                <w:i/>
                <w:color w:val="808080"/>
                <w:sz w:val="20"/>
                <w:szCs w:val="22"/>
              </w:rPr>
              <w:t xml:space="preserve"> 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1204A" w14:textId="77777777" w:rsidR="00AC6814" w:rsidRPr="008D1DB1" w:rsidRDefault="008D1DB1" w:rsidP="008D1DB1">
            <w:pPr>
              <w:rPr>
                <w:rFonts w:eastAsia="Calibri"/>
                <w:i/>
                <w:color w:val="808080"/>
                <w:sz w:val="20"/>
              </w:rPr>
            </w:pPr>
            <w:r w:rsidRPr="00237141">
              <w:rPr>
                <w:sz w:val="20"/>
              </w:rPr>
              <w:t>8.6.</w:t>
            </w:r>
            <w:r w:rsidRPr="008D1DB1">
              <w:rPr>
                <w:sz w:val="20"/>
              </w:rPr>
              <w:t xml:space="preserve"> Gerinti </w:t>
            </w:r>
            <w:r w:rsidRPr="008D1DB1">
              <w:rPr>
                <w:bCs/>
                <w:sz w:val="20"/>
              </w:rPr>
              <w:t xml:space="preserve">viešojo valdymo institucijų teikiamų </w:t>
            </w:r>
            <w:r w:rsidRPr="008D1DB1">
              <w:rPr>
                <w:sz w:val="20"/>
              </w:rPr>
              <w:t xml:space="preserve">paslaugų kokybę, didinti jų prieinamumą ir </w:t>
            </w:r>
            <w:r w:rsidRPr="008D1DB1">
              <w:rPr>
                <w:bCs/>
                <w:sz w:val="20"/>
              </w:rPr>
              <w:t>patrauklumą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C070A7" w14:textId="77777777" w:rsidR="00AC6814" w:rsidRPr="005F2FBE" w:rsidRDefault="00AC6814" w:rsidP="000A702F">
            <w:pPr>
              <w:jc w:val="center"/>
              <w:rPr>
                <w:rFonts w:eastAsia="Calibri"/>
                <w:sz w:val="20"/>
                <w:szCs w:val="22"/>
              </w:rPr>
            </w:pPr>
            <w:r w:rsidRPr="005F2FBE">
              <w:rPr>
                <w:rFonts w:eastAsia="Calibri"/>
                <w:sz w:val="20"/>
                <w:szCs w:val="22"/>
              </w:rPr>
              <w:t>–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AE923B" w14:textId="77777777" w:rsidR="00AC6814" w:rsidRPr="005F2FBE" w:rsidRDefault="005F2FBE" w:rsidP="005F2FBE">
            <w:pPr>
              <w:jc w:val="center"/>
              <w:rPr>
                <w:rFonts w:eastAsia="Calibri"/>
                <w:i/>
                <w:sz w:val="20"/>
                <w:szCs w:val="22"/>
              </w:rPr>
            </w:pPr>
            <w:r w:rsidRPr="005F2FBE">
              <w:rPr>
                <w:rFonts w:eastAsia="Calibri"/>
                <w:i/>
                <w:sz w:val="20"/>
                <w:szCs w:val="22"/>
              </w:rPr>
              <w:t>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B9ED" w14:textId="77777777" w:rsidR="00AC6814" w:rsidRPr="001C77C5" w:rsidRDefault="00AC6814" w:rsidP="00865862">
            <w:pPr>
              <w:rPr>
                <w:color w:val="000000" w:themeColor="text1"/>
                <w:sz w:val="20"/>
              </w:rPr>
            </w:pPr>
            <w:r w:rsidRPr="001C77C5">
              <w:rPr>
                <w:color w:val="000000" w:themeColor="text1"/>
                <w:sz w:val="20"/>
              </w:rPr>
              <w:t>Nacionalinio vidutinės trukmės fiskalinio plano ir metinio biudžeto sąsajos stiprumas (balai)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5806E" w14:textId="77777777" w:rsidR="00AC6814" w:rsidRDefault="00AC6814" w:rsidP="00BD69AD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</w:t>
            </w:r>
          </w:p>
          <w:p w14:paraId="777CD2CD" w14:textId="4046D685" w:rsidR="00AC6814" w:rsidRDefault="00AC6814" w:rsidP="00BD69AD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(2019</w:t>
            </w:r>
            <w:r w:rsidR="00405A65">
              <w:rPr>
                <w:color w:val="000000" w:themeColor="text1"/>
                <w:sz w:val="20"/>
              </w:rPr>
              <w:t xml:space="preserve"> m.</w:t>
            </w:r>
            <w:r>
              <w:rPr>
                <w:color w:val="000000" w:themeColor="text1"/>
                <w:sz w:val="20"/>
              </w:rPr>
              <w:t>)</w:t>
            </w:r>
          </w:p>
          <w:p w14:paraId="0AAFF052" w14:textId="77777777" w:rsidR="00AC6814" w:rsidRPr="001C77C5" w:rsidRDefault="00AC6814" w:rsidP="00BD69AD">
            <w:pPr>
              <w:jc w:val="center"/>
              <w:rPr>
                <w:color w:val="000000" w:themeColor="text1"/>
                <w:sz w:val="20"/>
              </w:rPr>
            </w:pPr>
          </w:p>
          <w:p w14:paraId="1AA3385B" w14:textId="77777777" w:rsidR="00AC6814" w:rsidRDefault="00AC6814" w:rsidP="00BD69AD">
            <w:pPr>
              <w:jc w:val="center"/>
              <w:rPr>
                <w:color w:val="000000" w:themeColor="text1"/>
                <w:sz w:val="20"/>
              </w:rPr>
            </w:pPr>
          </w:p>
          <w:p w14:paraId="02B5C83D" w14:textId="77777777" w:rsidR="00AC6814" w:rsidRPr="001C77C5" w:rsidRDefault="00AC6814" w:rsidP="00BD69AD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F8316" w14:textId="77777777" w:rsidR="00AC6814" w:rsidRDefault="00AC6814" w:rsidP="00BD69AD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</w:t>
            </w:r>
          </w:p>
          <w:p w14:paraId="3DE49BF1" w14:textId="77777777" w:rsidR="00AC6814" w:rsidRDefault="00AC6814" w:rsidP="00BD69AD">
            <w:pPr>
              <w:jc w:val="center"/>
              <w:rPr>
                <w:color w:val="000000" w:themeColor="text1"/>
                <w:sz w:val="20"/>
              </w:rPr>
            </w:pPr>
          </w:p>
          <w:p w14:paraId="063F38D5" w14:textId="77777777" w:rsidR="00AC6814" w:rsidRDefault="00AC6814" w:rsidP="00BD69AD">
            <w:pPr>
              <w:jc w:val="center"/>
              <w:rPr>
                <w:color w:val="000000" w:themeColor="text1"/>
                <w:sz w:val="20"/>
              </w:rPr>
            </w:pPr>
          </w:p>
          <w:p w14:paraId="4273F368" w14:textId="77777777" w:rsidR="00AC6814" w:rsidRDefault="00AC6814" w:rsidP="00BD69AD">
            <w:pPr>
              <w:jc w:val="center"/>
              <w:rPr>
                <w:color w:val="000000" w:themeColor="text1"/>
                <w:sz w:val="20"/>
              </w:rPr>
            </w:pPr>
          </w:p>
          <w:p w14:paraId="754DC72D" w14:textId="77777777" w:rsidR="00AC6814" w:rsidRPr="001C77C5" w:rsidRDefault="00AC6814" w:rsidP="00BD69AD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DF06DA" w14:textId="309FCDB4" w:rsidR="00AC6814" w:rsidRPr="001C77C5" w:rsidRDefault="00AC6814" w:rsidP="00405A65">
            <w:pPr>
              <w:jc w:val="both"/>
              <w:rPr>
                <w:color w:val="000000" w:themeColor="text1"/>
                <w:sz w:val="20"/>
              </w:rPr>
            </w:pPr>
            <w:r w:rsidRPr="001C77C5">
              <w:rPr>
                <w:color w:val="000000" w:themeColor="text1"/>
                <w:sz w:val="20"/>
              </w:rPr>
              <w:t>LRV ĮP</w:t>
            </w:r>
            <w:r w:rsidR="00405A65">
              <w:rPr>
                <w:color w:val="000000" w:themeColor="text1"/>
                <w:sz w:val="20"/>
              </w:rPr>
              <w:t>;</w:t>
            </w:r>
            <w:r w:rsidR="004975D7">
              <w:rPr>
                <w:color w:val="000000" w:themeColor="text1"/>
                <w:sz w:val="20"/>
              </w:rPr>
              <w:t xml:space="preserve"> </w:t>
            </w:r>
            <w:r w:rsidR="007674D4">
              <w:rPr>
                <w:color w:val="000000" w:themeColor="text1"/>
                <w:sz w:val="20"/>
              </w:rPr>
              <w:t>inovatyvumo</w:t>
            </w:r>
            <w:r w:rsidR="00D61FFF">
              <w:rPr>
                <w:color w:val="000000" w:themeColor="text1"/>
                <w:sz w:val="20"/>
              </w:rPr>
              <w:t xml:space="preserve"> (kūrybingumo)</w:t>
            </w:r>
            <w:r w:rsidR="007674D4">
              <w:rPr>
                <w:color w:val="000000" w:themeColor="text1"/>
                <w:sz w:val="20"/>
              </w:rPr>
              <w:t xml:space="preserve"> </w:t>
            </w:r>
            <w:r w:rsidR="004975D7">
              <w:rPr>
                <w:color w:val="000000" w:themeColor="text1"/>
                <w:sz w:val="20"/>
              </w:rPr>
              <w:t xml:space="preserve"> HP</w:t>
            </w:r>
          </w:p>
        </w:tc>
      </w:tr>
      <w:tr w:rsidR="00AC6814" w14:paraId="30703E07" w14:textId="77777777" w:rsidTr="00954F11">
        <w:trPr>
          <w:trHeight w:val="414"/>
        </w:trPr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F2164" w14:textId="77777777" w:rsidR="00AC6814" w:rsidRPr="00A669A2" w:rsidRDefault="00AC6814" w:rsidP="00C56C31">
            <w:pPr>
              <w:jc w:val="both"/>
              <w:rPr>
                <w:sz w:val="20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0B5F2" w14:textId="77777777" w:rsidR="00AC6814" w:rsidRPr="00B825FE" w:rsidRDefault="00AC6814" w:rsidP="00A41A0C">
            <w:pPr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0DCBC" w14:textId="77777777" w:rsidR="00AC6814" w:rsidRPr="00F004D3" w:rsidRDefault="00AC6814" w:rsidP="00A41A0C">
            <w:pPr>
              <w:rPr>
                <w:color w:val="000000" w:themeColor="text1"/>
                <w:sz w:val="20"/>
              </w:rPr>
            </w:pPr>
          </w:p>
        </w:tc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0C747" w14:textId="77777777" w:rsidR="00AC6814" w:rsidRDefault="00AC6814" w:rsidP="000A702F">
            <w:pPr>
              <w:jc w:val="center"/>
              <w:rPr>
                <w:sz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9C45C" w14:textId="77777777" w:rsidR="00AC6814" w:rsidRDefault="00AC6814" w:rsidP="000A702F">
            <w:pPr>
              <w:jc w:val="center"/>
              <w:rPr>
                <w:sz w:val="20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EE7E6" w14:textId="77777777" w:rsidR="00AC6814" w:rsidRDefault="00AC6814" w:rsidP="00A41A0C">
            <w:pPr>
              <w:rPr>
                <w:sz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1A4E" w14:textId="20A44F93" w:rsidR="000C3A28" w:rsidRPr="005731EC" w:rsidRDefault="000C3A28" w:rsidP="00147F8A">
            <w:pPr>
              <w:rPr>
                <w:color w:val="FF0000"/>
                <w:sz w:val="20"/>
              </w:rPr>
            </w:pPr>
            <w:r w:rsidRPr="0009194A">
              <w:rPr>
                <w:rFonts w:eastAsiaTheme="minorHAnsi"/>
                <w:bCs/>
                <w:color w:val="000000"/>
                <w:sz w:val="20"/>
              </w:rPr>
              <w:t xml:space="preserve">Tęstinės veiklos lėšų dalis valstybės biudžete, suplanuota taikant metodines rekomendacijas ir </w:t>
            </w:r>
            <w:r w:rsidR="00147F8A">
              <w:rPr>
                <w:rFonts w:eastAsiaTheme="minorHAnsi"/>
                <w:bCs/>
                <w:color w:val="000000"/>
                <w:sz w:val="20"/>
              </w:rPr>
              <w:t>informacinių technologijų priemones</w:t>
            </w:r>
            <w:r w:rsidRPr="0009194A">
              <w:rPr>
                <w:rFonts w:eastAsiaTheme="minorHAnsi"/>
                <w:bCs/>
                <w:color w:val="000000"/>
                <w:sz w:val="20"/>
              </w:rPr>
              <w:t xml:space="preserve"> (proc.)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DB35" w14:textId="0AC0FB8F" w:rsidR="00AC6814" w:rsidRDefault="000E06AB" w:rsidP="00AC6814">
            <w:pPr>
              <w:jc w:val="center"/>
              <w:rPr>
                <w:sz w:val="20"/>
              </w:rPr>
            </w:pPr>
            <w:r w:rsidRPr="000E06AB">
              <w:rPr>
                <w:sz w:val="20"/>
              </w:rPr>
              <w:t>0</w:t>
            </w:r>
          </w:p>
          <w:p w14:paraId="174EAAC5" w14:textId="791904FB" w:rsidR="00541E14" w:rsidRPr="000E06AB" w:rsidRDefault="00541E14" w:rsidP="00AC68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(2021</w:t>
            </w:r>
            <w:r w:rsidR="00405A65">
              <w:rPr>
                <w:sz w:val="20"/>
              </w:rPr>
              <w:t xml:space="preserve"> m.</w:t>
            </w:r>
            <w:r>
              <w:rPr>
                <w:sz w:val="20"/>
              </w:rPr>
              <w:t>)</w:t>
            </w:r>
          </w:p>
          <w:p w14:paraId="008A54ED" w14:textId="77777777" w:rsidR="00AC6814" w:rsidRPr="000E06AB" w:rsidRDefault="00AC6814" w:rsidP="00AC6814">
            <w:pPr>
              <w:jc w:val="center"/>
              <w:rPr>
                <w:sz w:val="20"/>
              </w:rPr>
            </w:pPr>
          </w:p>
          <w:p w14:paraId="55E8C550" w14:textId="77777777" w:rsidR="00AC6814" w:rsidRPr="000E06AB" w:rsidRDefault="00AC6814" w:rsidP="00BD69AD">
            <w:pPr>
              <w:jc w:val="center"/>
              <w:rPr>
                <w:sz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2B8A" w14:textId="7AD264BC" w:rsidR="00AC6814" w:rsidRPr="000E06AB" w:rsidRDefault="000C3A28" w:rsidP="000C3A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5440C" w14:textId="77777777" w:rsidR="00AC6814" w:rsidRPr="0019307A" w:rsidRDefault="00AC6814" w:rsidP="005E5E21">
            <w:pPr>
              <w:rPr>
                <w:sz w:val="20"/>
              </w:rPr>
            </w:pPr>
          </w:p>
        </w:tc>
      </w:tr>
      <w:tr w:rsidR="00AC6814" w14:paraId="5DE99270" w14:textId="77777777" w:rsidTr="00954F11">
        <w:trPr>
          <w:trHeight w:val="414"/>
        </w:trPr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58D4" w14:textId="77777777" w:rsidR="00AC6814" w:rsidRPr="00A669A2" w:rsidRDefault="00AC6814" w:rsidP="00C56C31">
            <w:pPr>
              <w:jc w:val="both"/>
              <w:rPr>
                <w:sz w:val="20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9608" w14:textId="77777777" w:rsidR="00AC6814" w:rsidRPr="00B825FE" w:rsidRDefault="00AC6814" w:rsidP="00A41A0C">
            <w:pPr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4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82A6" w14:textId="77777777" w:rsidR="00AC6814" w:rsidRPr="00F004D3" w:rsidRDefault="00AC6814" w:rsidP="00A41A0C">
            <w:pPr>
              <w:rPr>
                <w:color w:val="000000" w:themeColor="text1"/>
                <w:sz w:val="20"/>
              </w:rPr>
            </w:pPr>
          </w:p>
        </w:tc>
        <w:tc>
          <w:tcPr>
            <w:tcW w:w="5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2108" w14:textId="77777777" w:rsidR="00AC6814" w:rsidRDefault="00AC6814" w:rsidP="000A702F">
            <w:pPr>
              <w:jc w:val="center"/>
              <w:rPr>
                <w:sz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D3CD" w14:textId="77777777" w:rsidR="00AC6814" w:rsidRDefault="00AC6814" w:rsidP="000A702F">
            <w:pPr>
              <w:jc w:val="center"/>
              <w:rPr>
                <w:sz w:val="20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132C" w14:textId="77777777" w:rsidR="00AC6814" w:rsidRDefault="00AC6814" w:rsidP="00A41A0C">
            <w:pPr>
              <w:rPr>
                <w:sz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6590" w14:textId="1E09C85D" w:rsidR="00AC6814" w:rsidRPr="00C7184E" w:rsidRDefault="00AC6814" w:rsidP="008D6D75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NPP dalyvių, dirbančių su </w:t>
            </w:r>
            <w:r w:rsidR="008D6D75">
              <w:rPr>
                <w:color w:val="000000" w:themeColor="text1"/>
                <w:sz w:val="20"/>
              </w:rPr>
              <w:t xml:space="preserve">viešųjų finansų </w:t>
            </w:r>
            <w:r>
              <w:rPr>
                <w:color w:val="000000" w:themeColor="text1"/>
                <w:sz w:val="20"/>
              </w:rPr>
              <w:t>planavimu ir (ar) įgyvendinimu, nurodžiusių, kad jų kompetenci</w:t>
            </w:r>
            <w:r w:rsidR="00942526">
              <w:rPr>
                <w:color w:val="000000" w:themeColor="text1"/>
                <w:sz w:val="20"/>
              </w:rPr>
              <w:t xml:space="preserve">ja tose srityse pagerėjo, </w:t>
            </w:r>
            <w:r w:rsidR="009D1DE3">
              <w:rPr>
                <w:color w:val="000000" w:themeColor="text1"/>
                <w:sz w:val="20"/>
              </w:rPr>
              <w:t xml:space="preserve">dalis </w:t>
            </w:r>
            <w:r w:rsidR="00942526">
              <w:rPr>
                <w:color w:val="000000" w:themeColor="text1"/>
                <w:sz w:val="20"/>
              </w:rPr>
              <w:t>(balai</w:t>
            </w:r>
            <w:r>
              <w:rPr>
                <w:color w:val="000000" w:themeColor="text1"/>
                <w:sz w:val="20"/>
              </w:rPr>
              <w:t>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1258" w14:textId="5A8D6EB3" w:rsidR="00942526" w:rsidRDefault="00942526" w:rsidP="00BD69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3,8</w:t>
            </w:r>
          </w:p>
          <w:p w14:paraId="523362F4" w14:textId="1BA1D4AD" w:rsidR="00AC6814" w:rsidRPr="00C7184E" w:rsidRDefault="00942526" w:rsidP="008259D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(2021 m. </w:t>
            </w:r>
            <w:r w:rsidR="008259D1">
              <w:rPr>
                <w:sz w:val="20"/>
              </w:rPr>
              <w:t>į</w:t>
            </w:r>
            <w:r w:rsidR="008259D1" w:rsidRPr="00582895">
              <w:rPr>
                <w:color w:val="000000" w:themeColor="text1"/>
                <w:sz w:val="20"/>
              </w:rPr>
              <w:t xml:space="preserve">vertinus agentūrų ir ministerijų apklausos duomenis nustatytas bendras strateginio valdymo sistemos dalyvių investicijų </w:t>
            </w:r>
            <w:r w:rsidR="008259D1" w:rsidRPr="00582895">
              <w:rPr>
                <w:color w:val="000000" w:themeColor="text1"/>
                <w:sz w:val="20"/>
              </w:rPr>
              <w:lastRenderedPageBreak/>
              <w:t>planavimo ir rengimo kompetencijos įvertis</w:t>
            </w:r>
            <w:r>
              <w:rPr>
                <w:sz w:val="20"/>
              </w:rPr>
              <w:t>)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1232" w14:textId="77777777" w:rsidR="00AC6814" w:rsidRPr="00C7184E" w:rsidRDefault="00942526" w:rsidP="00BD69AD">
            <w:pPr>
              <w:jc w:val="center"/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lastRenderedPageBreak/>
              <w:t>4,5</w:t>
            </w:r>
          </w:p>
        </w:tc>
        <w:tc>
          <w:tcPr>
            <w:tcW w:w="5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BCB0" w14:textId="77777777" w:rsidR="00AC6814" w:rsidRPr="0019307A" w:rsidRDefault="00AC6814" w:rsidP="005E5E21">
            <w:pPr>
              <w:rPr>
                <w:sz w:val="20"/>
              </w:rPr>
            </w:pPr>
          </w:p>
        </w:tc>
      </w:tr>
      <w:tr w:rsidR="00865862" w14:paraId="382BE397" w14:textId="77777777" w:rsidTr="00954F11">
        <w:trPr>
          <w:trHeight w:val="414"/>
        </w:trPr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3BF1B" w14:textId="77777777" w:rsidR="00865862" w:rsidRPr="008806D0" w:rsidRDefault="00865862" w:rsidP="00C56C31">
            <w:pPr>
              <w:jc w:val="both"/>
              <w:rPr>
                <w:rFonts w:eastAsia="Calibri"/>
                <w:sz w:val="20"/>
              </w:rPr>
            </w:pPr>
            <w:r w:rsidRPr="00A669A2">
              <w:rPr>
                <w:sz w:val="20"/>
              </w:rPr>
              <w:lastRenderedPageBreak/>
              <w:t>04-001-08-05-02 (PP)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E768A4" w14:textId="020DEE6A" w:rsidR="00865862" w:rsidRPr="00976FCD" w:rsidRDefault="00865862" w:rsidP="00A41A0C">
            <w:pPr>
              <w:jc w:val="both"/>
              <w:rPr>
                <w:b/>
                <w:color w:val="000000" w:themeColor="text1"/>
                <w:sz w:val="20"/>
              </w:rPr>
            </w:pPr>
            <w:r w:rsidRPr="00976FCD">
              <w:rPr>
                <w:b/>
                <w:color w:val="000000" w:themeColor="text1"/>
                <w:sz w:val="20"/>
              </w:rPr>
              <w:t>Didinti (gerinti) mokestinių prievolių vykdymą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642C1" w14:textId="77777777" w:rsidR="00865862" w:rsidRPr="00F004D3" w:rsidRDefault="00865862" w:rsidP="00A41A0C">
            <w:pPr>
              <w:rPr>
                <w:color w:val="000000" w:themeColor="text1"/>
                <w:sz w:val="20"/>
              </w:rPr>
            </w:pPr>
            <w:r w:rsidRPr="00F004D3">
              <w:rPr>
                <w:color w:val="000000" w:themeColor="text1"/>
                <w:sz w:val="20"/>
              </w:rPr>
              <w:t>8.</w:t>
            </w:r>
            <w:r>
              <w:rPr>
                <w:color w:val="000000" w:themeColor="text1"/>
                <w:sz w:val="20"/>
              </w:rPr>
              <w:t>5</w:t>
            </w:r>
            <w:r w:rsidRPr="00F004D3">
              <w:rPr>
                <w:color w:val="000000" w:themeColor="text1"/>
                <w:sz w:val="20"/>
              </w:rPr>
              <w:t xml:space="preserve">. Didinti viešųjų finansų ir valstybės turto </w:t>
            </w:r>
          </w:p>
          <w:p w14:paraId="655BC499" w14:textId="77777777" w:rsidR="00865862" w:rsidRPr="00F004D3" w:rsidRDefault="00865862" w:rsidP="00A41A0C">
            <w:pPr>
              <w:rPr>
                <w:sz w:val="20"/>
              </w:rPr>
            </w:pPr>
            <w:r w:rsidRPr="00F004D3">
              <w:rPr>
                <w:color w:val="000000" w:themeColor="text1"/>
                <w:sz w:val="20"/>
              </w:rPr>
              <w:t>valdymo ir panaudojimo efektyvumą</w:t>
            </w:r>
            <w:r w:rsidRPr="00F004D3">
              <w:rPr>
                <w:sz w:val="20"/>
              </w:rPr>
              <w:t xml:space="preserve"> 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1FD4C" w14:textId="77777777" w:rsidR="00865862" w:rsidRPr="008D1DB1" w:rsidRDefault="008D1DB1" w:rsidP="008D1DB1">
            <w:pPr>
              <w:rPr>
                <w:sz w:val="20"/>
              </w:rPr>
            </w:pPr>
            <w:r w:rsidRPr="00237141">
              <w:rPr>
                <w:color w:val="000000"/>
                <w:sz w:val="20"/>
              </w:rPr>
              <w:t>10.6.</w:t>
            </w:r>
            <w:r w:rsidRPr="008D1DB1">
              <w:rPr>
                <w:color w:val="000000"/>
                <w:sz w:val="20"/>
              </w:rPr>
              <w:t xml:space="preserve"> Padidinti ES išorės sienos kontrolės veiksmingumą ir sustiprinti neteisėtos migracijos prevenciją ir kontrolę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AF0CAC" w14:textId="77777777" w:rsidR="00865862" w:rsidRPr="00F004D3" w:rsidRDefault="00865862" w:rsidP="000A7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8607EF" w14:textId="058A4506" w:rsidR="00865862" w:rsidRDefault="00B23361" w:rsidP="00A41A0C">
            <w:pPr>
              <w:rPr>
                <w:sz w:val="20"/>
              </w:rPr>
            </w:pPr>
            <w:r>
              <w:rPr>
                <w:sz w:val="20"/>
              </w:rPr>
              <w:t>Lietuvos Respublikos e</w:t>
            </w:r>
            <w:r w:rsidR="00865862">
              <w:rPr>
                <w:sz w:val="20"/>
              </w:rPr>
              <w:t>konomikos ir inovacijų ministerija</w:t>
            </w:r>
            <w:r>
              <w:rPr>
                <w:sz w:val="20"/>
              </w:rPr>
              <w:t xml:space="preserve"> (toliau – EIM)</w:t>
            </w:r>
            <w:r w:rsidR="00865862">
              <w:rPr>
                <w:sz w:val="20"/>
              </w:rPr>
              <w:t xml:space="preserve">, </w:t>
            </w:r>
            <w:r w:rsidR="009D1DE3">
              <w:rPr>
                <w:sz w:val="20"/>
              </w:rPr>
              <w:t xml:space="preserve">Lietuvos Respublikos vidaus reikalų ministerija (toliau – </w:t>
            </w:r>
            <w:r w:rsidR="00865862">
              <w:rPr>
                <w:sz w:val="20"/>
              </w:rPr>
              <w:t>V</w:t>
            </w:r>
            <w:r>
              <w:rPr>
                <w:sz w:val="20"/>
              </w:rPr>
              <w:t>RM</w:t>
            </w:r>
            <w:r w:rsidR="009D1DE3">
              <w:rPr>
                <w:sz w:val="20"/>
              </w:rPr>
              <w:t>)</w:t>
            </w:r>
            <w:r>
              <w:rPr>
                <w:sz w:val="20"/>
              </w:rPr>
              <w:t>,</w:t>
            </w:r>
            <w:r w:rsidR="00865862">
              <w:rPr>
                <w:sz w:val="20"/>
              </w:rPr>
              <w:t xml:space="preserve"> </w:t>
            </w:r>
            <w:r>
              <w:rPr>
                <w:sz w:val="20"/>
              </w:rPr>
              <w:t>Lietuvos Respublikos s</w:t>
            </w:r>
            <w:r w:rsidR="00865862">
              <w:rPr>
                <w:sz w:val="20"/>
              </w:rPr>
              <w:t>usisiekimo ministerija</w:t>
            </w:r>
            <w:r>
              <w:rPr>
                <w:sz w:val="20"/>
              </w:rPr>
              <w:t xml:space="preserve"> (toliau – SM)</w:t>
            </w:r>
            <w:r w:rsidR="00865862">
              <w:rPr>
                <w:sz w:val="20"/>
              </w:rPr>
              <w:t>,</w:t>
            </w:r>
          </w:p>
          <w:p w14:paraId="3DEB59C7" w14:textId="77777777" w:rsidR="00865862" w:rsidRPr="00F004D3" w:rsidRDefault="00B23361" w:rsidP="00B23361">
            <w:pPr>
              <w:rPr>
                <w:sz w:val="20"/>
              </w:rPr>
            </w:pPr>
            <w:r>
              <w:rPr>
                <w:sz w:val="20"/>
              </w:rPr>
              <w:t>Lietuvos Respublikos š</w:t>
            </w:r>
            <w:r w:rsidR="00865862">
              <w:rPr>
                <w:sz w:val="20"/>
              </w:rPr>
              <w:t>vietimo</w:t>
            </w:r>
            <w:r w:rsidR="005F2FBE">
              <w:rPr>
                <w:sz w:val="20"/>
              </w:rPr>
              <w:t>, mokslo ir sporto ministerija</w:t>
            </w:r>
            <w:r>
              <w:rPr>
                <w:sz w:val="20"/>
              </w:rPr>
              <w:t xml:space="preserve"> (toliau – ŠMSM)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00E2C" w14:textId="07CAE3D7" w:rsidR="00865862" w:rsidRPr="00C7184E" w:rsidRDefault="00865862" w:rsidP="00A41A0C">
            <w:pPr>
              <w:rPr>
                <w:sz w:val="20"/>
              </w:rPr>
            </w:pPr>
            <w:r w:rsidRPr="00C7184E">
              <w:rPr>
                <w:sz w:val="20"/>
              </w:rPr>
              <w:t xml:space="preserve">Neišnaudoto PVM potencialo įvertis (proc.) </w:t>
            </w:r>
          </w:p>
          <w:p w14:paraId="168C7086" w14:textId="77777777" w:rsidR="00865862" w:rsidRPr="00C7184E" w:rsidRDefault="00865862" w:rsidP="00A41A0C">
            <w:pPr>
              <w:rPr>
                <w:rFonts w:eastAsiaTheme="minorHAnsi"/>
                <w:sz w:val="20"/>
              </w:rPr>
            </w:pPr>
          </w:p>
          <w:p w14:paraId="24C5838C" w14:textId="77777777" w:rsidR="00865862" w:rsidRDefault="00865862" w:rsidP="00A41A0C">
            <w:pPr>
              <w:rPr>
                <w:rFonts w:eastAsiaTheme="minorHAnsi"/>
                <w:sz w:val="20"/>
              </w:rPr>
            </w:pPr>
          </w:p>
          <w:p w14:paraId="4854548C" w14:textId="77777777" w:rsidR="00865862" w:rsidRDefault="00865862" w:rsidP="00A41A0C">
            <w:pPr>
              <w:rPr>
                <w:rFonts w:eastAsiaTheme="minorHAnsi"/>
                <w:sz w:val="20"/>
              </w:rPr>
            </w:pPr>
          </w:p>
          <w:p w14:paraId="663C4BA9" w14:textId="77777777" w:rsidR="00865862" w:rsidRDefault="00865862" w:rsidP="00A41A0C">
            <w:pPr>
              <w:rPr>
                <w:rFonts w:eastAsiaTheme="minorHAnsi"/>
                <w:sz w:val="20"/>
              </w:rPr>
            </w:pPr>
          </w:p>
          <w:p w14:paraId="322F7334" w14:textId="77777777" w:rsidR="00865862" w:rsidRPr="00C7184E" w:rsidRDefault="00865862" w:rsidP="00A41A0C">
            <w:pPr>
              <w:rPr>
                <w:rFonts w:eastAsiaTheme="minorHAnsi"/>
                <w:sz w:val="20"/>
              </w:rPr>
            </w:pPr>
          </w:p>
          <w:p w14:paraId="61635F71" w14:textId="77777777" w:rsidR="00865862" w:rsidRPr="00C7184E" w:rsidRDefault="00865862" w:rsidP="00865862">
            <w:pPr>
              <w:rPr>
                <w:sz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14BD1" w14:textId="7EDCC0FC" w:rsidR="00865862" w:rsidRPr="00C7184E" w:rsidRDefault="00865862" w:rsidP="00BD69AD">
            <w:pPr>
              <w:jc w:val="center"/>
              <w:rPr>
                <w:sz w:val="20"/>
              </w:rPr>
            </w:pPr>
            <w:r w:rsidRPr="00C7184E">
              <w:rPr>
                <w:sz w:val="20"/>
              </w:rPr>
              <w:t>25,9</w:t>
            </w:r>
          </w:p>
          <w:p w14:paraId="15D65BA2" w14:textId="242E562F" w:rsidR="00865862" w:rsidRPr="00C7184E" w:rsidRDefault="00865862" w:rsidP="00D86808">
            <w:pPr>
              <w:jc w:val="center"/>
              <w:rPr>
                <w:sz w:val="20"/>
              </w:rPr>
            </w:pPr>
            <w:r w:rsidRPr="00C7184E">
              <w:rPr>
                <w:sz w:val="20"/>
              </w:rPr>
              <w:t>(2018</w:t>
            </w:r>
            <w:r w:rsidR="00405A65">
              <w:rPr>
                <w:sz w:val="20"/>
              </w:rPr>
              <w:t xml:space="preserve"> m.</w:t>
            </w:r>
            <w:r w:rsidR="008259D1">
              <w:rPr>
                <w:sz w:val="20"/>
              </w:rPr>
              <w:t xml:space="preserve"> </w:t>
            </w:r>
            <w:r w:rsidR="008259D1" w:rsidRPr="00582895">
              <w:rPr>
                <w:bCs/>
                <w:sz w:val="20"/>
              </w:rPr>
              <w:t>Socialinių ir ekonominių tyrimų centro t</w:t>
            </w:r>
            <w:r w:rsidR="008259D1" w:rsidRPr="00582895">
              <w:rPr>
                <w:sz w:val="20"/>
              </w:rPr>
              <w:t>yrimo duomenys</w:t>
            </w:r>
            <w:r w:rsidR="0009194A" w:rsidRPr="008259D1">
              <w:rPr>
                <w:sz w:val="20"/>
              </w:rPr>
              <w:t>)</w:t>
            </w:r>
            <w:r w:rsidRPr="00C7184E">
              <w:rPr>
                <w:sz w:val="20"/>
              </w:rPr>
              <w:t xml:space="preserve">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60CFF" w14:textId="77777777" w:rsidR="00865862" w:rsidRPr="00C7184E" w:rsidRDefault="00865862" w:rsidP="00BD69AD">
            <w:pPr>
              <w:jc w:val="center"/>
              <w:rPr>
                <w:sz w:val="20"/>
              </w:rPr>
            </w:pPr>
            <w:r w:rsidRPr="00C7184E">
              <w:rPr>
                <w:sz w:val="20"/>
              </w:rPr>
              <w:t>10</w:t>
            </w:r>
          </w:p>
          <w:p w14:paraId="40AD86DA" w14:textId="77777777" w:rsidR="00865862" w:rsidRPr="00C7184E" w:rsidRDefault="00865862" w:rsidP="00BD69AD">
            <w:pPr>
              <w:jc w:val="center"/>
              <w:rPr>
                <w:sz w:val="20"/>
              </w:rPr>
            </w:pPr>
          </w:p>
          <w:p w14:paraId="5C1B2878" w14:textId="77777777" w:rsidR="00865862" w:rsidRPr="00C7184E" w:rsidRDefault="00865862" w:rsidP="00BD69AD">
            <w:pPr>
              <w:jc w:val="center"/>
              <w:rPr>
                <w:sz w:val="20"/>
              </w:rPr>
            </w:pPr>
          </w:p>
          <w:p w14:paraId="18EC642E" w14:textId="77777777" w:rsidR="00865862" w:rsidRDefault="00865862" w:rsidP="00BD69AD">
            <w:pPr>
              <w:jc w:val="center"/>
              <w:rPr>
                <w:sz w:val="20"/>
              </w:rPr>
            </w:pPr>
          </w:p>
          <w:p w14:paraId="3FCBF15B" w14:textId="77777777" w:rsidR="00865862" w:rsidRDefault="00865862" w:rsidP="00BD69AD">
            <w:pPr>
              <w:jc w:val="center"/>
              <w:rPr>
                <w:sz w:val="20"/>
              </w:rPr>
            </w:pPr>
          </w:p>
          <w:p w14:paraId="0DF71630" w14:textId="77777777" w:rsidR="00865862" w:rsidRDefault="00865862" w:rsidP="00BD69AD">
            <w:pPr>
              <w:jc w:val="center"/>
              <w:rPr>
                <w:sz w:val="20"/>
              </w:rPr>
            </w:pPr>
          </w:p>
          <w:p w14:paraId="5B1AF904" w14:textId="77777777" w:rsidR="00865862" w:rsidRPr="00C7184E" w:rsidRDefault="00865862" w:rsidP="00BD69AD">
            <w:pPr>
              <w:jc w:val="center"/>
              <w:rPr>
                <w:sz w:val="20"/>
              </w:rPr>
            </w:pPr>
          </w:p>
          <w:p w14:paraId="34CFF688" w14:textId="77777777" w:rsidR="00865862" w:rsidRPr="00C7184E" w:rsidRDefault="00865862" w:rsidP="00BD69AD">
            <w:pPr>
              <w:jc w:val="center"/>
              <w:rPr>
                <w:sz w:val="20"/>
              </w:rPr>
            </w:pPr>
          </w:p>
          <w:p w14:paraId="29317E59" w14:textId="77777777" w:rsidR="00865862" w:rsidRPr="00C7184E" w:rsidRDefault="00865862" w:rsidP="00C7184E">
            <w:pPr>
              <w:jc w:val="center"/>
              <w:rPr>
                <w:sz w:val="20"/>
              </w:rPr>
            </w:pP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C8E5FC" w14:textId="6A28152C" w:rsidR="004975D7" w:rsidRDefault="00865862" w:rsidP="00800A81">
            <w:pPr>
              <w:rPr>
                <w:sz w:val="20"/>
              </w:rPr>
            </w:pPr>
            <w:r w:rsidRPr="0019307A">
              <w:rPr>
                <w:sz w:val="20"/>
              </w:rPr>
              <w:t>LRV ĮP</w:t>
            </w:r>
            <w:r w:rsidR="00497073">
              <w:rPr>
                <w:sz w:val="20"/>
              </w:rPr>
              <w:t>;</w:t>
            </w:r>
            <w:r w:rsidRPr="0019307A">
              <w:rPr>
                <w:sz w:val="20"/>
              </w:rPr>
              <w:t xml:space="preserve"> </w:t>
            </w:r>
            <w:r w:rsidR="00CB5FF0">
              <w:rPr>
                <w:sz w:val="20"/>
              </w:rPr>
              <w:t>NRD</w:t>
            </w:r>
            <w:r w:rsidR="0094588E">
              <w:rPr>
                <w:sz w:val="20"/>
              </w:rPr>
              <w:t>;</w:t>
            </w:r>
          </w:p>
          <w:p w14:paraId="44DD2C22" w14:textId="19E81A76" w:rsidR="007674D4" w:rsidRDefault="00D61FFF" w:rsidP="004975D7">
            <w:pPr>
              <w:rPr>
                <w:sz w:val="20"/>
              </w:rPr>
            </w:pPr>
            <w:r>
              <w:rPr>
                <w:sz w:val="20"/>
              </w:rPr>
              <w:t>i</w:t>
            </w:r>
            <w:r w:rsidR="007674D4">
              <w:rPr>
                <w:sz w:val="20"/>
              </w:rPr>
              <w:t>novatyvumo</w:t>
            </w:r>
            <w:r>
              <w:rPr>
                <w:sz w:val="20"/>
              </w:rPr>
              <w:t xml:space="preserve"> (kūrybingumo)</w:t>
            </w:r>
          </w:p>
          <w:p w14:paraId="333CD446" w14:textId="513B2711" w:rsidR="00865862" w:rsidRPr="004975D7" w:rsidRDefault="004975D7" w:rsidP="004975D7">
            <w:pPr>
              <w:rPr>
                <w:sz w:val="20"/>
              </w:rPr>
            </w:pPr>
            <w:r>
              <w:rPr>
                <w:sz w:val="20"/>
              </w:rPr>
              <w:t>HP</w:t>
            </w:r>
          </w:p>
        </w:tc>
      </w:tr>
      <w:tr w:rsidR="00865862" w:rsidRPr="009D002F" w14:paraId="00F66C3D" w14:textId="77777777" w:rsidTr="00954F11">
        <w:trPr>
          <w:trHeight w:val="416"/>
        </w:trPr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6F931" w14:textId="77777777" w:rsidR="00865862" w:rsidRPr="00A669A2" w:rsidRDefault="00865862" w:rsidP="00C56C31">
            <w:pPr>
              <w:jc w:val="both"/>
              <w:rPr>
                <w:sz w:val="20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27E68" w14:textId="77777777" w:rsidR="00865862" w:rsidRPr="00B825FE" w:rsidRDefault="00865862" w:rsidP="00B825FE">
            <w:pPr>
              <w:jc w:val="both"/>
              <w:rPr>
                <w:sz w:val="20"/>
              </w:rPr>
            </w:pPr>
          </w:p>
        </w:tc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818B2" w14:textId="77777777" w:rsidR="00865862" w:rsidRPr="00B825FE" w:rsidRDefault="00865862" w:rsidP="00A41A0C">
            <w:pPr>
              <w:rPr>
                <w:color w:val="000000" w:themeColor="text1"/>
                <w:sz w:val="20"/>
              </w:rPr>
            </w:pPr>
          </w:p>
        </w:tc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8585B" w14:textId="77777777" w:rsidR="00865862" w:rsidRDefault="00865862" w:rsidP="000A702F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25FEC" w14:textId="77777777" w:rsidR="00865862" w:rsidRDefault="00865862" w:rsidP="000A702F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6916F" w14:textId="77777777" w:rsidR="00865862" w:rsidRPr="00B825FE" w:rsidRDefault="00865862" w:rsidP="00960DFF">
            <w:pPr>
              <w:rPr>
                <w:color w:val="000000" w:themeColor="text1"/>
                <w:sz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5212" w14:textId="77777777" w:rsidR="00865862" w:rsidRPr="00C7184E" w:rsidRDefault="00865862" w:rsidP="00865862">
            <w:pPr>
              <w:rPr>
                <w:sz w:val="20"/>
              </w:rPr>
            </w:pPr>
            <w:r w:rsidRPr="00C7184E">
              <w:rPr>
                <w:sz w:val="20"/>
              </w:rPr>
              <w:t>Nelegali tabako gaminių rinkos dalis (proc.)</w:t>
            </w:r>
          </w:p>
          <w:p w14:paraId="79F77B64" w14:textId="77777777" w:rsidR="00865862" w:rsidRPr="00C7184E" w:rsidRDefault="00865862" w:rsidP="00865862">
            <w:pPr>
              <w:rPr>
                <w:rFonts w:eastAsiaTheme="minorHAnsi"/>
                <w:sz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E86A" w14:textId="75E47C54" w:rsidR="008259D1" w:rsidRDefault="00865862" w:rsidP="008259D1">
            <w:pPr>
              <w:jc w:val="center"/>
              <w:rPr>
                <w:sz w:val="20"/>
              </w:rPr>
            </w:pPr>
            <w:r w:rsidRPr="00C7184E">
              <w:rPr>
                <w:sz w:val="20"/>
              </w:rPr>
              <w:t>17,7</w:t>
            </w:r>
          </w:p>
          <w:p w14:paraId="2645991A" w14:textId="35340A1E" w:rsidR="00865862" w:rsidRPr="00C7184E" w:rsidRDefault="00865862" w:rsidP="008259D1">
            <w:pPr>
              <w:jc w:val="center"/>
              <w:rPr>
                <w:sz w:val="20"/>
              </w:rPr>
            </w:pPr>
            <w:r w:rsidRPr="00C7184E">
              <w:rPr>
                <w:sz w:val="20"/>
              </w:rPr>
              <w:t xml:space="preserve"> (2019</w:t>
            </w:r>
            <w:r w:rsidR="00405A65">
              <w:rPr>
                <w:sz w:val="20"/>
              </w:rPr>
              <w:t xml:space="preserve"> m.</w:t>
            </w:r>
            <w:r w:rsidR="008259D1">
              <w:rPr>
                <w:sz w:val="20"/>
              </w:rPr>
              <w:t xml:space="preserve"> </w:t>
            </w:r>
            <w:r w:rsidR="008259D1" w:rsidRPr="0040661B">
              <w:rPr>
                <w:sz w:val="20"/>
              </w:rPr>
              <w:t>ES projekto STELLA tyrimo duomenys</w:t>
            </w:r>
            <w:r w:rsidRPr="00C7184E">
              <w:rPr>
                <w:sz w:val="20"/>
              </w:rPr>
              <w:t>)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31F7" w14:textId="77777777" w:rsidR="00865862" w:rsidRPr="00C7184E" w:rsidRDefault="00865862" w:rsidP="00865862">
            <w:pPr>
              <w:jc w:val="center"/>
              <w:rPr>
                <w:sz w:val="20"/>
              </w:rPr>
            </w:pPr>
            <w:r w:rsidRPr="00C7184E">
              <w:rPr>
                <w:sz w:val="20"/>
              </w:rPr>
              <w:t>11</w:t>
            </w:r>
          </w:p>
          <w:p w14:paraId="7CFCC16B" w14:textId="77777777" w:rsidR="00865862" w:rsidRPr="00C7184E" w:rsidRDefault="00865862" w:rsidP="00865862">
            <w:pPr>
              <w:jc w:val="center"/>
              <w:rPr>
                <w:sz w:val="20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52D45" w14:textId="77777777" w:rsidR="00865862" w:rsidRDefault="00865862" w:rsidP="003B6E83">
            <w:pPr>
              <w:rPr>
                <w:sz w:val="20"/>
              </w:rPr>
            </w:pPr>
          </w:p>
        </w:tc>
      </w:tr>
      <w:tr w:rsidR="00865862" w:rsidRPr="009D002F" w14:paraId="12E8B0A0" w14:textId="77777777" w:rsidTr="00954F11">
        <w:trPr>
          <w:trHeight w:val="416"/>
        </w:trPr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30E2B" w14:textId="77777777" w:rsidR="00865862" w:rsidRPr="00A669A2" w:rsidRDefault="00865862" w:rsidP="00C56C31">
            <w:pPr>
              <w:jc w:val="both"/>
              <w:rPr>
                <w:sz w:val="20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34F53" w14:textId="77777777" w:rsidR="00865862" w:rsidRPr="00B825FE" w:rsidRDefault="00865862" w:rsidP="00B825FE">
            <w:pPr>
              <w:jc w:val="both"/>
              <w:rPr>
                <w:sz w:val="20"/>
              </w:rPr>
            </w:pPr>
          </w:p>
        </w:tc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72856" w14:textId="77777777" w:rsidR="00865862" w:rsidRPr="00B825FE" w:rsidRDefault="00865862" w:rsidP="00A41A0C">
            <w:pPr>
              <w:rPr>
                <w:color w:val="000000" w:themeColor="text1"/>
                <w:sz w:val="20"/>
              </w:rPr>
            </w:pPr>
          </w:p>
        </w:tc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3532B" w14:textId="77777777" w:rsidR="00865862" w:rsidRDefault="00865862" w:rsidP="000A702F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A6FFE" w14:textId="77777777" w:rsidR="00865862" w:rsidRDefault="00865862" w:rsidP="000A702F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70ECF" w14:textId="77777777" w:rsidR="00865862" w:rsidRPr="00B825FE" w:rsidRDefault="00865862" w:rsidP="00960DFF">
            <w:pPr>
              <w:rPr>
                <w:color w:val="000000" w:themeColor="text1"/>
                <w:sz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E321" w14:textId="77777777" w:rsidR="00865862" w:rsidRPr="00C7184E" w:rsidRDefault="00865862" w:rsidP="00B23361">
            <w:pPr>
              <w:rPr>
                <w:sz w:val="20"/>
              </w:rPr>
            </w:pPr>
            <w:r w:rsidRPr="00C7184E">
              <w:rPr>
                <w:rFonts w:eastAsiaTheme="minorHAnsi"/>
                <w:sz w:val="20"/>
              </w:rPr>
              <w:t xml:space="preserve">Pasitikėjimo </w:t>
            </w:r>
            <w:r w:rsidR="00B23361">
              <w:rPr>
                <w:rFonts w:eastAsiaTheme="minorHAnsi"/>
                <w:sz w:val="20"/>
              </w:rPr>
              <w:t>Valstybine mokesčių inspekcija prie Lietuvos Respublikos finansų ministerijos</w:t>
            </w:r>
            <w:r w:rsidR="00D91B86">
              <w:rPr>
                <w:rFonts w:eastAsiaTheme="minorHAnsi"/>
                <w:sz w:val="20"/>
              </w:rPr>
              <w:t xml:space="preserve"> į</w:t>
            </w:r>
            <w:r w:rsidRPr="00C7184E">
              <w:rPr>
                <w:rFonts w:eastAsiaTheme="minorHAnsi"/>
                <w:sz w:val="20"/>
              </w:rPr>
              <w:t>vertis (proc.).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A1C4" w14:textId="77777777" w:rsidR="00C85230" w:rsidRDefault="00865862" w:rsidP="00865862">
            <w:pPr>
              <w:jc w:val="center"/>
              <w:rPr>
                <w:sz w:val="20"/>
              </w:rPr>
            </w:pPr>
            <w:r w:rsidRPr="00C7184E">
              <w:rPr>
                <w:sz w:val="20"/>
              </w:rPr>
              <w:t xml:space="preserve">72 </w:t>
            </w:r>
          </w:p>
          <w:p w14:paraId="54095136" w14:textId="537D92D7" w:rsidR="00865862" w:rsidRPr="00C7184E" w:rsidRDefault="00865862" w:rsidP="00865862">
            <w:pPr>
              <w:jc w:val="center"/>
              <w:rPr>
                <w:sz w:val="20"/>
              </w:rPr>
            </w:pPr>
            <w:r w:rsidRPr="00C7184E">
              <w:rPr>
                <w:sz w:val="20"/>
              </w:rPr>
              <w:t>(2020</w:t>
            </w:r>
            <w:r w:rsidR="00405A65">
              <w:rPr>
                <w:sz w:val="20"/>
              </w:rPr>
              <w:t xml:space="preserve"> m.</w:t>
            </w:r>
            <w:r>
              <w:rPr>
                <w:sz w:val="20"/>
              </w:rPr>
              <w:t>)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77DC" w14:textId="77777777" w:rsidR="00865862" w:rsidRPr="00C7184E" w:rsidRDefault="00865862" w:rsidP="00865862">
            <w:pPr>
              <w:jc w:val="center"/>
              <w:rPr>
                <w:sz w:val="20"/>
              </w:rPr>
            </w:pPr>
            <w:r w:rsidRPr="00C7184E">
              <w:rPr>
                <w:sz w:val="20"/>
              </w:rPr>
              <w:t>80</w:t>
            </w:r>
          </w:p>
          <w:p w14:paraId="5C6BF455" w14:textId="77777777" w:rsidR="00865862" w:rsidRPr="00C7184E" w:rsidRDefault="00865862" w:rsidP="00865862">
            <w:pPr>
              <w:jc w:val="center"/>
              <w:rPr>
                <w:sz w:val="20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950AC" w14:textId="77777777" w:rsidR="00865862" w:rsidRDefault="00865862" w:rsidP="003B6E83">
            <w:pPr>
              <w:rPr>
                <w:sz w:val="20"/>
              </w:rPr>
            </w:pPr>
          </w:p>
        </w:tc>
      </w:tr>
      <w:tr w:rsidR="00865862" w:rsidRPr="009D002F" w14:paraId="41D35879" w14:textId="77777777" w:rsidTr="00954F11">
        <w:trPr>
          <w:trHeight w:val="416"/>
        </w:trPr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CB150" w14:textId="77777777" w:rsidR="00865862" w:rsidRPr="00A669A2" w:rsidRDefault="00865862" w:rsidP="00C56C31">
            <w:pPr>
              <w:jc w:val="both"/>
              <w:rPr>
                <w:sz w:val="20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AEC9A" w14:textId="77777777" w:rsidR="00865862" w:rsidRPr="00B825FE" w:rsidRDefault="00865862" w:rsidP="00B825FE">
            <w:pPr>
              <w:jc w:val="both"/>
              <w:rPr>
                <w:sz w:val="20"/>
              </w:rPr>
            </w:pPr>
          </w:p>
        </w:tc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3C608" w14:textId="77777777" w:rsidR="00865862" w:rsidRPr="00B825FE" w:rsidRDefault="00865862" w:rsidP="00A41A0C">
            <w:pPr>
              <w:rPr>
                <w:color w:val="000000" w:themeColor="text1"/>
                <w:sz w:val="20"/>
              </w:rPr>
            </w:pPr>
          </w:p>
        </w:tc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104EF" w14:textId="77777777" w:rsidR="00865862" w:rsidRDefault="00865862" w:rsidP="000A702F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73178" w14:textId="77777777" w:rsidR="00865862" w:rsidRDefault="00865862" w:rsidP="000A702F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1B0F8" w14:textId="77777777" w:rsidR="00865862" w:rsidRPr="00B825FE" w:rsidRDefault="00865862" w:rsidP="00960DFF">
            <w:pPr>
              <w:rPr>
                <w:color w:val="000000" w:themeColor="text1"/>
                <w:sz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F4E8" w14:textId="77777777" w:rsidR="00865862" w:rsidRPr="00B825FE" w:rsidRDefault="00865862" w:rsidP="00865862">
            <w:pPr>
              <w:rPr>
                <w:color w:val="000000" w:themeColor="text1"/>
                <w:sz w:val="20"/>
              </w:rPr>
            </w:pPr>
            <w:r w:rsidRPr="00C7184E">
              <w:rPr>
                <w:sz w:val="20"/>
              </w:rPr>
              <w:t>Pasitikėjimo Lietuvos Respublikos muitine įvertis (proc.)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47D0" w14:textId="77777777" w:rsidR="00865862" w:rsidRPr="00C7184E" w:rsidRDefault="00865862" w:rsidP="00865862">
            <w:pPr>
              <w:jc w:val="center"/>
              <w:rPr>
                <w:sz w:val="20"/>
              </w:rPr>
            </w:pPr>
            <w:r w:rsidRPr="00C7184E">
              <w:rPr>
                <w:sz w:val="20"/>
              </w:rPr>
              <w:t>30,9</w:t>
            </w:r>
          </w:p>
          <w:p w14:paraId="6EADE71A" w14:textId="4D288C9F" w:rsidR="00865862" w:rsidRPr="00C7184E" w:rsidRDefault="00865862" w:rsidP="00865862">
            <w:pPr>
              <w:jc w:val="center"/>
              <w:rPr>
                <w:sz w:val="20"/>
              </w:rPr>
            </w:pPr>
            <w:r w:rsidRPr="00C7184E">
              <w:rPr>
                <w:sz w:val="20"/>
              </w:rPr>
              <w:t xml:space="preserve"> (2020</w:t>
            </w:r>
            <w:r w:rsidR="00405A65">
              <w:rPr>
                <w:sz w:val="20"/>
              </w:rPr>
              <w:t xml:space="preserve"> m.</w:t>
            </w:r>
            <w:r w:rsidRPr="00C7184E">
              <w:rPr>
                <w:sz w:val="20"/>
              </w:rPr>
              <w:t>)</w:t>
            </w:r>
          </w:p>
          <w:p w14:paraId="2087C9E8" w14:textId="77777777" w:rsidR="00865862" w:rsidRPr="00B825FE" w:rsidRDefault="00865862" w:rsidP="00BD69AD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8DB2" w14:textId="77777777" w:rsidR="00865862" w:rsidRPr="00C7184E" w:rsidRDefault="00865862" w:rsidP="00865862">
            <w:pPr>
              <w:jc w:val="center"/>
              <w:rPr>
                <w:sz w:val="20"/>
              </w:rPr>
            </w:pPr>
            <w:r w:rsidRPr="00C7184E">
              <w:rPr>
                <w:sz w:val="20"/>
              </w:rPr>
              <w:t>80</w:t>
            </w:r>
          </w:p>
          <w:p w14:paraId="4A9D92EC" w14:textId="77777777" w:rsidR="00865862" w:rsidRPr="00C7184E" w:rsidRDefault="00865862" w:rsidP="00865862">
            <w:pPr>
              <w:jc w:val="center"/>
              <w:rPr>
                <w:sz w:val="20"/>
              </w:rPr>
            </w:pPr>
          </w:p>
          <w:p w14:paraId="1A1A367D" w14:textId="77777777" w:rsidR="00865862" w:rsidRPr="00B825FE" w:rsidRDefault="00865862" w:rsidP="00BD69AD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A90936" w14:textId="77777777" w:rsidR="00865862" w:rsidRDefault="00865862" w:rsidP="003B6E83">
            <w:pPr>
              <w:rPr>
                <w:sz w:val="20"/>
              </w:rPr>
            </w:pPr>
          </w:p>
        </w:tc>
      </w:tr>
      <w:tr w:rsidR="00865862" w:rsidRPr="009D002F" w14:paraId="7A65BCD8" w14:textId="77777777" w:rsidTr="00954F11">
        <w:trPr>
          <w:trHeight w:val="416"/>
        </w:trPr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5FD89" w14:textId="77777777" w:rsidR="00865862" w:rsidRPr="00A669A2" w:rsidRDefault="00865862" w:rsidP="00C56C31">
            <w:pPr>
              <w:jc w:val="both"/>
              <w:rPr>
                <w:sz w:val="20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C59F7" w14:textId="77777777" w:rsidR="00865862" w:rsidRPr="00B825FE" w:rsidRDefault="00865862" w:rsidP="00B825FE">
            <w:pPr>
              <w:jc w:val="both"/>
              <w:rPr>
                <w:sz w:val="20"/>
              </w:rPr>
            </w:pPr>
          </w:p>
        </w:tc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459D5" w14:textId="77777777" w:rsidR="00865862" w:rsidRPr="00B825FE" w:rsidRDefault="00865862" w:rsidP="00A41A0C">
            <w:pPr>
              <w:rPr>
                <w:color w:val="000000" w:themeColor="text1"/>
                <w:sz w:val="20"/>
              </w:rPr>
            </w:pPr>
          </w:p>
        </w:tc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71905" w14:textId="77777777" w:rsidR="00865862" w:rsidRDefault="00865862" w:rsidP="000A702F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7AA17" w14:textId="77777777" w:rsidR="00865862" w:rsidRDefault="00865862" w:rsidP="000A702F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4DC98" w14:textId="77777777" w:rsidR="00865862" w:rsidRPr="00B825FE" w:rsidRDefault="00865862" w:rsidP="00960DFF">
            <w:pPr>
              <w:rPr>
                <w:color w:val="000000" w:themeColor="text1"/>
                <w:sz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7B74" w14:textId="6ABDB72A" w:rsidR="00865862" w:rsidRPr="00B825FE" w:rsidRDefault="00865862" w:rsidP="00865862">
            <w:pPr>
              <w:rPr>
                <w:color w:val="000000" w:themeColor="text1"/>
                <w:sz w:val="20"/>
              </w:rPr>
            </w:pPr>
            <w:r w:rsidRPr="00C7184E">
              <w:rPr>
                <w:sz w:val="20"/>
              </w:rPr>
              <w:t>Jaunimo, teigiamai vertinančio  mokesčių vengimą, dalis (proc.)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C884" w14:textId="77777777" w:rsidR="00865862" w:rsidRPr="00C7184E" w:rsidRDefault="00865862" w:rsidP="00865862">
            <w:pPr>
              <w:jc w:val="center"/>
              <w:rPr>
                <w:sz w:val="20"/>
              </w:rPr>
            </w:pPr>
            <w:r w:rsidRPr="00C7184E">
              <w:rPr>
                <w:sz w:val="20"/>
              </w:rPr>
              <w:t xml:space="preserve">24 </w:t>
            </w:r>
          </w:p>
          <w:p w14:paraId="6EEC2C58" w14:textId="61D6AF1E" w:rsidR="00865862" w:rsidRPr="00C7184E" w:rsidRDefault="00865862" w:rsidP="00865862">
            <w:pPr>
              <w:jc w:val="center"/>
              <w:rPr>
                <w:sz w:val="20"/>
              </w:rPr>
            </w:pPr>
            <w:r w:rsidRPr="00C7184E">
              <w:rPr>
                <w:sz w:val="20"/>
              </w:rPr>
              <w:t>(2019</w:t>
            </w:r>
            <w:r w:rsidR="00405A65">
              <w:rPr>
                <w:sz w:val="20"/>
              </w:rPr>
              <w:t xml:space="preserve"> m.</w:t>
            </w:r>
            <w:r w:rsidRPr="00C7184E">
              <w:rPr>
                <w:sz w:val="20"/>
              </w:rPr>
              <w:t>)</w:t>
            </w:r>
          </w:p>
          <w:p w14:paraId="756E2C3E" w14:textId="77777777" w:rsidR="00865862" w:rsidRPr="00B825FE" w:rsidRDefault="00865862" w:rsidP="00BD69AD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4587" w14:textId="77777777" w:rsidR="00865862" w:rsidRPr="0040661B" w:rsidRDefault="00865862" w:rsidP="00865862">
            <w:pPr>
              <w:jc w:val="center"/>
              <w:rPr>
                <w:sz w:val="20"/>
              </w:rPr>
            </w:pPr>
            <w:r w:rsidRPr="0040661B">
              <w:rPr>
                <w:sz w:val="20"/>
              </w:rPr>
              <w:t>16</w:t>
            </w:r>
          </w:p>
          <w:p w14:paraId="1F0C2163" w14:textId="0B7DD26D" w:rsidR="00865862" w:rsidRPr="0040661B" w:rsidRDefault="00865862" w:rsidP="00865862">
            <w:pPr>
              <w:jc w:val="center"/>
              <w:rPr>
                <w:sz w:val="20"/>
              </w:rPr>
            </w:pPr>
            <w:r w:rsidRPr="0040661B">
              <w:rPr>
                <w:sz w:val="20"/>
              </w:rPr>
              <w:t>(2026</w:t>
            </w:r>
            <w:r w:rsidR="00405A65">
              <w:rPr>
                <w:sz w:val="20"/>
              </w:rPr>
              <w:t xml:space="preserve"> m.</w:t>
            </w:r>
            <w:r w:rsidRPr="0040661B">
              <w:rPr>
                <w:sz w:val="20"/>
              </w:rPr>
              <w:t>)</w:t>
            </w:r>
          </w:p>
          <w:p w14:paraId="2F69A889" w14:textId="77777777" w:rsidR="00865862" w:rsidRPr="0040661B" w:rsidRDefault="00865862" w:rsidP="00BD69AD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353E2" w14:textId="77777777" w:rsidR="00865862" w:rsidRDefault="00865862" w:rsidP="003B6E83">
            <w:pPr>
              <w:rPr>
                <w:sz w:val="20"/>
              </w:rPr>
            </w:pPr>
          </w:p>
        </w:tc>
      </w:tr>
      <w:tr w:rsidR="00865862" w:rsidRPr="009D002F" w14:paraId="04AB1407" w14:textId="77777777" w:rsidTr="00954F11">
        <w:trPr>
          <w:trHeight w:val="416"/>
        </w:trPr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B011" w14:textId="77777777" w:rsidR="00865862" w:rsidRPr="00A669A2" w:rsidRDefault="00865862" w:rsidP="00C56C31">
            <w:pPr>
              <w:jc w:val="both"/>
              <w:rPr>
                <w:sz w:val="20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50EC" w14:textId="77777777" w:rsidR="00865862" w:rsidRPr="00B825FE" w:rsidRDefault="00865862" w:rsidP="00B825FE">
            <w:pPr>
              <w:jc w:val="both"/>
              <w:rPr>
                <w:sz w:val="20"/>
              </w:rPr>
            </w:pPr>
          </w:p>
        </w:tc>
        <w:tc>
          <w:tcPr>
            <w:tcW w:w="4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31EC" w14:textId="77777777" w:rsidR="00865862" w:rsidRPr="00B825FE" w:rsidRDefault="00865862" w:rsidP="00A41A0C">
            <w:pPr>
              <w:rPr>
                <w:color w:val="000000" w:themeColor="text1"/>
                <w:sz w:val="20"/>
              </w:rPr>
            </w:pPr>
          </w:p>
        </w:tc>
        <w:tc>
          <w:tcPr>
            <w:tcW w:w="5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E974" w14:textId="77777777" w:rsidR="00865862" w:rsidRDefault="00865862" w:rsidP="000A702F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BBE5" w14:textId="77777777" w:rsidR="00865862" w:rsidRDefault="00865862" w:rsidP="000A702F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FD43" w14:textId="77777777" w:rsidR="00865862" w:rsidRPr="00B825FE" w:rsidRDefault="00865862" w:rsidP="00960DFF">
            <w:pPr>
              <w:rPr>
                <w:color w:val="000000" w:themeColor="text1"/>
                <w:sz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A83D" w14:textId="3383CEDF" w:rsidR="004B18F2" w:rsidRPr="005F2FBE" w:rsidRDefault="00E72C9F" w:rsidP="008D1DB1">
            <w:pPr>
              <w:rPr>
                <w:color w:val="FF0000"/>
                <w:sz w:val="20"/>
              </w:rPr>
            </w:pPr>
            <w:r w:rsidRPr="00C7184E">
              <w:rPr>
                <w:sz w:val="20"/>
              </w:rPr>
              <w:t xml:space="preserve">Mokinių, kurie bent kartą per savaitę mokyklose atsiskaito </w:t>
            </w:r>
            <w:r w:rsidRPr="00C7184E">
              <w:rPr>
                <w:sz w:val="20"/>
              </w:rPr>
              <w:lastRenderedPageBreak/>
              <w:t>negrynaisiais pinigais, dalis (proc.)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12F4" w14:textId="77777777" w:rsidR="004B18F2" w:rsidRPr="0026570D" w:rsidRDefault="00D34965" w:rsidP="00BD69AD">
            <w:pPr>
              <w:jc w:val="center"/>
              <w:rPr>
                <w:sz w:val="20"/>
              </w:rPr>
            </w:pPr>
            <w:r w:rsidRPr="0026570D">
              <w:rPr>
                <w:sz w:val="20"/>
              </w:rPr>
              <w:lastRenderedPageBreak/>
              <w:t>n.</w:t>
            </w:r>
            <w:r w:rsidR="0040661B" w:rsidRPr="0026570D">
              <w:rPr>
                <w:sz w:val="20"/>
              </w:rPr>
              <w:t xml:space="preserve"> </w:t>
            </w:r>
            <w:r w:rsidRPr="0026570D">
              <w:rPr>
                <w:sz w:val="20"/>
              </w:rPr>
              <w:t xml:space="preserve">d. </w:t>
            </w:r>
          </w:p>
          <w:p w14:paraId="6FC80F23" w14:textId="3A392152" w:rsidR="0026570D" w:rsidRPr="00DA4DCF" w:rsidRDefault="0026570D" w:rsidP="00BD69AD">
            <w:pPr>
              <w:jc w:val="center"/>
              <w:rPr>
                <w:sz w:val="20"/>
              </w:rPr>
            </w:pPr>
            <w:r w:rsidRPr="00DA4DCF">
              <w:rPr>
                <w:sz w:val="20"/>
              </w:rPr>
              <w:t>(2021 m.)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AFE4" w14:textId="77777777" w:rsidR="00865862" w:rsidRPr="0040661B" w:rsidRDefault="00865862" w:rsidP="00865862">
            <w:pPr>
              <w:jc w:val="center"/>
              <w:rPr>
                <w:sz w:val="20"/>
              </w:rPr>
            </w:pPr>
            <w:r w:rsidRPr="0040661B">
              <w:rPr>
                <w:sz w:val="20"/>
              </w:rPr>
              <w:t>40</w:t>
            </w:r>
          </w:p>
          <w:p w14:paraId="4DDDB989" w14:textId="0F9A9123" w:rsidR="00865862" w:rsidRPr="0040661B" w:rsidRDefault="00865862" w:rsidP="00865862">
            <w:pPr>
              <w:jc w:val="center"/>
              <w:rPr>
                <w:sz w:val="20"/>
              </w:rPr>
            </w:pPr>
            <w:r w:rsidRPr="0040661B">
              <w:rPr>
                <w:sz w:val="20"/>
              </w:rPr>
              <w:t>(2025</w:t>
            </w:r>
            <w:r w:rsidR="00405A65">
              <w:rPr>
                <w:sz w:val="20"/>
              </w:rPr>
              <w:t xml:space="preserve"> m.</w:t>
            </w:r>
            <w:r w:rsidRPr="0040661B">
              <w:rPr>
                <w:sz w:val="20"/>
              </w:rPr>
              <w:t>)</w:t>
            </w:r>
          </w:p>
          <w:p w14:paraId="4E239256" w14:textId="77777777" w:rsidR="004B18F2" w:rsidRPr="0040661B" w:rsidRDefault="004B18F2" w:rsidP="00865862">
            <w:pPr>
              <w:jc w:val="center"/>
              <w:rPr>
                <w:sz w:val="20"/>
              </w:rPr>
            </w:pPr>
          </w:p>
          <w:p w14:paraId="45B1D7B7" w14:textId="77777777" w:rsidR="004B18F2" w:rsidRPr="001B1F9C" w:rsidRDefault="004B18F2" w:rsidP="00865862">
            <w:pPr>
              <w:jc w:val="center"/>
              <w:rPr>
                <w:sz w:val="20"/>
              </w:rPr>
            </w:pPr>
          </w:p>
          <w:p w14:paraId="52AD6597" w14:textId="77777777" w:rsidR="004B18F2" w:rsidRPr="001B1F9C" w:rsidRDefault="004B18F2" w:rsidP="004B18F2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3116" w14:textId="77777777" w:rsidR="00865862" w:rsidRDefault="00865862" w:rsidP="003B6E83">
            <w:pPr>
              <w:rPr>
                <w:sz w:val="20"/>
              </w:rPr>
            </w:pPr>
          </w:p>
        </w:tc>
      </w:tr>
      <w:tr w:rsidR="00AC6814" w:rsidRPr="009D002F" w14:paraId="39B2AFF9" w14:textId="77777777" w:rsidTr="00954F11">
        <w:trPr>
          <w:trHeight w:val="416"/>
        </w:trPr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2C0DC3" w14:textId="4BC0F936" w:rsidR="00AC6814" w:rsidRPr="009D002F" w:rsidRDefault="00AC6814" w:rsidP="00C56C31">
            <w:pPr>
              <w:jc w:val="both"/>
              <w:rPr>
                <w:rFonts w:eastAsia="Calibri"/>
                <w:color w:val="FF0000"/>
                <w:sz w:val="20"/>
                <w:szCs w:val="22"/>
              </w:rPr>
            </w:pPr>
            <w:r w:rsidRPr="00A669A2">
              <w:rPr>
                <w:sz w:val="20"/>
              </w:rPr>
              <w:lastRenderedPageBreak/>
              <w:t>04-001-08-05-03</w:t>
            </w:r>
            <w:r w:rsidR="008B75EB">
              <w:rPr>
                <w:sz w:val="20"/>
              </w:rPr>
              <w:t xml:space="preserve"> (</w:t>
            </w:r>
            <w:r w:rsidRPr="00A669A2">
              <w:rPr>
                <w:sz w:val="20"/>
              </w:rPr>
              <w:t>P</w:t>
            </w:r>
            <w:r w:rsidR="008B75EB">
              <w:rPr>
                <w:sz w:val="20"/>
              </w:rPr>
              <w:t>N</w:t>
            </w:r>
            <w:r w:rsidRPr="00A669A2">
              <w:rPr>
                <w:sz w:val="20"/>
              </w:rPr>
              <w:t>)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F18B4AD" w14:textId="06F93ED0" w:rsidR="00AC6814" w:rsidRPr="00976FCD" w:rsidRDefault="00AC6814" w:rsidP="00095870">
            <w:pPr>
              <w:jc w:val="both"/>
              <w:rPr>
                <w:b/>
                <w:color w:val="FF0000"/>
                <w:sz w:val="20"/>
              </w:rPr>
            </w:pPr>
            <w:r w:rsidRPr="00976FCD">
              <w:rPr>
                <w:b/>
                <w:sz w:val="20"/>
              </w:rPr>
              <w:t>Tobulinti mokesčių sistemą</w:t>
            </w:r>
            <w:r w:rsidR="00095870">
              <w:rPr>
                <w:b/>
                <w:sz w:val="20"/>
              </w:rPr>
              <w:t xml:space="preserve"> pagal</w:t>
            </w:r>
            <w:r w:rsidRPr="00976FCD">
              <w:rPr>
                <w:b/>
                <w:sz w:val="20"/>
              </w:rPr>
              <w:t xml:space="preserve"> </w:t>
            </w:r>
            <w:r w:rsidRPr="004D1AD2">
              <w:rPr>
                <w:b/>
                <w:sz w:val="20"/>
              </w:rPr>
              <w:t>viešųjų išlaidų poreik</w:t>
            </w:r>
            <w:r w:rsidR="00095870">
              <w:rPr>
                <w:b/>
                <w:sz w:val="20"/>
              </w:rPr>
              <w:t>į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82B96" w14:textId="77777777" w:rsidR="00AC6814" w:rsidRPr="00B825FE" w:rsidRDefault="00AC6814" w:rsidP="00A41A0C">
            <w:pPr>
              <w:rPr>
                <w:color w:val="000000" w:themeColor="text1"/>
                <w:sz w:val="20"/>
              </w:rPr>
            </w:pPr>
            <w:r w:rsidRPr="00B825FE">
              <w:rPr>
                <w:color w:val="000000" w:themeColor="text1"/>
                <w:sz w:val="20"/>
              </w:rPr>
              <w:t>8.</w:t>
            </w:r>
            <w:r>
              <w:rPr>
                <w:color w:val="000000" w:themeColor="text1"/>
                <w:sz w:val="20"/>
              </w:rPr>
              <w:t>5</w:t>
            </w:r>
            <w:r w:rsidRPr="00B825FE">
              <w:rPr>
                <w:color w:val="000000" w:themeColor="text1"/>
                <w:sz w:val="20"/>
              </w:rPr>
              <w:t xml:space="preserve">. Didinti viešųjų finansų ir valstybės turto </w:t>
            </w:r>
          </w:p>
          <w:p w14:paraId="6D0CF20E" w14:textId="77777777" w:rsidR="00AC6814" w:rsidRPr="009D002F" w:rsidRDefault="00AC6814" w:rsidP="00A41A0C">
            <w:pPr>
              <w:rPr>
                <w:color w:val="FF0000"/>
                <w:sz w:val="20"/>
              </w:rPr>
            </w:pPr>
            <w:r w:rsidRPr="00B825FE">
              <w:rPr>
                <w:color w:val="000000" w:themeColor="text1"/>
                <w:sz w:val="20"/>
              </w:rPr>
              <w:t>valdymo ir panaudojimo efektyvumą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AEF7C0" w14:textId="77777777" w:rsidR="008D1DB1" w:rsidRPr="008D1DB1" w:rsidRDefault="008D1DB1" w:rsidP="008D1DB1">
            <w:pPr>
              <w:rPr>
                <w:sz w:val="20"/>
              </w:rPr>
            </w:pPr>
            <w:r w:rsidRPr="00237141">
              <w:rPr>
                <w:bCs/>
                <w:sz w:val="20"/>
                <w:lang w:val="en-US"/>
              </w:rPr>
              <w:t>2</w:t>
            </w:r>
            <w:r w:rsidRPr="00237141">
              <w:rPr>
                <w:bCs/>
                <w:sz w:val="20"/>
              </w:rPr>
              <w:t>.1</w:t>
            </w:r>
            <w:r w:rsidRPr="00497073">
              <w:rPr>
                <w:bCs/>
                <w:sz w:val="20"/>
              </w:rPr>
              <w:t>.</w:t>
            </w:r>
            <w:r w:rsidRPr="008D1DB1">
              <w:rPr>
                <w:sz w:val="20"/>
              </w:rPr>
              <w:t xml:space="preserve"> Mažinti pajamų nelygybę</w:t>
            </w:r>
          </w:p>
          <w:p w14:paraId="6763538B" w14:textId="77777777" w:rsidR="00AC6814" w:rsidRPr="008D1DB1" w:rsidRDefault="00AC6814" w:rsidP="000A702F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88F0AF" w14:textId="77777777" w:rsidR="00AC6814" w:rsidRPr="009D002F" w:rsidRDefault="00AC6814" w:rsidP="000A702F">
            <w:pPr>
              <w:jc w:val="center"/>
              <w:rPr>
                <w:color w:val="FF0000"/>
                <w:sz w:val="20"/>
              </w:rPr>
            </w:pPr>
            <w:r w:rsidRPr="004D1AD2">
              <w:rPr>
                <w:color w:val="000000" w:themeColor="text1"/>
                <w:sz w:val="20"/>
              </w:rPr>
              <w:t>–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8646B5" w14:textId="77777777" w:rsidR="00AC6814" w:rsidRPr="009D002F" w:rsidRDefault="00AC6814" w:rsidP="00D91B86">
            <w:pPr>
              <w:rPr>
                <w:color w:val="FF0000"/>
                <w:sz w:val="20"/>
              </w:rPr>
            </w:pPr>
            <w:r w:rsidRPr="00B825FE">
              <w:rPr>
                <w:color w:val="000000" w:themeColor="text1"/>
                <w:sz w:val="20"/>
              </w:rPr>
              <w:t>S</w:t>
            </w:r>
            <w:r w:rsidR="00D91B86">
              <w:rPr>
                <w:color w:val="000000" w:themeColor="text1"/>
                <w:sz w:val="20"/>
              </w:rPr>
              <w:t>ADM</w:t>
            </w:r>
            <w:r w:rsidRPr="00B825FE">
              <w:rPr>
                <w:color w:val="000000" w:themeColor="text1"/>
                <w:sz w:val="20"/>
              </w:rPr>
              <w:t>, E</w:t>
            </w:r>
            <w:r w:rsidR="00D91B86">
              <w:rPr>
                <w:color w:val="000000" w:themeColor="text1"/>
                <w:sz w:val="20"/>
              </w:rPr>
              <w:t>IM</w:t>
            </w:r>
            <w:r w:rsidRPr="00B825FE">
              <w:rPr>
                <w:color w:val="000000" w:themeColor="text1"/>
                <w:sz w:val="20"/>
              </w:rPr>
              <w:t xml:space="preserve">, </w:t>
            </w:r>
            <w:r w:rsidR="00D91B86">
              <w:rPr>
                <w:color w:val="000000" w:themeColor="text1"/>
                <w:sz w:val="20"/>
              </w:rPr>
              <w:t>Lietuvos Respublikos a</w:t>
            </w:r>
            <w:r w:rsidRPr="00B825FE">
              <w:rPr>
                <w:color w:val="000000" w:themeColor="text1"/>
                <w:sz w:val="20"/>
              </w:rPr>
              <w:t xml:space="preserve">plinkos ministerija, </w:t>
            </w:r>
            <w:r w:rsidR="00D91B86">
              <w:rPr>
                <w:color w:val="000000" w:themeColor="text1"/>
                <w:sz w:val="20"/>
              </w:rPr>
              <w:t>Lietuvos Respublikos ž</w:t>
            </w:r>
            <w:r w:rsidRPr="00B825FE">
              <w:rPr>
                <w:color w:val="000000" w:themeColor="text1"/>
                <w:sz w:val="20"/>
              </w:rPr>
              <w:t>emės ūkio minist</w:t>
            </w:r>
            <w:r w:rsidR="00865862">
              <w:rPr>
                <w:color w:val="000000" w:themeColor="text1"/>
                <w:sz w:val="20"/>
              </w:rPr>
              <w:t>erija</w:t>
            </w:r>
            <w:r w:rsidR="00D91B86">
              <w:rPr>
                <w:color w:val="000000" w:themeColor="text1"/>
                <w:sz w:val="20"/>
              </w:rPr>
              <w:t xml:space="preserve"> (toliau – ŽŪM)</w:t>
            </w:r>
            <w:r w:rsidR="00865862">
              <w:rPr>
                <w:color w:val="000000" w:themeColor="text1"/>
                <w:sz w:val="20"/>
              </w:rPr>
              <w:t xml:space="preserve">, </w:t>
            </w:r>
            <w:r w:rsidR="00D91B86" w:rsidRPr="00AF2C67">
              <w:rPr>
                <w:color w:val="000000" w:themeColor="text1"/>
                <w:sz w:val="20"/>
              </w:rPr>
              <w:t>Lietuvos Respublikos t</w:t>
            </w:r>
            <w:r w:rsidR="00865862" w:rsidRPr="00AF2C67">
              <w:rPr>
                <w:color w:val="000000" w:themeColor="text1"/>
                <w:sz w:val="20"/>
              </w:rPr>
              <w:t>eisingumo ministerija</w:t>
            </w:r>
            <w:r w:rsidR="00D91B86" w:rsidRPr="00AF2C67">
              <w:rPr>
                <w:color w:val="000000" w:themeColor="text1"/>
                <w:sz w:val="20"/>
              </w:rPr>
              <w:t xml:space="preserve"> (toliau – TM)</w:t>
            </w:r>
            <w:r w:rsidR="00865862" w:rsidRPr="00AF2C67">
              <w:rPr>
                <w:color w:val="000000" w:themeColor="text1"/>
                <w:sz w:val="20"/>
              </w:rPr>
              <w:t xml:space="preserve">, </w:t>
            </w:r>
            <w:r w:rsidR="00D91B86">
              <w:rPr>
                <w:color w:val="000000" w:themeColor="text1"/>
                <w:sz w:val="20"/>
              </w:rPr>
              <w:t>Lietuvos Respublikos s</w:t>
            </w:r>
            <w:r w:rsidRPr="00B825FE">
              <w:rPr>
                <w:color w:val="000000" w:themeColor="text1"/>
                <w:sz w:val="20"/>
              </w:rPr>
              <w:t>veikatos apsaugos ministerija</w:t>
            </w:r>
            <w:r w:rsidR="00D91B86">
              <w:rPr>
                <w:color w:val="000000" w:themeColor="text1"/>
                <w:sz w:val="20"/>
              </w:rPr>
              <w:t xml:space="preserve"> (toliau – SAM)</w:t>
            </w:r>
            <w:r w:rsidRPr="00B825FE">
              <w:rPr>
                <w:color w:val="000000" w:themeColor="text1"/>
                <w:sz w:val="20"/>
              </w:rPr>
              <w:t>, Š</w:t>
            </w:r>
            <w:r w:rsidR="00D91B86">
              <w:rPr>
                <w:color w:val="000000" w:themeColor="text1"/>
                <w:sz w:val="20"/>
              </w:rPr>
              <w:t>MSM</w:t>
            </w:r>
            <w:r>
              <w:rPr>
                <w:color w:val="000000" w:themeColor="text1"/>
                <w:sz w:val="20"/>
              </w:rPr>
              <w:t xml:space="preserve">, </w:t>
            </w:r>
            <w:r w:rsidR="00D91B86">
              <w:rPr>
                <w:color w:val="000000" w:themeColor="text1"/>
                <w:sz w:val="20"/>
              </w:rPr>
              <w:t>Lietuvos Respublikos k</w:t>
            </w:r>
            <w:r w:rsidRPr="00B825FE">
              <w:rPr>
                <w:color w:val="000000" w:themeColor="text1"/>
                <w:sz w:val="20"/>
              </w:rPr>
              <w:t>ultūros ministerija</w:t>
            </w:r>
            <w:r w:rsidR="00D91B86">
              <w:rPr>
                <w:color w:val="000000" w:themeColor="text1"/>
                <w:sz w:val="20"/>
              </w:rPr>
              <w:t xml:space="preserve"> (toliau – KM)</w:t>
            </w:r>
            <w:r w:rsidRPr="00B825FE">
              <w:rPr>
                <w:color w:val="000000" w:themeColor="text1"/>
                <w:sz w:val="20"/>
              </w:rPr>
              <w:t xml:space="preserve">, </w:t>
            </w:r>
            <w:r w:rsidR="00D91B86">
              <w:rPr>
                <w:color w:val="000000" w:themeColor="text1"/>
                <w:sz w:val="20"/>
              </w:rPr>
              <w:t>Lietuvos Respublikos e</w:t>
            </w:r>
            <w:r w:rsidRPr="00B825FE">
              <w:rPr>
                <w:color w:val="000000" w:themeColor="text1"/>
                <w:sz w:val="20"/>
              </w:rPr>
              <w:t>nergetikos ministerija, S</w:t>
            </w:r>
            <w:r w:rsidR="00D91B86">
              <w:rPr>
                <w:color w:val="000000" w:themeColor="text1"/>
                <w:sz w:val="20"/>
              </w:rPr>
              <w:t>M</w:t>
            </w:r>
            <w:r w:rsidRPr="00B825FE"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3857E" w14:textId="77777777" w:rsidR="00AC6814" w:rsidRPr="00B825FE" w:rsidRDefault="00AC6814" w:rsidP="00A41A0C">
            <w:pPr>
              <w:rPr>
                <w:color w:val="000000" w:themeColor="text1"/>
                <w:sz w:val="20"/>
              </w:rPr>
            </w:pPr>
            <w:r w:rsidRPr="00B825FE">
              <w:rPr>
                <w:color w:val="000000" w:themeColor="text1"/>
                <w:sz w:val="20"/>
              </w:rPr>
              <w:t>Pajamų iš akcizų, taikomų energiniams produktams, dalis nuo BVP (proc.).</w:t>
            </w:r>
          </w:p>
          <w:p w14:paraId="5934F04A" w14:textId="77777777" w:rsidR="00AC6814" w:rsidRPr="00B825FE" w:rsidRDefault="00AC6814" w:rsidP="00AC6814">
            <w:pPr>
              <w:rPr>
                <w:color w:val="000000" w:themeColor="text1"/>
                <w:sz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32598" w14:textId="77777777" w:rsidR="00AC6814" w:rsidRPr="00B825FE" w:rsidRDefault="00AC6814" w:rsidP="00BD69AD">
            <w:pPr>
              <w:jc w:val="center"/>
              <w:rPr>
                <w:color w:val="000000" w:themeColor="text1"/>
                <w:sz w:val="20"/>
              </w:rPr>
            </w:pPr>
            <w:r w:rsidRPr="00B825FE">
              <w:rPr>
                <w:color w:val="000000" w:themeColor="text1"/>
                <w:sz w:val="20"/>
              </w:rPr>
              <w:t>1,</w:t>
            </w:r>
            <w:r>
              <w:rPr>
                <w:color w:val="000000" w:themeColor="text1"/>
                <w:sz w:val="20"/>
              </w:rPr>
              <w:t>7</w:t>
            </w:r>
          </w:p>
          <w:p w14:paraId="30F6197A" w14:textId="652BB714" w:rsidR="00AC6814" w:rsidRPr="00B825FE" w:rsidRDefault="00AC6814" w:rsidP="00BD69AD">
            <w:pPr>
              <w:jc w:val="center"/>
              <w:rPr>
                <w:color w:val="000000" w:themeColor="text1"/>
                <w:sz w:val="20"/>
              </w:rPr>
            </w:pPr>
            <w:r w:rsidRPr="00B825FE">
              <w:rPr>
                <w:color w:val="000000" w:themeColor="text1"/>
                <w:sz w:val="20"/>
              </w:rPr>
              <w:t>(201</w:t>
            </w:r>
            <w:r>
              <w:rPr>
                <w:color w:val="000000" w:themeColor="text1"/>
                <w:sz w:val="20"/>
              </w:rPr>
              <w:t>9</w:t>
            </w:r>
            <w:r w:rsidR="00405A65">
              <w:rPr>
                <w:color w:val="000000" w:themeColor="text1"/>
                <w:sz w:val="20"/>
              </w:rPr>
              <w:t xml:space="preserve"> m.</w:t>
            </w:r>
            <w:r w:rsidRPr="00B825FE">
              <w:rPr>
                <w:color w:val="000000" w:themeColor="text1"/>
                <w:sz w:val="20"/>
              </w:rPr>
              <w:t>)</w:t>
            </w:r>
          </w:p>
          <w:p w14:paraId="6C3C2E51" w14:textId="77777777" w:rsidR="00AC6814" w:rsidRPr="00B825FE" w:rsidRDefault="00AC6814" w:rsidP="00BD69AD">
            <w:pPr>
              <w:jc w:val="center"/>
              <w:rPr>
                <w:color w:val="000000" w:themeColor="text1"/>
                <w:sz w:val="20"/>
              </w:rPr>
            </w:pPr>
          </w:p>
          <w:p w14:paraId="5BC9C0D3" w14:textId="77777777" w:rsidR="00AC6814" w:rsidRPr="00B825FE" w:rsidRDefault="00AC6814" w:rsidP="00BD69AD">
            <w:pPr>
              <w:jc w:val="center"/>
              <w:rPr>
                <w:color w:val="000000" w:themeColor="text1"/>
                <w:sz w:val="20"/>
              </w:rPr>
            </w:pPr>
          </w:p>
          <w:p w14:paraId="65F751F7" w14:textId="77777777" w:rsidR="00AC6814" w:rsidRPr="00B825FE" w:rsidRDefault="00AC6814" w:rsidP="00BD69AD">
            <w:pPr>
              <w:jc w:val="center"/>
              <w:rPr>
                <w:color w:val="000000" w:themeColor="text1"/>
                <w:sz w:val="20"/>
              </w:rPr>
            </w:pPr>
          </w:p>
          <w:p w14:paraId="5C105F79" w14:textId="77777777" w:rsidR="00AC6814" w:rsidRPr="00B825FE" w:rsidRDefault="00AC6814" w:rsidP="00BD69AD">
            <w:pPr>
              <w:jc w:val="center"/>
              <w:rPr>
                <w:color w:val="000000" w:themeColor="text1"/>
                <w:sz w:val="20"/>
              </w:rPr>
            </w:pPr>
          </w:p>
          <w:p w14:paraId="7B2B90A0" w14:textId="77777777" w:rsidR="00AC6814" w:rsidRPr="00B825FE" w:rsidRDefault="00AC6814" w:rsidP="00AC681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84B00" w14:textId="77777777" w:rsidR="00AC6814" w:rsidRPr="00B825FE" w:rsidRDefault="00AC6814" w:rsidP="00BD69AD">
            <w:pPr>
              <w:jc w:val="center"/>
              <w:rPr>
                <w:color w:val="000000" w:themeColor="text1"/>
                <w:sz w:val="20"/>
              </w:rPr>
            </w:pPr>
            <w:r w:rsidRPr="00B825FE">
              <w:rPr>
                <w:color w:val="000000" w:themeColor="text1"/>
                <w:sz w:val="20"/>
              </w:rPr>
              <w:t>1,94</w:t>
            </w:r>
          </w:p>
          <w:p w14:paraId="43422906" w14:textId="77777777" w:rsidR="00AC6814" w:rsidRPr="00B825FE" w:rsidRDefault="00AC6814" w:rsidP="00BD69AD">
            <w:pPr>
              <w:jc w:val="center"/>
              <w:rPr>
                <w:color w:val="000000" w:themeColor="text1"/>
                <w:sz w:val="20"/>
              </w:rPr>
            </w:pPr>
          </w:p>
          <w:p w14:paraId="5C2CA5D7" w14:textId="77777777" w:rsidR="00AC6814" w:rsidRPr="00B825FE" w:rsidRDefault="00AC6814" w:rsidP="00BD69AD">
            <w:pPr>
              <w:jc w:val="center"/>
              <w:rPr>
                <w:color w:val="000000" w:themeColor="text1"/>
                <w:sz w:val="20"/>
              </w:rPr>
            </w:pPr>
          </w:p>
          <w:p w14:paraId="37E32111" w14:textId="77777777" w:rsidR="00AC6814" w:rsidRPr="00B825FE" w:rsidRDefault="00AC6814" w:rsidP="00BD69AD">
            <w:pPr>
              <w:jc w:val="center"/>
              <w:rPr>
                <w:color w:val="000000" w:themeColor="text1"/>
                <w:sz w:val="20"/>
              </w:rPr>
            </w:pPr>
          </w:p>
          <w:p w14:paraId="1F785B99" w14:textId="77777777" w:rsidR="00AC6814" w:rsidRPr="00B825FE" w:rsidRDefault="00AC6814" w:rsidP="00BD69AD">
            <w:pPr>
              <w:jc w:val="center"/>
              <w:rPr>
                <w:color w:val="000000" w:themeColor="text1"/>
                <w:sz w:val="20"/>
              </w:rPr>
            </w:pPr>
          </w:p>
          <w:p w14:paraId="675ECEED" w14:textId="77777777" w:rsidR="00AC6814" w:rsidRPr="00B825FE" w:rsidRDefault="00AC6814" w:rsidP="00BD69AD">
            <w:pPr>
              <w:jc w:val="center"/>
              <w:rPr>
                <w:color w:val="000000" w:themeColor="text1"/>
                <w:sz w:val="20"/>
              </w:rPr>
            </w:pPr>
          </w:p>
          <w:p w14:paraId="3B354BD7" w14:textId="77777777" w:rsidR="00AC6814" w:rsidRPr="00B825FE" w:rsidRDefault="00AC6814" w:rsidP="00BD69AD">
            <w:pPr>
              <w:jc w:val="center"/>
              <w:rPr>
                <w:color w:val="000000" w:themeColor="text1"/>
                <w:sz w:val="20"/>
              </w:rPr>
            </w:pPr>
          </w:p>
          <w:p w14:paraId="06AB469C" w14:textId="77777777" w:rsidR="00AC6814" w:rsidRPr="00B825FE" w:rsidRDefault="00AC6814" w:rsidP="00BD69AD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07E835" w14:textId="456CAE08" w:rsidR="00AC6814" w:rsidRDefault="00497073" w:rsidP="00AF2C67">
            <w:pPr>
              <w:jc w:val="both"/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LRV ĮP; </w:t>
            </w:r>
            <w:r w:rsidR="00CB5FF0" w:rsidRPr="00CB5FF0">
              <w:rPr>
                <w:sz w:val="20"/>
              </w:rPr>
              <w:t>NRD</w:t>
            </w:r>
            <w:r w:rsidR="0094588E">
              <w:rPr>
                <w:sz w:val="20"/>
              </w:rPr>
              <w:t>;</w:t>
            </w:r>
          </w:p>
          <w:p w14:paraId="73C0776E" w14:textId="3DFCE65F" w:rsidR="004975D7" w:rsidRPr="003B6E83" w:rsidRDefault="007674D4" w:rsidP="00405A65">
            <w:pPr>
              <w:jc w:val="both"/>
              <w:rPr>
                <w:sz w:val="20"/>
              </w:rPr>
            </w:pPr>
            <w:r>
              <w:rPr>
                <w:sz w:val="20"/>
              </w:rPr>
              <w:t>d</w:t>
            </w:r>
            <w:r w:rsidR="00981D6B">
              <w:rPr>
                <w:sz w:val="20"/>
              </w:rPr>
              <w:t>arnaus vystymosi HP</w:t>
            </w:r>
            <w:r w:rsidR="0094588E">
              <w:rPr>
                <w:sz w:val="20"/>
              </w:rPr>
              <w:t>;</w:t>
            </w:r>
            <w:r w:rsidR="00981D6B">
              <w:rPr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 w:rsidR="004975D7">
              <w:rPr>
                <w:sz w:val="20"/>
              </w:rPr>
              <w:t>ygi</w:t>
            </w:r>
            <w:r w:rsidR="00405A65">
              <w:rPr>
                <w:sz w:val="20"/>
              </w:rPr>
              <w:t>ų</w:t>
            </w:r>
            <w:r w:rsidR="004975D7">
              <w:rPr>
                <w:sz w:val="20"/>
              </w:rPr>
              <w:t xml:space="preserve"> galimyb</w:t>
            </w:r>
            <w:r w:rsidR="00405A65">
              <w:rPr>
                <w:sz w:val="20"/>
              </w:rPr>
              <w:t>ių</w:t>
            </w:r>
            <w:r w:rsidR="004975D7">
              <w:rPr>
                <w:sz w:val="20"/>
              </w:rPr>
              <w:t xml:space="preserve"> visiems HP</w:t>
            </w:r>
          </w:p>
        </w:tc>
      </w:tr>
      <w:tr w:rsidR="00AC6814" w:rsidRPr="005B704D" w14:paraId="06198E9A" w14:textId="77777777" w:rsidTr="00954F11">
        <w:trPr>
          <w:trHeight w:val="985"/>
        </w:trPr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5A46C" w14:textId="77777777" w:rsidR="00AC6814" w:rsidRPr="00A669A2" w:rsidRDefault="00AC6814" w:rsidP="00C56C31">
            <w:pPr>
              <w:jc w:val="both"/>
              <w:rPr>
                <w:sz w:val="20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18938" w14:textId="77777777" w:rsidR="00AC6814" w:rsidRPr="00A669A2" w:rsidRDefault="00AC6814" w:rsidP="003D0B24">
            <w:pPr>
              <w:jc w:val="both"/>
              <w:rPr>
                <w:sz w:val="20"/>
              </w:rPr>
            </w:pPr>
          </w:p>
        </w:tc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9F5D9" w14:textId="77777777" w:rsidR="00AC6814" w:rsidRPr="00A669A2" w:rsidRDefault="00AC6814" w:rsidP="005B704D">
            <w:pPr>
              <w:rPr>
                <w:sz w:val="20"/>
              </w:rPr>
            </w:pPr>
          </w:p>
        </w:tc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94AC5" w14:textId="77777777" w:rsidR="00AC6814" w:rsidRPr="00BF2630" w:rsidRDefault="00AC6814" w:rsidP="000A702F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61F3E" w14:textId="77777777" w:rsidR="00AC6814" w:rsidRPr="00BF2630" w:rsidRDefault="00AC6814" w:rsidP="000A702F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93F6D" w14:textId="77777777" w:rsidR="00AC6814" w:rsidRPr="00A669A2" w:rsidRDefault="00AC6814" w:rsidP="00A41A0C">
            <w:pPr>
              <w:rPr>
                <w:sz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1163" w14:textId="77777777" w:rsidR="00AC6814" w:rsidRPr="00A669A2" w:rsidRDefault="00AC6814" w:rsidP="00865862">
            <w:pPr>
              <w:rPr>
                <w:bCs/>
                <w:sz w:val="20"/>
              </w:rPr>
            </w:pPr>
            <w:r w:rsidRPr="00B825FE">
              <w:rPr>
                <w:color w:val="000000" w:themeColor="text1"/>
                <w:sz w:val="20"/>
              </w:rPr>
              <w:t>Pajamų iš turto</w:t>
            </w:r>
            <w:r w:rsidR="00865862">
              <w:rPr>
                <w:color w:val="000000" w:themeColor="text1"/>
                <w:sz w:val="20"/>
              </w:rPr>
              <w:t xml:space="preserve"> mokesčių dalis nuo BVP (proc.)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E62B" w14:textId="77777777" w:rsidR="00AC6814" w:rsidRPr="00B825FE" w:rsidRDefault="00AC6814" w:rsidP="00AC6814">
            <w:pPr>
              <w:jc w:val="center"/>
              <w:rPr>
                <w:color w:val="000000" w:themeColor="text1"/>
                <w:sz w:val="20"/>
              </w:rPr>
            </w:pPr>
            <w:r w:rsidRPr="00B825FE">
              <w:rPr>
                <w:color w:val="000000" w:themeColor="text1"/>
                <w:sz w:val="20"/>
              </w:rPr>
              <w:t>0,3</w:t>
            </w:r>
          </w:p>
          <w:p w14:paraId="3560EC58" w14:textId="477B20C2" w:rsidR="00AC6814" w:rsidRPr="00B825FE" w:rsidRDefault="00AC6814" w:rsidP="00AC6814">
            <w:pPr>
              <w:jc w:val="center"/>
              <w:rPr>
                <w:color w:val="000000" w:themeColor="text1"/>
                <w:sz w:val="20"/>
              </w:rPr>
            </w:pPr>
            <w:r w:rsidRPr="00B825FE">
              <w:rPr>
                <w:color w:val="000000" w:themeColor="text1"/>
                <w:sz w:val="20"/>
              </w:rPr>
              <w:t>(201</w:t>
            </w:r>
            <w:r>
              <w:rPr>
                <w:color w:val="000000" w:themeColor="text1"/>
                <w:sz w:val="20"/>
              </w:rPr>
              <w:t>9</w:t>
            </w:r>
            <w:r w:rsidR="00405A65">
              <w:rPr>
                <w:color w:val="000000" w:themeColor="text1"/>
                <w:sz w:val="20"/>
              </w:rPr>
              <w:t xml:space="preserve"> m.</w:t>
            </w:r>
            <w:r w:rsidRPr="00B825FE">
              <w:rPr>
                <w:color w:val="000000" w:themeColor="text1"/>
                <w:sz w:val="20"/>
              </w:rPr>
              <w:t>)</w:t>
            </w:r>
          </w:p>
          <w:p w14:paraId="6257B506" w14:textId="77777777" w:rsidR="00AC6814" w:rsidRPr="00A669A2" w:rsidRDefault="00AC6814" w:rsidP="005B704D">
            <w:pPr>
              <w:jc w:val="center"/>
              <w:rPr>
                <w:sz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84D7" w14:textId="77777777" w:rsidR="00AC6814" w:rsidRPr="00B825FE" w:rsidRDefault="00AC6814" w:rsidP="00AC6814">
            <w:pPr>
              <w:jc w:val="center"/>
              <w:rPr>
                <w:color w:val="000000" w:themeColor="text1"/>
                <w:sz w:val="20"/>
              </w:rPr>
            </w:pPr>
            <w:r w:rsidRPr="00B825FE">
              <w:rPr>
                <w:color w:val="000000" w:themeColor="text1"/>
                <w:sz w:val="20"/>
              </w:rPr>
              <w:t>0,6</w:t>
            </w:r>
          </w:p>
          <w:p w14:paraId="7C9D07E4" w14:textId="77777777" w:rsidR="00AC6814" w:rsidRPr="00B825FE" w:rsidRDefault="00AC6814" w:rsidP="00AC6814">
            <w:pPr>
              <w:jc w:val="center"/>
              <w:rPr>
                <w:color w:val="000000" w:themeColor="text1"/>
                <w:sz w:val="20"/>
              </w:rPr>
            </w:pPr>
          </w:p>
          <w:p w14:paraId="2F44A33A" w14:textId="77777777" w:rsidR="00AC6814" w:rsidRPr="00A669A2" w:rsidRDefault="00AC6814" w:rsidP="005B704D">
            <w:pPr>
              <w:jc w:val="center"/>
              <w:rPr>
                <w:sz w:val="20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6A309" w14:textId="77777777" w:rsidR="00AC6814" w:rsidRDefault="00AC6814" w:rsidP="00057E9D">
            <w:pPr>
              <w:jc w:val="both"/>
              <w:rPr>
                <w:sz w:val="20"/>
              </w:rPr>
            </w:pPr>
          </w:p>
        </w:tc>
      </w:tr>
      <w:tr w:rsidR="00AC6814" w:rsidRPr="005B704D" w14:paraId="38A9DE21" w14:textId="77777777" w:rsidTr="00954F11">
        <w:trPr>
          <w:trHeight w:val="985"/>
        </w:trPr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06704" w14:textId="77777777" w:rsidR="00AC6814" w:rsidRPr="00A669A2" w:rsidRDefault="00AC6814" w:rsidP="00C56C31">
            <w:pPr>
              <w:jc w:val="both"/>
              <w:rPr>
                <w:sz w:val="20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CB95A" w14:textId="77777777" w:rsidR="00AC6814" w:rsidRPr="00A669A2" w:rsidRDefault="00AC6814" w:rsidP="003D0B24">
            <w:pPr>
              <w:jc w:val="both"/>
              <w:rPr>
                <w:sz w:val="20"/>
              </w:rPr>
            </w:pPr>
          </w:p>
        </w:tc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F94AD" w14:textId="77777777" w:rsidR="00AC6814" w:rsidRPr="00A669A2" w:rsidRDefault="00AC6814" w:rsidP="005B704D">
            <w:pPr>
              <w:rPr>
                <w:sz w:val="20"/>
              </w:rPr>
            </w:pPr>
          </w:p>
        </w:tc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788A9" w14:textId="77777777" w:rsidR="00AC6814" w:rsidRPr="00BF2630" w:rsidRDefault="00AC6814" w:rsidP="000A702F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A2B71A" w14:textId="77777777" w:rsidR="00AC6814" w:rsidRPr="00BF2630" w:rsidRDefault="00AC6814" w:rsidP="000A702F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73604" w14:textId="77777777" w:rsidR="00AC6814" w:rsidRPr="00A669A2" w:rsidRDefault="00AC6814" w:rsidP="00A41A0C">
            <w:pPr>
              <w:rPr>
                <w:sz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FB8F" w14:textId="77777777" w:rsidR="00AC6814" w:rsidRPr="004D1AD2" w:rsidRDefault="00AC6814" w:rsidP="00AC6814">
            <w:pPr>
              <w:rPr>
                <w:sz w:val="20"/>
              </w:rPr>
            </w:pPr>
            <w:r w:rsidRPr="004D1AD2">
              <w:rPr>
                <w:sz w:val="20"/>
              </w:rPr>
              <w:t xml:space="preserve">Savarankiškai </w:t>
            </w:r>
          </w:p>
          <w:p w14:paraId="6C22A16C" w14:textId="77777777" w:rsidR="00AC6814" w:rsidRPr="004D1AD2" w:rsidRDefault="00AC6814" w:rsidP="00AC6814">
            <w:pPr>
              <w:rPr>
                <w:bCs/>
                <w:sz w:val="20"/>
              </w:rPr>
            </w:pPr>
            <w:r w:rsidRPr="004D1AD2">
              <w:rPr>
                <w:sz w:val="20"/>
              </w:rPr>
              <w:t>dirbančių asmenų sumokamo gyventojų pajamų mokesčio ir socialinio draudimo įmokų dalis nuo BVP (proc.).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8B79" w14:textId="77777777" w:rsidR="00AC6814" w:rsidRPr="004D1AD2" w:rsidRDefault="00AC6814" w:rsidP="00AC6814">
            <w:pPr>
              <w:jc w:val="center"/>
              <w:rPr>
                <w:sz w:val="20"/>
              </w:rPr>
            </w:pPr>
            <w:r w:rsidRPr="004D1AD2">
              <w:rPr>
                <w:sz w:val="20"/>
              </w:rPr>
              <w:t>0,6</w:t>
            </w:r>
          </w:p>
          <w:p w14:paraId="5BCE4F56" w14:textId="4D5A8753" w:rsidR="00AC6814" w:rsidRPr="004D1AD2" w:rsidRDefault="00AC6814" w:rsidP="00AC6814">
            <w:pPr>
              <w:jc w:val="center"/>
              <w:rPr>
                <w:sz w:val="20"/>
              </w:rPr>
            </w:pPr>
            <w:r w:rsidRPr="004D1AD2">
              <w:rPr>
                <w:sz w:val="20"/>
              </w:rPr>
              <w:t>(2019</w:t>
            </w:r>
            <w:r w:rsidR="00405A65">
              <w:rPr>
                <w:sz w:val="20"/>
              </w:rPr>
              <w:t xml:space="preserve"> m.</w:t>
            </w:r>
            <w:r w:rsidRPr="004D1AD2">
              <w:rPr>
                <w:sz w:val="20"/>
              </w:rPr>
              <w:t>)</w:t>
            </w:r>
          </w:p>
          <w:p w14:paraId="14C680CB" w14:textId="77777777" w:rsidR="00AC6814" w:rsidRPr="004D1AD2" w:rsidRDefault="00AC6814" w:rsidP="00AC6814">
            <w:pPr>
              <w:jc w:val="center"/>
              <w:rPr>
                <w:sz w:val="20"/>
              </w:rPr>
            </w:pPr>
          </w:p>
          <w:p w14:paraId="1E47AA77" w14:textId="77777777" w:rsidR="00AC6814" w:rsidRPr="004D1AD2" w:rsidRDefault="00AC6814" w:rsidP="005B704D">
            <w:pPr>
              <w:jc w:val="center"/>
              <w:rPr>
                <w:sz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4BFB" w14:textId="77777777" w:rsidR="00AC6814" w:rsidRPr="004D1AD2" w:rsidRDefault="00AC6814" w:rsidP="00AC6814">
            <w:pPr>
              <w:jc w:val="center"/>
              <w:rPr>
                <w:sz w:val="20"/>
              </w:rPr>
            </w:pPr>
            <w:r w:rsidRPr="004D1AD2">
              <w:rPr>
                <w:sz w:val="20"/>
              </w:rPr>
              <w:t>0,7</w:t>
            </w:r>
          </w:p>
        </w:tc>
        <w:tc>
          <w:tcPr>
            <w:tcW w:w="5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B13B" w14:textId="77777777" w:rsidR="00AC6814" w:rsidRDefault="00AC6814" w:rsidP="00057E9D">
            <w:pPr>
              <w:jc w:val="both"/>
              <w:rPr>
                <w:sz w:val="20"/>
              </w:rPr>
            </w:pPr>
          </w:p>
        </w:tc>
      </w:tr>
      <w:tr w:rsidR="004F0A21" w:rsidRPr="005B704D" w14:paraId="25DCC239" w14:textId="77777777" w:rsidTr="00954F11">
        <w:trPr>
          <w:trHeight w:val="2047"/>
        </w:trPr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BB6C95" w14:textId="77777777" w:rsidR="004F0A21" w:rsidRPr="00A669A2" w:rsidRDefault="004F0A21" w:rsidP="00C56C31">
            <w:pPr>
              <w:jc w:val="both"/>
              <w:rPr>
                <w:rFonts w:eastAsia="Calibri"/>
                <w:sz w:val="20"/>
                <w:szCs w:val="22"/>
              </w:rPr>
            </w:pPr>
            <w:r w:rsidRPr="00A669A2">
              <w:rPr>
                <w:sz w:val="20"/>
              </w:rPr>
              <w:t>04-001-08-05-04 (PP)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183BF" w14:textId="7D54CE17" w:rsidR="004F0A21" w:rsidRPr="00976FCD" w:rsidRDefault="004F0A21" w:rsidP="00E51A80">
            <w:pPr>
              <w:jc w:val="both"/>
              <w:rPr>
                <w:b/>
                <w:sz w:val="20"/>
              </w:rPr>
            </w:pPr>
            <w:r w:rsidRPr="00976FCD">
              <w:rPr>
                <w:b/>
                <w:sz w:val="20"/>
              </w:rPr>
              <w:t xml:space="preserve">Stiprinti </w:t>
            </w:r>
            <w:r w:rsidRPr="001B716C">
              <w:rPr>
                <w:b/>
                <w:sz w:val="20"/>
              </w:rPr>
              <w:t>viešojo ir privataus sektorių partnerystę</w:t>
            </w:r>
            <w:r w:rsidRPr="00976FCD">
              <w:rPr>
                <w:b/>
                <w:sz w:val="20"/>
              </w:rPr>
              <w:t xml:space="preserve"> ir skatinti privačių investicijų pritraukimą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7F448" w14:textId="77777777" w:rsidR="004F0A21" w:rsidRPr="00A669A2" w:rsidRDefault="004F0A21" w:rsidP="005B704D">
            <w:pPr>
              <w:rPr>
                <w:sz w:val="20"/>
              </w:rPr>
            </w:pPr>
            <w:r w:rsidRPr="00A669A2">
              <w:rPr>
                <w:sz w:val="20"/>
              </w:rPr>
              <w:t>8.</w:t>
            </w:r>
            <w:r>
              <w:rPr>
                <w:sz w:val="20"/>
              </w:rPr>
              <w:t>5</w:t>
            </w:r>
            <w:r w:rsidRPr="00A669A2">
              <w:rPr>
                <w:sz w:val="20"/>
              </w:rPr>
              <w:t xml:space="preserve">. Didinti viešųjų finansų ir valstybės turto </w:t>
            </w:r>
          </w:p>
          <w:p w14:paraId="671322FB" w14:textId="77777777" w:rsidR="004F0A21" w:rsidRPr="00A669A2" w:rsidRDefault="004F0A21" w:rsidP="005B704D">
            <w:pPr>
              <w:rPr>
                <w:sz w:val="20"/>
              </w:rPr>
            </w:pPr>
            <w:r w:rsidRPr="00A669A2">
              <w:rPr>
                <w:sz w:val="20"/>
              </w:rPr>
              <w:t>valdymo ir panaudojimo efektyvumą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1D332" w14:textId="77777777" w:rsidR="004F0A21" w:rsidRDefault="004F0A21" w:rsidP="000A702F">
            <w:pPr>
              <w:jc w:val="center"/>
            </w:pPr>
            <w:r w:rsidRPr="00BF2630">
              <w:rPr>
                <w:color w:val="000000" w:themeColor="text1"/>
                <w:sz w:val="20"/>
              </w:rPr>
              <w:t>–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00119" w14:textId="77777777" w:rsidR="004F0A21" w:rsidRDefault="004F0A21" w:rsidP="000A702F">
            <w:pPr>
              <w:jc w:val="center"/>
            </w:pPr>
            <w:r w:rsidRPr="00BF2630">
              <w:rPr>
                <w:color w:val="000000" w:themeColor="text1"/>
                <w:sz w:val="20"/>
              </w:rPr>
              <w:t>–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7176A" w14:textId="77777777" w:rsidR="004F0A21" w:rsidRPr="00A669A2" w:rsidRDefault="004F0A21" w:rsidP="00D91B86">
            <w:pPr>
              <w:rPr>
                <w:sz w:val="20"/>
              </w:rPr>
            </w:pPr>
            <w:r w:rsidRPr="00A669A2">
              <w:rPr>
                <w:sz w:val="20"/>
              </w:rPr>
              <w:t>E</w:t>
            </w:r>
            <w:r>
              <w:rPr>
                <w:sz w:val="20"/>
              </w:rPr>
              <w:t>IM</w:t>
            </w:r>
            <w:r w:rsidRPr="00A669A2">
              <w:rPr>
                <w:sz w:val="20"/>
              </w:rPr>
              <w:t>,</w:t>
            </w:r>
            <w:r>
              <w:rPr>
                <w:sz w:val="20"/>
              </w:rPr>
              <w:t xml:space="preserve"> ŽŪM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1699" w14:textId="710D7625" w:rsidR="004F0A21" w:rsidRPr="00A669A2" w:rsidRDefault="004F0A21" w:rsidP="00D91B86">
            <w:pPr>
              <w:rPr>
                <w:bCs/>
                <w:sz w:val="20"/>
              </w:rPr>
            </w:pPr>
            <w:r w:rsidRPr="00A669A2">
              <w:rPr>
                <w:bCs/>
                <w:sz w:val="20"/>
              </w:rPr>
              <w:t>Mažų ir vidutinių įmonių, kurioms aktualiausia problema yra finansavimo prieinamumas, dalis (proc.)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C44B" w14:textId="77777777" w:rsidR="004F0A21" w:rsidRPr="00A669A2" w:rsidRDefault="004F0A21" w:rsidP="005B704D">
            <w:pPr>
              <w:jc w:val="center"/>
              <w:rPr>
                <w:sz w:val="20"/>
              </w:rPr>
            </w:pPr>
            <w:r w:rsidRPr="00A669A2">
              <w:rPr>
                <w:sz w:val="20"/>
              </w:rPr>
              <w:t>13</w:t>
            </w:r>
          </w:p>
          <w:p w14:paraId="00A473DA" w14:textId="4D47C00F" w:rsidR="004F0A21" w:rsidRPr="00A669A2" w:rsidRDefault="004F0A21" w:rsidP="005B704D">
            <w:pPr>
              <w:jc w:val="center"/>
              <w:rPr>
                <w:sz w:val="20"/>
              </w:rPr>
            </w:pPr>
            <w:r w:rsidRPr="00A669A2">
              <w:rPr>
                <w:sz w:val="20"/>
              </w:rPr>
              <w:t>(2020</w:t>
            </w:r>
            <w:r w:rsidR="00405A65">
              <w:rPr>
                <w:sz w:val="20"/>
              </w:rPr>
              <w:t xml:space="preserve"> m.</w:t>
            </w:r>
            <w:r w:rsidRPr="00A669A2">
              <w:rPr>
                <w:sz w:val="20"/>
              </w:rPr>
              <w:t>)</w:t>
            </w:r>
          </w:p>
          <w:p w14:paraId="3FFD1663" w14:textId="77777777" w:rsidR="004F0A21" w:rsidRPr="00A669A2" w:rsidRDefault="004F0A21" w:rsidP="003D0B24">
            <w:pPr>
              <w:jc w:val="center"/>
              <w:rPr>
                <w:sz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A38A" w14:textId="77777777" w:rsidR="004F0A21" w:rsidRPr="00A669A2" w:rsidRDefault="004F0A21" w:rsidP="005B704D">
            <w:pPr>
              <w:jc w:val="center"/>
              <w:rPr>
                <w:sz w:val="20"/>
              </w:rPr>
            </w:pPr>
            <w:r w:rsidRPr="00A669A2">
              <w:rPr>
                <w:sz w:val="20"/>
              </w:rPr>
              <w:t>8</w:t>
            </w:r>
          </w:p>
          <w:p w14:paraId="0F9EC6B1" w14:textId="5C7ADA0B" w:rsidR="004F0A21" w:rsidRPr="00A669A2" w:rsidRDefault="004F0A21" w:rsidP="005B704D">
            <w:pPr>
              <w:jc w:val="center"/>
              <w:rPr>
                <w:sz w:val="20"/>
              </w:rPr>
            </w:pPr>
            <w:r w:rsidRPr="0040661B">
              <w:rPr>
                <w:sz w:val="20"/>
              </w:rPr>
              <w:t>(2024</w:t>
            </w:r>
            <w:r w:rsidR="00405A65">
              <w:rPr>
                <w:sz w:val="20"/>
              </w:rPr>
              <w:t xml:space="preserve"> m.</w:t>
            </w:r>
            <w:r w:rsidRPr="0040661B">
              <w:rPr>
                <w:sz w:val="20"/>
              </w:rPr>
              <w:t>)</w:t>
            </w:r>
          </w:p>
          <w:p w14:paraId="6CF59721" w14:textId="1C9FB179" w:rsidR="004F0A21" w:rsidRPr="00A669A2" w:rsidRDefault="004F0A21" w:rsidP="005B704D">
            <w:pPr>
              <w:jc w:val="center"/>
              <w:rPr>
                <w:sz w:val="20"/>
              </w:rPr>
            </w:pPr>
          </w:p>
          <w:p w14:paraId="24B3AE66" w14:textId="77777777" w:rsidR="004F0A21" w:rsidRPr="00A669A2" w:rsidRDefault="004F0A21" w:rsidP="005B704D">
            <w:pPr>
              <w:jc w:val="center"/>
              <w:rPr>
                <w:sz w:val="20"/>
              </w:rPr>
            </w:pPr>
          </w:p>
          <w:p w14:paraId="1C3637A1" w14:textId="77777777" w:rsidR="004F0A21" w:rsidRPr="00A669A2" w:rsidRDefault="004F0A21" w:rsidP="000A702F">
            <w:pPr>
              <w:jc w:val="center"/>
              <w:rPr>
                <w:sz w:val="20"/>
              </w:rPr>
            </w:pP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0D448" w14:textId="784BDB02" w:rsidR="004F0A21" w:rsidRPr="00A669A2" w:rsidRDefault="004F0A21">
            <w:pPr>
              <w:jc w:val="both"/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LRV ĮP</w:t>
            </w:r>
            <w:r w:rsidR="00405A65">
              <w:rPr>
                <w:color w:val="000000" w:themeColor="text1"/>
                <w:sz w:val="20"/>
              </w:rPr>
              <w:t>;</w:t>
            </w:r>
            <w:r>
              <w:rPr>
                <w:color w:val="000000" w:themeColor="text1"/>
                <w:sz w:val="20"/>
              </w:rPr>
              <w:t xml:space="preserve"> </w:t>
            </w:r>
            <w:r w:rsidR="007674D4">
              <w:rPr>
                <w:color w:val="000000" w:themeColor="text1"/>
                <w:sz w:val="20"/>
              </w:rPr>
              <w:t>inovatyvumo</w:t>
            </w:r>
            <w:r w:rsidR="00D61FFF">
              <w:rPr>
                <w:color w:val="000000" w:themeColor="text1"/>
                <w:sz w:val="20"/>
              </w:rPr>
              <w:t xml:space="preserve"> (kūrybingumo)</w:t>
            </w:r>
            <w:r>
              <w:rPr>
                <w:color w:val="000000" w:themeColor="text1"/>
                <w:sz w:val="20"/>
              </w:rPr>
              <w:t xml:space="preserve"> HP</w:t>
            </w:r>
          </w:p>
        </w:tc>
      </w:tr>
      <w:tr w:rsidR="004F0A21" w:rsidRPr="005B704D" w14:paraId="20D50EC1" w14:textId="77777777" w:rsidTr="00954F11">
        <w:trPr>
          <w:trHeight w:val="3322"/>
        </w:trPr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13C60C" w14:textId="77777777" w:rsidR="004F0A21" w:rsidRPr="00A669A2" w:rsidRDefault="004F0A21" w:rsidP="00C56C31">
            <w:pPr>
              <w:jc w:val="both"/>
              <w:rPr>
                <w:sz w:val="20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17CD3" w14:textId="77777777" w:rsidR="004F0A21" w:rsidRPr="00A669A2" w:rsidRDefault="004F0A21" w:rsidP="003D0B24">
            <w:pPr>
              <w:jc w:val="both"/>
              <w:rPr>
                <w:sz w:val="20"/>
              </w:rPr>
            </w:pPr>
          </w:p>
        </w:tc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E628C" w14:textId="77777777" w:rsidR="004F0A21" w:rsidRPr="00A669A2" w:rsidRDefault="004F0A21" w:rsidP="005B704D">
            <w:pPr>
              <w:rPr>
                <w:sz w:val="20"/>
              </w:rPr>
            </w:pPr>
          </w:p>
        </w:tc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78208" w14:textId="77777777" w:rsidR="004F0A21" w:rsidRPr="00BF2630" w:rsidRDefault="004F0A21" w:rsidP="000A702F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43955" w14:textId="77777777" w:rsidR="004F0A21" w:rsidRPr="00BF2630" w:rsidRDefault="004F0A21" w:rsidP="000A702F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85635" w14:textId="77777777" w:rsidR="004F0A21" w:rsidRPr="00A669A2" w:rsidRDefault="004F0A21" w:rsidP="00A41A0C">
            <w:pPr>
              <w:rPr>
                <w:sz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C10A" w14:textId="13DBB24E" w:rsidR="004F0A21" w:rsidRPr="00A669A2" w:rsidRDefault="004F0A21" w:rsidP="00147F8A">
            <w:pPr>
              <w:rPr>
                <w:bCs/>
                <w:sz w:val="20"/>
              </w:rPr>
            </w:pPr>
            <w:r w:rsidRPr="00D451AB">
              <w:rPr>
                <w:bCs/>
                <w:sz w:val="20"/>
              </w:rPr>
              <w:t xml:space="preserve">Padidintas </w:t>
            </w:r>
            <w:r w:rsidR="00D451AB" w:rsidRPr="00D451AB">
              <w:rPr>
                <w:sz w:val="20"/>
              </w:rPr>
              <w:t>viešojo ir privataus sektorių partneryst</w:t>
            </w:r>
            <w:r w:rsidR="00D451AB">
              <w:rPr>
                <w:sz w:val="20"/>
              </w:rPr>
              <w:t>ės (</w:t>
            </w:r>
            <w:r w:rsidRPr="00D451AB">
              <w:rPr>
                <w:bCs/>
                <w:sz w:val="20"/>
              </w:rPr>
              <w:t>VPSP</w:t>
            </w:r>
            <w:r w:rsidR="00D451AB">
              <w:rPr>
                <w:bCs/>
                <w:sz w:val="20"/>
              </w:rPr>
              <w:t>)</w:t>
            </w:r>
            <w:r w:rsidRPr="00D451AB">
              <w:rPr>
                <w:bCs/>
                <w:sz w:val="20"/>
              </w:rPr>
              <w:t xml:space="preserve"> projektų</w:t>
            </w:r>
            <w:r w:rsidRPr="00A669A2">
              <w:rPr>
                <w:bCs/>
                <w:sz w:val="20"/>
              </w:rPr>
              <w:t xml:space="preserve"> įgyvendinimo proceso rezultatyvumas (</w:t>
            </w:r>
            <w:r w:rsidR="00147F8A">
              <w:rPr>
                <w:bCs/>
                <w:sz w:val="20"/>
              </w:rPr>
              <w:t xml:space="preserve">projektų, kuriems įgyvendinti pasirinktas </w:t>
            </w:r>
            <w:r w:rsidRPr="00A669A2">
              <w:rPr>
                <w:sz w:val="20"/>
              </w:rPr>
              <w:t>VPSP būd</w:t>
            </w:r>
            <w:r w:rsidR="00147F8A">
              <w:rPr>
                <w:sz w:val="20"/>
              </w:rPr>
              <w:t>as ir</w:t>
            </w:r>
            <w:r>
              <w:rPr>
                <w:sz w:val="20"/>
              </w:rPr>
              <w:t xml:space="preserve"> </w:t>
            </w:r>
            <w:r w:rsidRPr="00A669A2">
              <w:rPr>
                <w:sz w:val="20"/>
              </w:rPr>
              <w:t>pasiek</w:t>
            </w:r>
            <w:r w:rsidR="00147F8A">
              <w:rPr>
                <w:sz w:val="20"/>
              </w:rPr>
              <w:t xml:space="preserve">ta </w:t>
            </w:r>
            <w:r w:rsidRPr="00A669A2">
              <w:rPr>
                <w:sz w:val="20"/>
              </w:rPr>
              <w:t>sutarties pasirašymo ir įsigaliojimo</w:t>
            </w:r>
            <w:r>
              <w:rPr>
                <w:sz w:val="20"/>
              </w:rPr>
              <w:t xml:space="preserve"> stadij</w:t>
            </w:r>
            <w:r w:rsidR="00147F8A">
              <w:rPr>
                <w:sz w:val="20"/>
              </w:rPr>
              <w:t>a</w:t>
            </w:r>
            <w:r>
              <w:rPr>
                <w:bCs/>
                <w:sz w:val="20"/>
              </w:rPr>
              <w:t>, dalis</w:t>
            </w:r>
            <w:r w:rsidR="00147F8A">
              <w:rPr>
                <w:bCs/>
                <w:sz w:val="20"/>
              </w:rPr>
              <w:t xml:space="preserve"> (</w:t>
            </w:r>
            <w:r w:rsidRPr="00A669A2">
              <w:rPr>
                <w:bCs/>
                <w:sz w:val="20"/>
              </w:rPr>
              <w:t>proc.)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8B97" w14:textId="60AAE87B" w:rsidR="004F0A21" w:rsidRDefault="004F0A21" w:rsidP="00D86808">
            <w:pPr>
              <w:jc w:val="center"/>
              <w:rPr>
                <w:sz w:val="20"/>
              </w:rPr>
            </w:pPr>
            <w:r w:rsidRPr="00A669A2">
              <w:rPr>
                <w:sz w:val="20"/>
              </w:rPr>
              <w:t xml:space="preserve">22 </w:t>
            </w:r>
          </w:p>
          <w:p w14:paraId="33525296" w14:textId="5561BFCD" w:rsidR="005731EC" w:rsidRPr="00A669A2" w:rsidRDefault="005731EC" w:rsidP="00D868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(2021</w:t>
            </w:r>
            <w:r w:rsidR="00405A65">
              <w:rPr>
                <w:sz w:val="20"/>
              </w:rPr>
              <w:t xml:space="preserve"> m.</w:t>
            </w:r>
            <w:r w:rsidR="008259D1">
              <w:rPr>
                <w:sz w:val="20"/>
              </w:rPr>
              <w:t xml:space="preserve"> </w:t>
            </w:r>
            <w:proofErr w:type="spellStart"/>
            <w:r w:rsidR="008259D1" w:rsidRPr="00582895">
              <w:rPr>
                <w:sz w:val="20"/>
              </w:rPr>
              <w:t>VšĮ</w:t>
            </w:r>
            <w:proofErr w:type="spellEnd"/>
            <w:r w:rsidR="008259D1" w:rsidRPr="00582895">
              <w:rPr>
                <w:sz w:val="20"/>
              </w:rPr>
              <w:t xml:space="preserve"> Centrinės projektų valdymo agentūros renkama statistika</w:t>
            </w:r>
            <w:r w:rsidRPr="008259D1">
              <w:rPr>
                <w:sz w:val="20"/>
              </w:rPr>
              <w:t>)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0692" w14:textId="77777777" w:rsidR="004F0A21" w:rsidRPr="00A669A2" w:rsidRDefault="004F0A21" w:rsidP="00AC68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5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0F8A" w14:textId="77777777" w:rsidR="004F0A21" w:rsidRDefault="004F0A21" w:rsidP="00057E9D">
            <w:pPr>
              <w:jc w:val="both"/>
              <w:rPr>
                <w:sz w:val="20"/>
              </w:rPr>
            </w:pPr>
          </w:p>
        </w:tc>
      </w:tr>
      <w:tr w:rsidR="004F0A21" w:rsidRPr="005B704D" w14:paraId="2B6F5A22" w14:textId="77777777" w:rsidTr="00954F11">
        <w:trPr>
          <w:trHeight w:val="976"/>
        </w:trPr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17213" w14:textId="77777777" w:rsidR="004F0A21" w:rsidRPr="00A669A2" w:rsidRDefault="004F0A21" w:rsidP="00C56C31">
            <w:pPr>
              <w:jc w:val="both"/>
              <w:rPr>
                <w:sz w:val="20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21541" w14:textId="77777777" w:rsidR="004F0A21" w:rsidRPr="00A669A2" w:rsidRDefault="004F0A21" w:rsidP="003D0B24">
            <w:pPr>
              <w:jc w:val="both"/>
              <w:rPr>
                <w:sz w:val="20"/>
              </w:rPr>
            </w:pPr>
          </w:p>
        </w:tc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603A0" w14:textId="77777777" w:rsidR="004F0A21" w:rsidRPr="00A669A2" w:rsidRDefault="004F0A21" w:rsidP="005B704D">
            <w:pPr>
              <w:rPr>
                <w:sz w:val="20"/>
              </w:rPr>
            </w:pPr>
          </w:p>
        </w:tc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606FD" w14:textId="77777777" w:rsidR="004F0A21" w:rsidRPr="00BF2630" w:rsidRDefault="004F0A21" w:rsidP="000A702F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6E71D" w14:textId="77777777" w:rsidR="004F0A21" w:rsidRPr="00BF2630" w:rsidRDefault="004F0A21" w:rsidP="000A702F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CF6C9" w14:textId="77777777" w:rsidR="004F0A21" w:rsidRPr="00A669A2" w:rsidRDefault="004F0A21" w:rsidP="00A41A0C">
            <w:pPr>
              <w:rPr>
                <w:sz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6026" w14:textId="2AE29955" w:rsidR="004F0A21" w:rsidRPr="00A669A2" w:rsidRDefault="004F0A21" w:rsidP="00631635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Pritrauktų privačių lėšų padidėjimas (kartai)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E441" w14:textId="17A59000" w:rsidR="004F0A21" w:rsidRDefault="005731EC" w:rsidP="005731EC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1</w:t>
            </w:r>
          </w:p>
          <w:p w14:paraId="3479830F" w14:textId="0500AF62" w:rsidR="005731EC" w:rsidRPr="005731EC" w:rsidDel="00140722" w:rsidRDefault="005731EC" w:rsidP="00D451AB">
            <w:pPr>
              <w:jc w:val="center"/>
              <w:rPr>
                <w:sz w:val="20"/>
              </w:rPr>
            </w:pPr>
            <w:r w:rsidRPr="00631635">
              <w:rPr>
                <w:sz w:val="20"/>
              </w:rPr>
              <w:t>(</w:t>
            </w:r>
            <w:r w:rsidR="008259D1" w:rsidRPr="00582895">
              <w:rPr>
                <w:sz w:val="20"/>
              </w:rPr>
              <w:t>atitinka 1,3 mlrd. eurų</w:t>
            </w:r>
            <w:r w:rsidR="00D451AB">
              <w:rPr>
                <w:sz w:val="20"/>
              </w:rPr>
              <w:t>,</w:t>
            </w:r>
            <w:r w:rsidR="008259D1" w:rsidRPr="00582895">
              <w:rPr>
                <w:sz w:val="20"/>
              </w:rPr>
              <w:t xml:space="preserve"> 2020 m. pritrauktų privačių lėšų suma</w:t>
            </w:r>
            <w:r w:rsidR="00405A65">
              <w:rPr>
                <w:sz w:val="20"/>
              </w:rPr>
              <w:t>)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B23D" w14:textId="6D4B9ACE" w:rsidR="004F0A21" w:rsidRDefault="00A0711D" w:rsidP="00AC681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2,5 </w:t>
            </w:r>
          </w:p>
        </w:tc>
        <w:tc>
          <w:tcPr>
            <w:tcW w:w="5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9531" w14:textId="77777777" w:rsidR="004F0A21" w:rsidRDefault="004F0A21" w:rsidP="00057E9D">
            <w:pPr>
              <w:jc w:val="both"/>
              <w:rPr>
                <w:sz w:val="20"/>
              </w:rPr>
            </w:pPr>
          </w:p>
        </w:tc>
      </w:tr>
      <w:tr w:rsidR="00BE06F4" w:rsidRPr="00622AB7" w14:paraId="7A65DC63" w14:textId="77777777" w:rsidTr="00954F11">
        <w:trPr>
          <w:trHeight w:val="1018"/>
        </w:trPr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A3D210" w14:textId="77777777" w:rsidR="00BE06F4" w:rsidRPr="00A669A2" w:rsidRDefault="00BE06F4" w:rsidP="008B75EB">
            <w:pPr>
              <w:jc w:val="both"/>
              <w:rPr>
                <w:sz w:val="20"/>
              </w:rPr>
            </w:pPr>
            <w:r w:rsidRPr="00A669A2">
              <w:rPr>
                <w:sz w:val="20"/>
              </w:rPr>
              <w:t>04-001-08-05-05 (P</w:t>
            </w:r>
            <w:r w:rsidR="008B75EB">
              <w:rPr>
                <w:sz w:val="20"/>
              </w:rPr>
              <w:t>N</w:t>
            </w:r>
            <w:r w:rsidRPr="00A669A2">
              <w:rPr>
                <w:sz w:val="20"/>
              </w:rPr>
              <w:t>)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BE8263" w14:textId="7367FFD2" w:rsidR="00BE06F4" w:rsidRPr="00976FCD" w:rsidRDefault="00BE06F4" w:rsidP="00A41A0C">
            <w:pPr>
              <w:jc w:val="both"/>
              <w:rPr>
                <w:b/>
                <w:color w:val="000000" w:themeColor="text1"/>
                <w:sz w:val="20"/>
              </w:rPr>
            </w:pPr>
            <w:r w:rsidRPr="00976FCD">
              <w:rPr>
                <w:b/>
                <w:color w:val="000000" w:themeColor="text1"/>
                <w:sz w:val="20"/>
              </w:rPr>
              <w:t xml:space="preserve">Optimizuoti </w:t>
            </w:r>
            <w:r w:rsidR="00405A65">
              <w:rPr>
                <w:b/>
                <w:color w:val="000000" w:themeColor="text1"/>
                <w:sz w:val="20"/>
              </w:rPr>
              <w:t>v</w:t>
            </w:r>
            <w:r w:rsidR="000101A6">
              <w:rPr>
                <w:b/>
                <w:color w:val="000000" w:themeColor="text1"/>
                <w:sz w:val="20"/>
              </w:rPr>
              <w:t xml:space="preserve">alstybės nekilnojamojo turto </w:t>
            </w:r>
            <w:r w:rsidRPr="00976FCD">
              <w:rPr>
                <w:b/>
                <w:color w:val="000000" w:themeColor="text1"/>
                <w:sz w:val="20"/>
              </w:rPr>
              <w:t>apimtis</w:t>
            </w:r>
          </w:p>
          <w:p w14:paraId="3A9CC9E3" w14:textId="77777777" w:rsidR="00BE06F4" w:rsidRPr="00622AB7" w:rsidRDefault="00BE06F4" w:rsidP="00A41A0C">
            <w:pPr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9CC9A" w14:textId="77777777" w:rsidR="00BE06F4" w:rsidRPr="00622AB7" w:rsidRDefault="00BE06F4" w:rsidP="00BE06F4">
            <w:pPr>
              <w:rPr>
                <w:color w:val="000000" w:themeColor="text1"/>
                <w:sz w:val="20"/>
              </w:rPr>
            </w:pPr>
            <w:r w:rsidRPr="00622AB7">
              <w:rPr>
                <w:color w:val="000000" w:themeColor="text1"/>
                <w:sz w:val="20"/>
              </w:rPr>
              <w:t>8.</w:t>
            </w:r>
            <w:r>
              <w:rPr>
                <w:color w:val="000000" w:themeColor="text1"/>
                <w:sz w:val="20"/>
              </w:rPr>
              <w:t>5</w:t>
            </w:r>
            <w:r w:rsidRPr="00622AB7">
              <w:rPr>
                <w:color w:val="000000" w:themeColor="text1"/>
                <w:sz w:val="20"/>
              </w:rPr>
              <w:t>. Didinti viešųjų finansų ir valstybės turto valdymo ir panaudojimo efektyvumą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B0032" w14:textId="77777777" w:rsidR="00BE06F4" w:rsidRDefault="00BE06F4" w:rsidP="000A702F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–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3463E" w14:textId="77777777" w:rsidR="00BE06F4" w:rsidRPr="00622AB7" w:rsidRDefault="00BE06F4" w:rsidP="00BE06F4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–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AAEB0" w14:textId="77777777" w:rsidR="00BE06F4" w:rsidRPr="00622AB7" w:rsidRDefault="00BE06F4" w:rsidP="005F2FBE">
            <w:pPr>
              <w:rPr>
                <w:color w:val="000000" w:themeColor="text1"/>
                <w:sz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5AA6" w14:textId="4E593952" w:rsidR="00BE06F4" w:rsidRPr="00622AB7" w:rsidRDefault="00BE06F4" w:rsidP="00245C77">
            <w:pPr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Atnaujinto </w:t>
            </w:r>
            <w:r w:rsidR="00245C77">
              <w:rPr>
                <w:bCs/>
                <w:color w:val="000000" w:themeColor="text1"/>
                <w:sz w:val="20"/>
              </w:rPr>
              <w:t xml:space="preserve">AVNT </w:t>
            </w:r>
            <w:r w:rsidR="000101A6">
              <w:rPr>
                <w:bCs/>
                <w:color w:val="000000" w:themeColor="text1"/>
                <w:sz w:val="20"/>
              </w:rPr>
              <w:t>(</w:t>
            </w:r>
            <w:r w:rsidRPr="00622AB7">
              <w:rPr>
                <w:bCs/>
                <w:color w:val="000000" w:themeColor="text1"/>
                <w:sz w:val="20"/>
              </w:rPr>
              <w:t>dalis nuo viso</w:t>
            </w:r>
            <w:r w:rsidR="00D26260">
              <w:rPr>
                <w:bCs/>
                <w:color w:val="000000" w:themeColor="text1"/>
                <w:sz w:val="20"/>
              </w:rPr>
              <w:t xml:space="preserve"> 2021 m.</w:t>
            </w:r>
            <w:r w:rsidRPr="00622AB7">
              <w:rPr>
                <w:bCs/>
                <w:color w:val="000000" w:themeColor="text1"/>
                <w:sz w:val="20"/>
              </w:rPr>
              <w:t xml:space="preserve"> AVNT portfelio (proc.)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E5B70" w14:textId="4845F0B5" w:rsidR="00BE06F4" w:rsidRPr="007674D4" w:rsidRDefault="00D26260" w:rsidP="00A41A0C">
            <w:pPr>
              <w:jc w:val="center"/>
              <w:rPr>
                <w:sz w:val="20"/>
              </w:rPr>
            </w:pPr>
            <w:r w:rsidRPr="007674D4">
              <w:rPr>
                <w:sz w:val="20"/>
              </w:rPr>
              <w:t>n.</w:t>
            </w:r>
            <w:r w:rsidR="007674D4">
              <w:rPr>
                <w:sz w:val="20"/>
              </w:rPr>
              <w:t xml:space="preserve"> </w:t>
            </w:r>
            <w:r w:rsidRPr="007674D4">
              <w:rPr>
                <w:sz w:val="20"/>
              </w:rPr>
              <w:t>d.</w:t>
            </w:r>
          </w:p>
          <w:p w14:paraId="002695F5" w14:textId="68D884AC" w:rsidR="00BE06F4" w:rsidRPr="007674D4" w:rsidRDefault="005731EC" w:rsidP="00A41A0C">
            <w:pPr>
              <w:jc w:val="center"/>
              <w:rPr>
                <w:sz w:val="20"/>
              </w:rPr>
            </w:pPr>
            <w:r w:rsidRPr="007674D4">
              <w:rPr>
                <w:sz w:val="20"/>
              </w:rPr>
              <w:t>(2021</w:t>
            </w:r>
            <w:r w:rsidR="00405A65">
              <w:rPr>
                <w:sz w:val="20"/>
              </w:rPr>
              <w:t xml:space="preserve"> m.</w:t>
            </w:r>
            <w:r w:rsidRPr="007674D4">
              <w:rPr>
                <w:sz w:val="20"/>
              </w:rPr>
              <w:t>)</w:t>
            </w:r>
          </w:p>
          <w:p w14:paraId="6353894E" w14:textId="77777777" w:rsidR="00BE06F4" w:rsidRPr="007674D4" w:rsidRDefault="00BE06F4" w:rsidP="00A41A0C">
            <w:pPr>
              <w:jc w:val="center"/>
              <w:rPr>
                <w:sz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7631C" w14:textId="77777777" w:rsidR="00BE06F4" w:rsidRPr="00622AB7" w:rsidRDefault="00BE06F4" w:rsidP="00A41A0C">
            <w:pPr>
              <w:jc w:val="center"/>
              <w:rPr>
                <w:color w:val="000000" w:themeColor="text1"/>
                <w:sz w:val="20"/>
              </w:rPr>
            </w:pPr>
            <w:r w:rsidRPr="00622AB7">
              <w:rPr>
                <w:color w:val="000000" w:themeColor="text1"/>
                <w:sz w:val="20"/>
              </w:rPr>
              <w:t>85</w:t>
            </w:r>
          </w:p>
          <w:p w14:paraId="7A31EF00" w14:textId="77777777" w:rsidR="00BE06F4" w:rsidRPr="00622AB7" w:rsidRDefault="00BE06F4" w:rsidP="00A41A0C">
            <w:pPr>
              <w:jc w:val="center"/>
              <w:rPr>
                <w:color w:val="000000" w:themeColor="text1"/>
                <w:sz w:val="20"/>
              </w:rPr>
            </w:pPr>
          </w:p>
          <w:p w14:paraId="68AADE4A" w14:textId="77777777" w:rsidR="00BE06F4" w:rsidRPr="00622AB7" w:rsidRDefault="00BE06F4" w:rsidP="00A41A0C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EB07E" w14:textId="730456C7" w:rsidR="00BE06F4" w:rsidRPr="00622AB7" w:rsidRDefault="007674D4" w:rsidP="00AF2C6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d</w:t>
            </w:r>
            <w:r w:rsidR="004975D7">
              <w:rPr>
                <w:color w:val="000000" w:themeColor="text1"/>
                <w:sz w:val="20"/>
              </w:rPr>
              <w:t>arnaus vystymosi HP</w:t>
            </w:r>
          </w:p>
        </w:tc>
      </w:tr>
      <w:tr w:rsidR="00BE06F4" w:rsidRPr="00622AB7" w14:paraId="669A17EA" w14:textId="77777777" w:rsidTr="00954F11">
        <w:trPr>
          <w:trHeight w:val="1406"/>
        </w:trPr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4C3AB" w14:textId="77777777" w:rsidR="00BE06F4" w:rsidRPr="00622AB7" w:rsidRDefault="00BE06F4" w:rsidP="00A41A0C">
            <w:pPr>
              <w:jc w:val="both"/>
              <w:rPr>
                <w:rFonts w:eastAsia="Calibri"/>
                <w:color w:val="000000" w:themeColor="text1"/>
                <w:sz w:val="20"/>
                <w:szCs w:val="22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33AC9" w14:textId="77777777" w:rsidR="00BE06F4" w:rsidRPr="00622AB7" w:rsidRDefault="00BE06F4" w:rsidP="00A41A0C">
            <w:pPr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2E552" w14:textId="77777777" w:rsidR="00BE06F4" w:rsidRPr="00622AB7" w:rsidRDefault="00BE06F4" w:rsidP="00A41A0C">
            <w:pPr>
              <w:rPr>
                <w:color w:val="000000" w:themeColor="text1"/>
                <w:sz w:val="20"/>
              </w:rPr>
            </w:pPr>
          </w:p>
        </w:tc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44C63" w14:textId="77777777" w:rsidR="00BE06F4" w:rsidRPr="00622AB7" w:rsidRDefault="00BE06F4" w:rsidP="000A702F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34464" w14:textId="77777777" w:rsidR="00BE06F4" w:rsidRPr="00622AB7" w:rsidRDefault="00BE06F4" w:rsidP="00622AB7">
            <w:pPr>
              <w:rPr>
                <w:color w:val="000000" w:themeColor="text1"/>
                <w:sz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35C50" w14:textId="77777777" w:rsidR="00BE06F4" w:rsidRPr="00166532" w:rsidRDefault="00BE06F4" w:rsidP="00D91B86">
            <w:pPr>
              <w:rPr>
                <w:color w:val="000000" w:themeColor="text1"/>
                <w:sz w:val="20"/>
                <w:lang w:val="sv-SE"/>
              </w:rPr>
            </w:pPr>
            <w:r w:rsidRPr="00F004D3">
              <w:rPr>
                <w:color w:val="000000" w:themeColor="text1"/>
                <w:sz w:val="20"/>
              </w:rPr>
              <w:t>K</w:t>
            </w:r>
            <w:r w:rsidR="00D91B86">
              <w:rPr>
                <w:color w:val="000000" w:themeColor="text1"/>
                <w:sz w:val="20"/>
              </w:rPr>
              <w:t>M</w:t>
            </w:r>
            <w:r w:rsidRPr="00F004D3">
              <w:rPr>
                <w:color w:val="000000" w:themeColor="text1"/>
                <w:sz w:val="20"/>
              </w:rPr>
              <w:t>, S</w:t>
            </w:r>
            <w:r w:rsidR="00D91B86">
              <w:rPr>
                <w:color w:val="000000" w:themeColor="text1"/>
                <w:sz w:val="20"/>
              </w:rPr>
              <w:t>ADM, SAM</w:t>
            </w:r>
            <w:r w:rsidRPr="00F004D3">
              <w:rPr>
                <w:color w:val="000000" w:themeColor="text1"/>
                <w:sz w:val="20"/>
              </w:rPr>
              <w:t>, Š</w:t>
            </w:r>
            <w:r w:rsidR="00D91B86">
              <w:rPr>
                <w:color w:val="000000" w:themeColor="text1"/>
                <w:sz w:val="20"/>
              </w:rPr>
              <w:t>MSM, TM</w:t>
            </w:r>
            <w:r w:rsidRPr="00F004D3">
              <w:rPr>
                <w:color w:val="000000" w:themeColor="text1"/>
                <w:sz w:val="20"/>
              </w:rPr>
              <w:t>, V</w:t>
            </w:r>
            <w:r w:rsidR="00D91B86">
              <w:rPr>
                <w:color w:val="000000" w:themeColor="text1"/>
                <w:sz w:val="20"/>
              </w:rPr>
              <w:t>RM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A28C" w14:textId="4B2569F1" w:rsidR="00BE06F4" w:rsidRPr="00622AB7" w:rsidRDefault="007F37E3" w:rsidP="00E51A80">
            <w:pPr>
              <w:rPr>
                <w:color w:val="000000" w:themeColor="text1"/>
                <w:sz w:val="20"/>
              </w:rPr>
            </w:pPr>
            <w:r w:rsidRPr="007F37E3">
              <w:rPr>
                <w:color w:val="000000" w:themeColor="text1"/>
                <w:sz w:val="20"/>
              </w:rPr>
              <w:t>Valstybės nekilnojamojo turto</w:t>
            </w:r>
            <w:r>
              <w:rPr>
                <w:b/>
                <w:color w:val="000000" w:themeColor="text1"/>
                <w:sz w:val="20"/>
              </w:rPr>
              <w:t xml:space="preserve"> </w:t>
            </w:r>
            <w:r w:rsidR="00BE06F4" w:rsidRPr="00F004D3">
              <w:rPr>
                <w:sz w:val="20"/>
              </w:rPr>
              <w:t xml:space="preserve">ploto </w:t>
            </w:r>
            <w:r w:rsidR="00BE06F4">
              <w:rPr>
                <w:sz w:val="20"/>
              </w:rPr>
              <w:t>sumažėjimas</w:t>
            </w:r>
            <w:r w:rsidR="00BE06F4" w:rsidRPr="00F004D3">
              <w:rPr>
                <w:sz w:val="20"/>
              </w:rPr>
              <w:t xml:space="preserve">, palyginti su </w:t>
            </w:r>
            <w:r w:rsidR="00BE06F4">
              <w:rPr>
                <w:sz w:val="20"/>
              </w:rPr>
              <w:t>pradine apimtimi (4,8 mln. kv. metrų) 2021 m. (proc.)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44F323" w14:textId="739578BD" w:rsidR="00BE06F4" w:rsidRPr="007674D4" w:rsidRDefault="00D26260" w:rsidP="00BD69AD">
            <w:pPr>
              <w:jc w:val="center"/>
              <w:rPr>
                <w:sz w:val="20"/>
              </w:rPr>
            </w:pPr>
            <w:r w:rsidRPr="007674D4">
              <w:rPr>
                <w:sz w:val="20"/>
              </w:rPr>
              <w:t>n.</w:t>
            </w:r>
            <w:r w:rsidR="007674D4">
              <w:rPr>
                <w:sz w:val="20"/>
              </w:rPr>
              <w:t xml:space="preserve"> </w:t>
            </w:r>
            <w:r w:rsidRPr="007674D4">
              <w:rPr>
                <w:sz w:val="20"/>
              </w:rPr>
              <w:t>d.</w:t>
            </w:r>
          </w:p>
          <w:p w14:paraId="4D304421" w14:textId="27DBF3A9" w:rsidR="005731EC" w:rsidRPr="007674D4" w:rsidRDefault="005731EC" w:rsidP="005731EC">
            <w:pPr>
              <w:jc w:val="center"/>
              <w:rPr>
                <w:sz w:val="20"/>
              </w:rPr>
            </w:pPr>
            <w:r w:rsidRPr="007674D4">
              <w:rPr>
                <w:sz w:val="20"/>
              </w:rPr>
              <w:t>(2021</w:t>
            </w:r>
            <w:r w:rsidR="00405A65">
              <w:rPr>
                <w:sz w:val="20"/>
              </w:rPr>
              <w:t xml:space="preserve"> m.</w:t>
            </w:r>
            <w:r w:rsidRPr="007674D4">
              <w:rPr>
                <w:sz w:val="20"/>
              </w:rPr>
              <w:t>)</w:t>
            </w:r>
          </w:p>
          <w:p w14:paraId="05E1CA5A" w14:textId="46746A6E" w:rsidR="005731EC" w:rsidRPr="007674D4" w:rsidRDefault="005731EC" w:rsidP="00BD69AD">
            <w:pPr>
              <w:jc w:val="center"/>
              <w:rPr>
                <w:sz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C8AFA" w14:textId="77777777" w:rsidR="00BE06F4" w:rsidRPr="00622AB7" w:rsidRDefault="00BE06F4" w:rsidP="00175719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10</w:t>
            </w: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C8012" w14:textId="77777777" w:rsidR="00BE06F4" w:rsidRPr="00622AB7" w:rsidRDefault="00BE06F4" w:rsidP="000A702F">
            <w:pPr>
              <w:jc w:val="center"/>
              <w:rPr>
                <w:color w:val="000000" w:themeColor="text1"/>
                <w:sz w:val="20"/>
              </w:rPr>
            </w:pPr>
          </w:p>
        </w:tc>
      </w:tr>
      <w:tr w:rsidR="001B1F9C" w14:paraId="0059F40F" w14:textId="77777777" w:rsidTr="00954F11">
        <w:trPr>
          <w:trHeight w:val="98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62FF" w14:textId="77777777" w:rsidR="001B1F9C" w:rsidRDefault="001B1F9C" w:rsidP="00C56C31">
            <w:pPr>
              <w:jc w:val="both"/>
              <w:rPr>
                <w:rFonts w:eastAsia="Calibri"/>
                <w:sz w:val="20"/>
                <w:szCs w:val="22"/>
              </w:rPr>
            </w:pPr>
            <w:r w:rsidRPr="00A669A2">
              <w:rPr>
                <w:sz w:val="20"/>
              </w:rPr>
              <w:t>04-001-08-05-06 (PP)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9533" w14:textId="77777777" w:rsidR="001B1F9C" w:rsidRPr="00976FCD" w:rsidRDefault="001B1F9C" w:rsidP="00C93366">
            <w:pPr>
              <w:jc w:val="both"/>
              <w:rPr>
                <w:b/>
                <w:sz w:val="20"/>
              </w:rPr>
            </w:pPr>
            <w:r w:rsidRPr="00976FCD">
              <w:rPr>
                <w:b/>
                <w:sz w:val="20"/>
              </w:rPr>
              <w:t xml:space="preserve">Didinti tvarų savivaldybių savarankiškumą 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80B8" w14:textId="77777777" w:rsidR="001B1F9C" w:rsidRPr="00F004D3" w:rsidRDefault="001B1F9C" w:rsidP="004A227E">
            <w:pPr>
              <w:rPr>
                <w:color w:val="000000" w:themeColor="text1"/>
                <w:sz w:val="20"/>
              </w:rPr>
            </w:pPr>
            <w:r w:rsidRPr="00F004D3">
              <w:rPr>
                <w:color w:val="000000" w:themeColor="text1"/>
                <w:sz w:val="20"/>
              </w:rPr>
              <w:t>8.</w:t>
            </w:r>
            <w:r>
              <w:rPr>
                <w:color w:val="000000" w:themeColor="text1"/>
                <w:sz w:val="20"/>
              </w:rPr>
              <w:t>5</w:t>
            </w:r>
            <w:r w:rsidRPr="00F004D3">
              <w:rPr>
                <w:color w:val="000000" w:themeColor="text1"/>
                <w:sz w:val="20"/>
              </w:rPr>
              <w:t xml:space="preserve">. Didinti viešųjų finansų ir valstybės turto </w:t>
            </w:r>
          </w:p>
          <w:p w14:paraId="3074FFB7" w14:textId="77777777" w:rsidR="001B1F9C" w:rsidRDefault="001B1F9C" w:rsidP="004A227E">
            <w:pPr>
              <w:rPr>
                <w:rFonts w:eastAsia="Calibri"/>
                <w:i/>
                <w:color w:val="808080"/>
                <w:sz w:val="20"/>
                <w:szCs w:val="22"/>
              </w:rPr>
            </w:pPr>
            <w:r w:rsidRPr="00F004D3">
              <w:rPr>
                <w:color w:val="000000" w:themeColor="text1"/>
                <w:sz w:val="20"/>
              </w:rPr>
              <w:t xml:space="preserve">valdymo ir </w:t>
            </w:r>
            <w:r w:rsidRPr="00F004D3">
              <w:rPr>
                <w:color w:val="000000" w:themeColor="text1"/>
                <w:sz w:val="20"/>
              </w:rPr>
              <w:lastRenderedPageBreak/>
              <w:t>panaudojimo efektyvumą</w:t>
            </w:r>
            <w:bookmarkStart w:id="1" w:name="_GoBack"/>
            <w:bookmarkEnd w:id="1"/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E67A" w14:textId="41460E50" w:rsidR="001B1F9C" w:rsidRPr="001E349E" w:rsidRDefault="001B1F9C" w:rsidP="00DA4DCF">
            <w:pPr>
              <w:rPr>
                <w:sz w:val="20"/>
              </w:rPr>
            </w:pPr>
            <w:r w:rsidRPr="001B1F9C">
              <w:rPr>
                <w:sz w:val="20"/>
              </w:rPr>
              <w:lastRenderedPageBreak/>
              <w:t>8.4</w:t>
            </w:r>
            <w:r w:rsidR="009D1DE3">
              <w:rPr>
                <w:sz w:val="20"/>
              </w:rPr>
              <w:t>.</w:t>
            </w:r>
            <w:r w:rsidRPr="001B1F9C">
              <w:rPr>
                <w:sz w:val="20"/>
              </w:rPr>
              <w:t xml:space="preserve"> Tobulinti viešojo valdymo sistemą, didinti jos efektyvumą ir atvirumą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8561" w14:textId="77777777" w:rsidR="001B1F9C" w:rsidRDefault="001B1F9C" w:rsidP="000A702F">
            <w:pPr>
              <w:jc w:val="center"/>
            </w:pPr>
            <w:r w:rsidRPr="00810AFB">
              <w:rPr>
                <w:color w:val="000000" w:themeColor="text1"/>
                <w:sz w:val="20"/>
              </w:rPr>
              <w:t>–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906A" w14:textId="77777777" w:rsidR="001B1F9C" w:rsidRPr="00672B26" w:rsidRDefault="001B1F9C" w:rsidP="00D91B86">
            <w:pPr>
              <w:jc w:val="both"/>
              <w:rPr>
                <w:rFonts w:eastAsia="Calibri"/>
                <w:color w:val="808080"/>
                <w:sz w:val="20"/>
                <w:szCs w:val="22"/>
              </w:rPr>
            </w:pPr>
            <w:r w:rsidRPr="00672B26">
              <w:rPr>
                <w:rFonts w:eastAsia="Calibri"/>
                <w:sz w:val="20"/>
                <w:szCs w:val="22"/>
              </w:rPr>
              <w:t>V</w:t>
            </w:r>
            <w:r>
              <w:rPr>
                <w:rFonts w:eastAsia="Calibri"/>
                <w:sz w:val="20"/>
                <w:szCs w:val="22"/>
              </w:rPr>
              <w:t>RM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F280" w14:textId="444DAB1A" w:rsidR="001B1F9C" w:rsidRPr="00E5684D" w:rsidRDefault="001B1F9C" w:rsidP="00063FCB">
            <w:pPr>
              <w:rPr>
                <w:color w:val="000000" w:themeColor="text1"/>
                <w:sz w:val="20"/>
              </w:rPr>
            </w:pPr>
            <w:r w:rsidRPr="00E5684D">
              <w:rPr>
                <w:rFonts w:eastAsiaTheme="minorHAnsi"/>
                <w:color w:val="000000"/>
                <w:sz w:val="20"/>
              </w:rPr>
              <w:t>Savivaldybių savarankiškų pajamų potencialo augimas (</w:t>
            </w:r>
            <w:r w:rsidR="00063FCB">
              <w:rPr>
                <w:rFonts w:eastAsiaTheme="minorHAnsi"/>
                <w:color w:val="000000"/>
                <w:sz w:val="20"/>
              </w:rPr>
              <w:t>teisės aktais nustatytos</w:t>
            </w:r>
            <w:r w:rsidRPr="00E5684D">
              <w:rPr>
                <w:rFonts w:eastAsiaTheme="minorHAnsi"/>
                <w:color w:val="000000"/>
                <w:sz w:val="20"/>
              </w:rPr>
              <w:t xml:space="preserve"> galimybės)</w:t>
            </w:r>
            <w:r>
              <w:rPr>
                <w:rFonts w:eastAsiaTheme="minorHAnsi"/>
                <w:color w:val="000000"/>
                <w:sz w:val="20"/>
              </w:rPr>
              <w:t xml:space="preserve"> (</w:t>
            </w:r>
            <w:r w:rsidRPr="00E5684D">
              <w:rPr>
                <w:rFonts w:eastAsiaTheme="minorHAnsi"/>
                <w:color w:val="000000"/>
                <w:sz w:val="20"/>
              </w:rPr>
              <w:t>proc.</w:t>
            </w:r>
            <w:r>
              <w:rPr>
                <w:rFonts w:eastAsiaTheme="minorHAnsi"/>
                <w:color w:val="000000"/>
                <w:sz w:val="20"/>
              </w:rPr>
              <w:t>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B6D8" w14:textId="77777777" w:rsidR="001B1F9C" w:rsidRDefault="001B1F9C" w:rsidP="00F12299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</w:t>
            </w:r>
          </w:p>
          <w:p w14:paraId="4174D09F" w14:textId="2D7CD8A1" w:rsidR="001B1F9C" w:rsidRPr="001C77C5" w:rsidRDefault="001B1F9C" w:rsidP="00F12299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(2020</w:t>
            </w:r>
            <w:r w:rsidR="00405A65">
              <w:rPr>
                <w:color w:val="000000" w:themeColor="text1"/>
                <w:sz w:val="20"/>
              </w:rPr>
              <w:t xml:space="preserve"> m.</w:t>
            </w:r>
            <w:r>
              <w:rPr>
                <w:color w:val="000000" w:themeColor="text1"/>
                <w:sz w:val="20"/>
              </w:rPr>
              <w:t>)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3F7A" w14:textId="77777777" w:rsidR="001B1F9C" w:rsidRPr="001C77C5" w:rsidRDefault="001B1F9C" w:rsidP="00F12299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EB62" w14:textId="338CCAB2" w:rsidR="001B1F9C" w:rsidRPr="001C77C5" w:rsidRDefault="001B1F9C" w:rsidP="0009194A">
            <w:pPr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LRV ĮP </w:t>
            </w:r>
          </w:p>
        </w:tc>
      </w:tr>
    </w:tbl>
    <w:p w14:paraId="6489C58B" w14:textId="77777777" w:rsidR="00412F6B" w:rsidRDefault="00412F6B" w:rsidP="00147F8A">
      <w:pPr>
        <w:ind w:firstLine="709"/>
        <w:jc w:val="both"/>
        <w:rPr>
          <w:b/>
          <w:szCs w:val="24"/>
        </w:rPr>
      </w:pPr>
    </w:p>
    <w:p w14:paraId="05F16AD4" w14:textId="7113153E" w:rsidR="00147F8A" w:rsidRPr="00EE4D07" w:rsidRDefault="008259D1" w:rsidP="00E51C8A">
      <w:pPr>
        <w:ind w:firstLine="709"/>
        <w:jc w:val="both"/>
        <w:rPr>
          <w:szCs w:val="24"/>
        </w:rPr>
      </w:pPr>
      <w:r>
        <w:rPr>
          <w:b/>
          <w:szCs w:val="24"/>
        </w:rPr>
        <w:t>Pastaba</w:t>
      </w:r>
      <w:r w:rsidR="00245C77">
        <w:rPr>
          <w:b/>
          <w:szCs w:val="24"/>
        </w:rPr>
        <w:t>.</w:t>
      </w:r>
      <w:r w:rsidR="000955E0">
        <w:rPr>
          <w:b/>
          <w:szCs w:val="24"/>
        </w:rPr>
        <w:t xml:space="preserve"> </w:t>
      </w:r>
      <w:r w:rsidR="00147F8A" w:rsidRPr="00EE4D07">
        <w:rPr>
          <w:szCs w:val="24"/>
        </w:rPr>
        <w:t>LRV ĮP – Lietuvos Respublikos Vyriausybės programos įgyvendinimo planas; HP – Nacionalinio pažangos plano horizontalusis pri</w:t>
      </w:r>
      <w:r w:rsidR="004E4791">
        <w:rPr>
          <w:szCs w:val="24"/>
        </w:rPr>
        <w:t>ncipa</w:t>
      </w:r>
      <w:r w:rsidR="00147F8A" w:rsidRPr="00EE4D07">
        <w:rPr>
          <w:szCs w:val="24"/>
        </w:rPr>
        <w:t>s; NRD – Nacionalinė reformų darbotvarkė.</w:t>
      </w:r>
    </w:p>
    <w:p w14:paraId="62F897A6" w14:textId="77777777" w:rsidR="003D0B24" w:rsidRPr="003D0B24" w:rsidRDefault="003D0B24" w:rsidP="003D0B24">
      <w:pPr>
        <w:jc w:val="center"/>
      </w:pPr>
      <w:r>
        <w:t xml:space="preserve">  _________________________________     </w:t>
      </w:r>
    </w:p>
    <w:sectPr w:rsidR="003D0B24" w:rsidRPr="003D0B24" w:rsidSect="000463BD">
      <w:headerReference w:type="default" r:id="rId10"/>
      <w:footerReference w:type="default" r:id="rId11"/>
      <w:footnotePr>
        <w:pos w:val="beneathText"/>
      </w:footnotePr>
      <w:pgSz w:w="15842" w:h="12242" w:orient="landscape" w:code="1"/>
      <w:pgMar w:top="450" w:right="1440" w:bottom="810" w:left="1440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0CB448" w14:textId="77777777" w:rsidR="00405A65" w:rsidRDefault="00405A65" w:rsidP="002D63CB">
      <w:r>
        <w:separator/>
      </w:r>
    </w:p>
  </w:endnote>
  <w:endnote w:type="continuationSeparator" w:id="0">
    <w:p w14:paraId="6DED34EE" w14:textId="77777777" w:rsidR="00405A65" w:rsidRDefault="00405A65" w:rsidP="002D63CB">
      <w:r>
        <w:continuationSeparator/>
      </w:r>
    </w:p>
  </w:endnote>
  <w:endnote w:type="continuationNotice" w:id="1">
    <w:p w14:paraId="6F3926EF" w14:textId="77777777" w:rsidR="00405A65" w:rsidRDefault="00405A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8FAB0" w14:textId="77777777" w:rsidR="00405A65" w:rsidRDefault="00405A6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5E5A0C" w14:textId="77777777" w:rsidR="00405A65" w:rsidRDefault="00405A65" w:rsidP="002D63CB">
      <w:r>
        <w:separator/>
      </w:r>
    </w:p>
  </w:footnote>
  <w:footnote w:type="continuationSeparator" w:id="0">
    <w:p w14:paraId="1B250CAB" w14:textId="77777777" w:rsidR="00405A65" w:rsidRDefault="00405A65" w:rsidP="002D63CB">
      <w:r>
        <w:continuationSeparator/>
      </w:r>
    </w:p>
  </w:footnote>
  <w:footnote w:type="continuationNotice" w:id="1">
    <w:p w14:paraId="45997AA9" w14:textId="77777777" w:rsidR="00405A65" w:rsidRDefault="00405A6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9943162"/>
      <w:docPartObj>
        <w:docPartGallery w:val="Page Numbers (Top of Page)"/>
        <w:docPartUnique/>
      </w:docPartObj>
    </w:sdtPr>
    <w:sdtEndPr/>
    <w:sdtContent>
      <w:p w14:paraId="261FD875" w14:textId="77777777" w:rsidR="00405A65" w:rsidRDefault="00405A6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B70">
          <w:rPr>
            <w:noProof/>
          </w:rPr>
          <w:t>9</w:t>
        </w:r>
        <w:r>
          <w:fldChar w:fldCharType="end"/>
        </w:r>
      </w:p>
    </w:sdtContent>
  </w:sdt>
  <w:p w14:paraId="2EBFC8F6" w14:textId="77777777" w:rsidR="00405A65" w:rsidRDefault="00405A6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C249F"/>
    <w:multiLevelType w:val="multilevel"/>
    <w:tmpl w:val="265CF3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7BE3FFB"/>
    <w:multiLevelType w:val="hybridMultilevel"/>
    <w:tmpl w:val="8CA28C60"/>
    <w:lvl w:ilvl="0" w:tplc="72D01F5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FD508A"/>
    <w:multiLevelType w:val="hybridMultilevel"/>
    <w:tmpl w:val="E018A4BC"/>
    <w:lvl w:ilvl="0" w:tplc="360E28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26594"/>
    <w:multiLevelType w:val="hybridMultilevel"/>
    <w:tmpl w:val="75FCC12E"/>
    <w:lvl w:ilvl="0" w:tplc="78D614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E9718F"/>
    <w:multiLevelType w:val="multilevel"/>
    <w:tmpl w:val="909AEB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AB216B1"/>
    <w:multiLevelType w:val="hybridMultilevel"/>
    <w:tmpl w:val="1F7E6C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CB07C6"/>
    <w:multiLevelType w:val="multilevel"/>
    <w:tmpl w:val="A284381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9204F2E"/>
    <w:multiLevelType w:val="hybridMultilevel"/>
    <w:tmpl w:val="F5C8848A"/>
    <w:lvl w:ilvl="0" w:tplc="71B82334">
      <w:start w:val="1"/>
      <w:numFmt w:val="decimal"/>
      <w:lvlText w:val="%1."/>
      <w:lvlJc w:val="left"/>
      <w:pPr>
        <w:ind w:left="38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09" w:hanging="360"/>
      </w:pPr>
    </w:lvl>
    <w:lvl w:ilvl="2" w:tplc="0427001B" w:tentative="1">
      <w:start w:val="1"/>
      <w:numFmt w:val="lowerRoman"/>
      <w:lvlText w:val="%3."/>
      <w:lvlJc w:val="right"/>
      <w:pPr>
        <w:ind w:left="1829" w:hanging="180"/>
      </w:pPr>
    </w:lvl>
    <w:lvl w:ilvl="3" w:tplc="0427000F" w:tentative="1">
      <w:start w:val="1"/>
      <w:numFmt w:val="decimal"/>
      <w:lvlText w:val="%4."/>
      <w:lvlJc w:val="left"/>
      <w:pPr>
        <w:ind w:left="2549" w:hanging="360"/>
      </w:pPr>
    </w:lvl>
    <w:lvl w:ilvl="4" w:tplc="04270019" w:tentative="1">
      <w:start w:val="1"/>
      <w:numFmt w:val="lowerLetter"/>
      <w:lvlText w:val="%5."/>
      <w:lvlJc w:val="left"/>
      <w:pPr>
        <w:ind w:left="3269" w:hanging="360"/>
      </w:pPr>
    </w:lvl>
    <w:lvl w:ilvl="5" w:tplc="0427001B" w:tentative="1">
      <w:start w:val="1"/>
      <w:numFmt w:val="lowerRoman"/>
      <w:lvlText w:val="%6."/>
      <w:lvlJc w:val="right"/>
      <w:pPr>
        <w:ind w:left="3989" w:hanging="180"/>
      </w:pPr>
    </w:lvl>
    <w:lvl w:ilvl="6" w:tplc="0427000F" w:tentative="1">
      <w:start w:val="1"/>
      <w:numFmt w:val="decimal"/>
      <w:lvlText w:val="%7."/>
      <w:lvlJc w:val="left"/>
      <w:pPr>
        <w:ind w:left="4709" w:hanging="360"/>
      </w:pPr>
    </w:lvl>
    <w:lvl w:ilvl="7" w:tplc="04270019" w:tentative="1">
      <w:start w:val="1"/>
      <w:numFmt w:val="lowerLetter"/>
      <w:lvlText w:val="%8."/>
      <w:lvlJc w:val="left"/>
      <w:pPr>
        <w:ind w:left="5429" w:hanging="360"/>
      </w:pPr>
    </w:lvl>
    <w:lvl w:ilvl="8" w:tplc="0427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8">
    <w:nsid w:val="3AC55B3E"/>
    <w:multiLevelType w:val="hybridMultilevel"/>
    <w:tmpl w:val="A1A245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114A27"/>
    <w:multiLevelType w:val="multilevel"/>
    <w:tmpl w:val="74960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i w:val="0"/>
        <w:strike w:val="0"/>
      </w:rPr>
    </w:lvl>
    <w:lvl w:ilvl="2">
      <w:start w:val="1"/>
      <w:numFmt w:val="decimal"/>
      <w:isLgl/>
      <w:lvlText w:val="%1.%2.%3."/>
      <w:lvlJc w:val="left"/>
      <w:pPr>
        <w:ind w:left="15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8" w:hanging="1800"/>
      </w:pPr>
      <w:rPr>
        <w:rFonts w:hint="default"/>
      </w:rPr>
    </w:lvl>
  </w:abstractNum>
  <w:abstractNum w:abstractNumId="10">
    <w:nsid w:val="5E0E085C"/>
    <w:multiLevelType w:val="hybridMultilevel"/>
    <w:tmpl w:val="73C48252"/>
    <w:lvl w:ilvl="0" w:tplc="483EFD42">
      <w:start w:val="2"/>
      <w:numFmt w:val="decimalZero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2266B4"/>
    <w:multiLevelType w:val="hybridMultilevel"/>
    <w:tmpl w:val="B5088C6C"/>
    <w:lvl w:ilvl="0" w:tplc="455EAA94">
      <w:start w:val="1"/>
      <w:numFmt w:val="bullet"/>
      <w:lvlText w:val="-"/>
      <w:lvlJc w:val="left"/>
      <w:pPr>
        <w:ind w:left="74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2">
    <w:nsid w:val="6D872346"/>
    <w:multiLevelType w:val="hybridMultilevel"/>
    <w:tmpl w:val="E1B45D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B360F0"/>
    <w:multiLevelType w:val="hybridMultilevel"/>
    <w:tmpl w:val="6ADCF642"/>
    <w:lvl w:ilvl="0" w:tplc="04270001">
      <w:start w:val="1"/>
      <w:numFmt w:val="bullet"/>
      <w:lvlText w:val=""/>
      <w:lvlJc w:val="left"/>
      <w:pPr>
        <w:ind w:left="2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</w:abstractNum>
  <w:abstractNum w:abstractNumId="14">
    <w:nsid w:val="7A781429"/>
    <w:multiLevelType w:val="hybridMultilevel"/>
    <w:tmpl w:val="7178A102"/>
    <w:lvl w:ilvl="0" w:tplc="0427000F">
      <w:start w:val="1"/>
      <w:numFmt w:val="decimal"/>
      <w:lvlText w:val="%1."/>
      <w:lvlJc w:val="left"/>
      <w:pPr>
        <w:ind w:left="749" w:hanging="360"/>
      </w:pPr>
    </w:lvl>
    <w:lvl w:ilvl="1" w:tplc="04270019" w:tentative="1">
      <w:start w:val="1"/>
      <w:numFmt w:val="lowerLetter"/>
      <w:lvlText w:val="%2."/>
      <w:lvlJc w:val="left"/>
      <w:pPr>
        <w:ind w:left="1469" w:hanging="360"/>
      </w:pPr>
    </w:lvl>
    <w:lvl w:ilvl="2" w:tplc="0427001B" w:tentative="1">
      <w:start w:val="1"/>
      <w:numFmt w:val="lowerRoman"/>
      <w:lvlText w:val="%3."/>
      <w:lvlJc w:val="right"/>
      <w:pPr>
        <w:ind w:left="2189" w:hanging="180"/>
      </w:pPr>
    </w:lvl>
    <w:lvl w:ilvl="3" w:tplc="0427000F" w:tentative="1">
      <w:start w:val="1"/>
      <w:numFmt w:val="decimal"/>
      <w:lvlText w:val="%4."/>
      <w:lvlJc w:val="left"/>
      <w:pPr>
        <w:ind w:left="2909" w:hanging="360"/>
      </w:pPr>
    </w:lvl>
    <w:lvl w:ilvl="4" w:tplc="04270019" w:tentative="1">
      <w:start w:val="1"/>
      <w:numFmt w:val="lowerLetter"/>
      <w:lvlText w:val="%5."/>
      <w:lvlJc w:val="left"/>
      <w:pPr>
        <w:ind w:left="3629" w:hanging="360"/>
      </w:pPr>
    </w:lvl>
    <w:lvl w:ilvl="5" w:tplc="0427001B" w:tentative="1">
      <w:start w:val="1"/>
      <w:numFmt w:val="lowerRoman"/>
      <w:lvlText w:val="%6."/>
      <w:lvlJc w:val="right"/>
      <w:pPr>
        <w:ind w:left="4349" w:hanging="180"/>
      </w:pPr>
    </w:lvl>
    <w:lvl w:ilvl="6" w:tplc="0427000F" w:tentative="1">
      <w:start w:val="1"/>
      <w:numFmt w:val="decimal"/>
      <w:lvlText w:val="%7."/>
      <w:lvlJc w:val="left"/>
      <w:pPr>
        <w:ind w:left="5069" w:hanging="360"/>
      </w:pPr>
    </w:lvl>
    <w:lvl w:ilvl="7" w:tplc="04270019" w:tentative="1">
      <w:start w:val="1"/>
      <w:numFmt w:val="lowerLetter"/>
      <w:lvlText w:val="%8."/>
      <w:lvlJc w:val="left"/>
      <w:pPr>
        <w:ind w:left="5789" w:hanging="360"/>
      </w:pPr>
    </w:lvl>
    <w:lvl w:ilvl="8" w:tplc="0427001B" w:tentative="1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3"/>
  </w:num>
  <w:num w:numId="5">
    <w:abstractNumId w:val="13"/>
  </w:num>
  <w:num w:numId="6">
    <w:abstractNumId w:val="9"/>
  </w:num>
  <w:num w:numId="7">
    <w:abstractNumId w:val="14"/>
  </w:num>
  <w:num w:numId="8">
    <w:abstractNumId w:val="2"/>
  </w:num>
  <w:num w:numId="9">
    <w:abstractNumId w:val="6"/>
  </w:num>
  <w:num w:numId="10">
    <w:abstractNumId w:val="10"/>
  </w:num>
  <w:num w:numId="11">
    <w:abstractNumId w:val="0"/>
  </w:num>
  <w:num w:numId="12">
    <w:abstractNumId w:val="7"/>
  </w:num>
  <w:num w:numId="13">
    <w:abstractNumId w:val="8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3CB"/>
    <w:rsid w:val="0000252D"/>
    <w:rsid w:val="000101A6"/>
    <w:rsid w:val="00011704"/>
    <w:rsid w:val="00012E3C"/>
    <w:rsid w:val="00013E6A"/>
    <w:rsid w:val="00026CD5"/>
    <w:rsid w:val="000275E6"/>
    <w:rsid w:val="000312D4"/>
    <w:rsid w:val="00033686"/>
    <w:rsid w:val="00034355"/>
    <w:rsid w:val="0003653F"/>
    <w:rsid w:val="00043579"/>
    <w:rsid w:val="000463BD"/>
    <w:rsid w:val="00050701"/>
    <w:rsid w:val="00055A5D"/>
    <w:rsid w:val="00055C55"/>
    <w:rsid w:val="00057E9D"/>
    <w:rsid w:val="0006125A"/>
    <w:rsid w:val="00063FCB"/>
    <w:rsid w:val="00065CA2"/>
    <w:rsid w:val="00066AFB"/>
    <w:rsid w:val="00066E66"/>
    <w:rsid w:val="00066F33"/>
    <w:rsid w:val="00070285"/>
    <w:rsid w:val="00070605"/>
    <w:rsid w:val="00071AAB"/>
    <w:rsid w:val="00074170"/>
    <w:rsid w:val="0007489D"/>
    <w:rsid w:val="00077EE6"/>
    <w:rsid w:val="000805C5"/>
    <w:rsid w:val="00090F0B"/>
    <w:rsid w:val="0009194A"/>
    <w:rsid w:val="00093570"/>
    <w:rsid w:val="000955E0"/>
    <w:rsid w:val="00095870"/>
    <w:rsid w:val="000A3E92"/>
    <w:rsid w:val="000A4C3B"/>
    <w:rsid w:val="000A576F"/>
    <w:rsid w:val="000A702F"/>
    <w:rsid w:val="000B00A8"/>
    <w:rsid w:val="000B22AB"/>
    <w:rsid w:val="000C19DB"/>
    <w:rsid w:val="000C3A28"/>
    <w:rsid w:val="000C5B87"/>
    <w:rsid w:val="000D056C"/>
    <w:rsid w:val="000D1146"/>
    <w:rsid w:val="000D57E3"/>
    <w:rsid w:val="000D60F2"/>
    <w:rsid w:val="000D657E"/>
    <w:rsid w:val="000D7C49"/>
    <w:rsid w:val="000E06AB"/>
    <w:rsid w:val="000E52E2"/>
    <w:rsid w:val="000F0205"/>
    <w:rsid w:val="000F2DB8"/>
    <w:rsid w:val="000F759F"/>
    <w:rsid w:val="00102EDA"/>
    <w:rsid w:val="00105D8D"/>
    <w:rsid w:val="0010739F"/>
    <w:rsid w:val="00107DB7"/>
    <w:rsid w:val="0011363F"/>
    <w:rsid w:val="00114EEB"/>
    <w:rsid w:val="00132FEB"/>
    <w:rsid w:val="00133205"/>
    <w:rsid w:val="00140722"/>
    <w:rsid w:val="0014088E"/>
    <w:rsid w:val="00142D74"/>
    <w:rsid w:val="00147F8A"/>
    <w:rsid w:val="00150AF3"/>
    <w:rsid w:val="00150D3B"/>
    <w:rsid w:val="0015164B"/>
    <w:rsid w:val="00154E4F"/>
    <w:rsid w:val="00166532"/>
    <w:rsid w:val="00172A73"/>
    <w:rsid w:val="00173CDD"/>
    <w:rsid w:val="00175719"/>
    <w:rsid w:val="00192F6E"/>
    <w:rsid w:val="001A04BA"/>
    <w:rsid w:val="001B1F9C"/>
    <w:rsid w:val="001B5D43"/>
    <w:rsid w:val="001B716C"/>
    <w:rsid w:val="001C0083"/>
    <w:rsid w:val="001C223B"/>
    <w:rsid w:val="001C404B"/>
    <w:rsid w:val="001C77C5"/>
    <w:rsid w:val="001C7959"/>
    <w:rsid w:val="001D4B15"/>
    <w:rsid w:val="001E06B0"/>
    <w:rsid w:val="001E2EE4"/>
    <w:rsid w:val="001E349E"/>
    <w:rsid w:val="001E4B5A"/>
    <w:rsid w:val="001E7378"/>
    <w:rsid w:val="001F0871"/>
    <w:rsid w:val="001F1B15"/>
    <w:rsid w:val="001F4830"/>
    <w:rsid w:val="001F4F3B"/>
    <w:rsid w:val="001F58FF"/>
    <w:rsid w:val="00200724"/>
    <w:rsid w:val="00200A15"/>
    <w:rsid w:val="002020E7"/>
    <w:rsid w:val="002117A6"/>
    <w:rsid w:val="002125D4"/>
    <w:rsid w:val="00227725"/>
    <w:rsid w:val="00231AB1"/>
    <w:rsid w:val="00236841"/>
    <w:rsid w:val="00237141"/>
    <w:rsid w:val="00243DF8"/>
    <w:rsid w:val="00245C77"/>
    <w:rsid w:val="00255785"/>
    <w:rsid w:val="002567A5"/>
    <w:rsid w:val="0026325B"/>
    <w:rsid w:val="00264992"/>
    <w:rsid w:val="0026570D"/>
    <w:rsid w:val="00272AD9"/>
    <w:rsid w:val="00276F13"/>
    <w:rsid w:val="0028147B"/>
    <w:rsid w:val="00283A27"/>
    <w:rsid w:val="002A5AAA"/>
    <w:rsid w:val="002B796E"/>
    <w:rsid w:val="002C1ABD"/>
    <w:rsid w:val="002C5373"/>
    <w:rsid w:val="002C5876"/>
    <w:rsid w:val="002D3681"/>
    <w:rsid w:val="002D3704"/>
    <w:rsid w:val="002D46FA"/>
    <w:rsid w:val="002D63CB"/>
    <w:rsid w:val="002F0CD4"/>
    <w:rsid w:val="002F460D"/>
    <w:rsid w:val="00303467"/>
    <w:rsid w:val="00305047"/>
    <w:rsid w:val="00305746"/>
    <w:rsid w:val="0031230B"/>
    <w:rsid w:val="00314CFB"/>
    <w:rsid w:val="003175EC"/>
    <w:rsid w:val="00324FE4"/>
    <w:rsid w:val="00325865"/>
    <w:rsid w:val="00337568"/>
    <w:rsid w:val="00350E8C"/>
    <w:rsid w:val="003623A7"/>
    <w:rsid w:val="00363403"/>
    <w:rsid w:val="00364098"/>
    <w:rsid w:val="003665DC"/>
    <w:rsid w:val="00376C87"/>
    <w:rsid w:val="00380100"/>
    <w:rsid w:val="00380F41"/>
    <w:rsid w:val="00381C77"/>
    <w:rsid w:val="00383E81"/>
    <w:rsid w:val="00384DF9"/>
    <w:rsid w:val="00386448"/>
    <w:rsid w:val="00386592"/>
    <w:rsid w:val="003A022E"/>
    <w:rsid w:val="003A2C4D"/>
    <w:rsid w:val="003B6E83"/>
    <w:rsid w:val="003D0B24"/>
    <w:rsid w:val="003D4645"/>
    <w:rsid w:val="003E1DC3"/>
    <w:rsid w:val="003E5303"/>
    <w:rsid w:val="003E5625"/>
    <w:rsid w:val="003F6B20"/>
    <w:rsid w:val="00405A65"/>
    <w:rsid w:val="0040661B"/>
    <w:rsid w:val="00412F6B"/>
    <w:rsid w:val="00423E24"/>
    <w:rsid w:val="00432A2F"/>
    <w:rsid w:val="00432CCA"/>
    <w:rsid w:val="00441906"/>
    <w:rsid w:val="004435E0"/>
    <w:rsid w:val="00444479"/>
    <w:rsid w:val="0045754E"/>
    <w:rsid w:val="00465683"/>
    <w:rsid w:val="00473AA4"/>
    <w:rsid w:val="00480124"/>
    <w:rsid w:val="00492118"/>
    <w:rsid w:val="00497073"/>
    <w:rsid w:val="004975D7"/>
    <w:rsid w:val="004A227E"/>
    <w:rsid w:val="004A443D"/>
    <w:rsid w:val="004A7007"/>
    <w:rsid w:val="004A722A"/>
    <w:rsid w:val="004B18F2"/>
    <w:rsid w:val="004B19F3"/>
    <w:rsid w:val="004C34C8"/>
    <w:rsid w:val="004C42DF"/>
    <w:rsid w:val="004D1AD2"/>
    <w:rsid w:val="004D6132"/>
    <w:rsid w:val="004E4791"/>
    <w:rsid w:val="004F0A21"/>
    <w:rsid w:val="004F27F6"/>
    <w:rsid w:val="004F34E8"/>
    <w:rsid w:val="004F3FF3"/>
    <w:rsid w:val="004F4ECA"/>
    <w:rsid w:val="004F7461"/>
    <w:rsid w:val="00501CF3"/>
    <w:rsid w:val="00512BE2"/>
    <w:rsid w:val="00513B4E"/>
    <w:rsid w:val="00513E64"/>
    <w:rsid w:val="00520C48"/>
    <w:rsid w:val="00531013"/>
    <w:rsid w:val="0053524A"/>
    <w:rsid w:val="00541E14"/>
    <w:rsid w:val="00546944"/>
    <w:rsid w:val="00547723"/>
    <w:rsid w:val="005502D4"/>
    <w:rsid w:val="005538BC"/>
    <w:rsid w:val="00555FB3"/>
    <w:rsid w:val="00557E07"/>
    <w:rsid w:val="00572973"/>
    <w:rsid w:val="005731EC"/>
    <w:rsid w:val="00581A65"/>
    <w:rsid w:val="00582895"/>
    <w:rsid w:val="00587C0B"/>
    <w:rsid w:val="00587C64"/>
    <w:rsid w:val="005908A9"/>
    <w:rsid w:val="00597774"/>
    <w:rsid w:val="005A06AF"/>
    <w:rsid w:val="005A1DEE"/>
    <w:rsid w:val="005A2E2F"/>
    <w:rsid w:val="005B0147"/>
    <w:rsid w:val="005B5C9D"/>
    <w:rsid w:val="005B704D"/>
    <w:rsid w:val="005B7AC6"/>
    <w:rsid w:val="005C38AF"/>
    <w:rsid w:val="005C419F"/>
    <w:rsid w:val="005D1B4C"/>
    <w:rsid w:val="005D5E12"/>
    <w:rsid w:val="005E00B9"/>
    <w:rsid w:val="005E1EB5"/>
    <w:rsid w:val="005E4D3B"/>
    <w:rsid w:val="005E5E21"/>
    <w:rsid w:val="005F2FBE"/>
    <w:rsid w:val="005F36BD"/>
    <w:rsid w:val="005F446B"/>
    <w:rsid w:val="00604B64"/>
    <w:rsid w:val="00611EE4"/>
    <w:rsid w:val="00622886"/>
    <w:rsid w:val="00622AB7"/>
    <w:rsid w:val="006255B7"/>
    <w:rsid w:val="00631635"/>
    <w:rsid w:val="00645E29"/>
    <w:rsid w:val="00647DF9"/>
    <w:rsid w:val="00651587"/>
    <w:rsid w:val="00655541"/>
    <w:rsid w:val="006561AD"/>
    <w:rsid w:val="00667114"/>
    <w:rsid w:val="00667896"/>
    <w:rsid w:val="00672B26"/>
    <w:rsid w:val="00681606"/>
    <w:rsid w:val="006837A4"/>
    <w:rsid w:val="00692979"/>
    <w:rsid w:val="006A4F5D"/>
    <w:rsid w:val="006A7B1D"/>
    <w:rsid w:val="006B7885"/>
    <w:rsid w:val="006C439D"/>
    <w:rsid w:val="006D24EC"/>
    <w:rsid w:val="006E1B70"/>
    <w:rsid w:val="006E3955"/>
    <w:rsid w:val="006E4BB3"/>
    <w:rsid w:val="006E640C"/>
    <w:rsid w:val="00700C9B"/>
    <w:rsid w:val="00701A38"/>
    <w:rsid w:val="00702B14"/>
    <w:rsid w:val="00705D89"/>
    <w:rsid w:val="007128C9"/>
    <w:rsid w:val="00717624"/>
    <w:rsid w:val="00730B1A"/>
    <w:rsid w:val="007342CF"/>
    <w:rsid w:val="00741CEB"/>
    <w:rsid w:val="00741E38"/>
    <w:rsid w:val="00754C50"/>
    <w:rsid w:val="0076093F"/>
    <w:rsid w:val="00763B02"/>
    <w:rsid w:val="007674D4"/>
    <w:rsid w:val="0076794F"/>
    <w:rsid w:val="007722C0"/>
    <w:rsid w:val="00777A9F"/>
    <w:rsid w:val="0078297A"/>
    <w:rsid w:val="00782AC5"/>
    <w:rsid w:val="00785A52"/>
    <w:rsid w:val="00787117"/>
    <w:rsid w:val="0079492C"/>
    <w:rsid w:val="00796F36"/>
    <w:rsid w:val="007A32A4"/>
    <w:rsid w:val="007A6343"/>
    <w:rsid w:val="007A649B"/>
    <w:rsid w:val="007B3700"/>
    <w:rsid w:val="007B37EE"/>
    <w:rsid w:val="007B45CC"/>
    <w:rsid w:val="007D3A15"/>
    <w:rsid w:val="007E4343"/>
    <w:rsid w:val="007E5B96"/>
    <w:rsid w:val="007F37E3"/>
    <w:rsid w:val="00800A81"/>
    <w:rsid w:val="00803242"/>
    <w:rsid w:val="00803D8C"/>
    <w:rsid w:val="00805140"/>
    <w:rsid w:val="00811BDA"/>
    <w:rsid w:val="0082115C"/>
    <w:rsid w:val="008259D1"/>
    <w:rsid w:val="0083054E"/>
    <w:rsid w:val="00834CC4"/>
    <w:rsid w:val="00837744"/>
    <w:rsid w:val="008400A0"/>
    <w:rsid w:val="00850A7C"/>
    <w:rsid w:val="00853623"/>
    <w:rsid w:val="00855910"/>
    <w:rsid w:val="008567C6"/>
    <w:rsid w:val="00861631"/>
    <w:rsid w:val="00863432"/>
    <w:rsid w:val="00865862"/>
    <w:rsid w:val="008707B0"/>
    <w:rsid w:val="00872F37"/>
    <w:rsid w:val="008806D0"/>
    <w:rsid w:val="0088086E"/>
    <w:rsid w:val="008904C4"/>
    <w:rsid w:val="00892AFB"/>
    <w:rsid w:val="00896CBB"/>
    <w:rsid w:val="008A323C"/>
    <w:rsid w:val="008A577B"/>
    <w:rsid w:val="008A7156"/>
    <w:rsid w:val="008B1CE1"/>
    <w:rsid w:val="008B75EB"/>
    <w:rsid w:val="008B760E"/>
    <w:rsid w:val="008B7EDD"/>
    <w:rsid w:val="008C3B90"/>
    <w:rsid w:val="008C5D56"/>
    <w:rsid w:val="008C687A"/>
    <w:rsid w:val="008C6E5D"/>
    <w:rsid w:val="008D1DB1"/>
    <w:rsid w:val="008D4BC7"/>
    <w:rsid w:val="008D6C9A"/>
    <w:rsid w:val="008D6D75"/>
    <w:rsid w:val="008E5813"/>
    <w:rsid w:val="008E7DA9"/>
    <w:rsid w:val="008F1B8C"/>
    <w:rsid w:val="008F7681"/>
    <w:rsid w:val="00910680"/>
    <w:rsid w:val="009111D4"/>
    <w:rsid w:val="00912839"/>
    <w:rsid w:val="00913FB8"/>
    <w:rsid w:val="00917798"/>
    <w:rsid w:val="00922FB0"/>
    <w:rsid w:val="009260B2"/>
    <w:rsid w:val="00936643"/>
    <w:rsid w:val="00942526"/>
    <w:rsid w:val="00943698"/>
    <w:rsid w:val="0094588E"/>
    <w:rsid w:val="0095174F"/>
    <w:rsid w:val="00954F11"/>
    <w:rsid w:val="00960DFF"/>
    <w:rsid w:val="009612FA"/>
    <w:rsid w:val="00967EA8"/>
    <w:rsid w:val="00971C41"/>
    <w:rsid w:val="009746E4"/>
    <w:rsid w:val="0097680D"/>
    <w:rsid w:val="00976FCD"/>
    <w:rsid w:val="00977674"/>
    <w:rsid w:val="00981D6B"/>
    <w:rsid w:val="00985409"/>
    <w:rsid w:val="00990651"/>
    <w:rsid w:val="00996A11"/>
    <w:rsid w:val="00997C13"/>
    <w:rsid w:val="009A02F5"/>
    <w:rsid w:val="009A1E96"/>
    <w:rsid w:val="009A29F6"/>
    <w:rsid w:val="009A6E2A"/>
    <w:rsid w:val="009A7E36"/>
    <w:rsid w:val="009B6820"/>
    <w:rsid w:val="009B7FDC"/>
    <w:rsid w:val="009C2F46"/>
    <w:rsid w:val="009D002F"/>
    <w:rsid w:val="009D1DE3"/>
    <w:rsid w:val="009D2D67"/>
    <w:rsid w:val="00A02657"/>
    <w:rsid w:val="00A030C6"/>
    <w:rsid w:val="00A0711D"/>
    <w:rsid w:val="00A14483"/>
    <w:rsid w:val="00A205BA"/>
    <w:rsid w:val="00A26736"/>
    <w:rsid w:val="00A37062"/>
    <w:rsid w:val="00A41A0C"/>
    <w:rsid w:val="00A50483"/>
    <w:rsid w:val="00A50FE3"/>
    <w:rsid w:val="00A53CD4"/>
    <w:rsid w:val="00A54B6F"/>
    <w:rsid w:val="00A55475"/>
    <w:rsid w:val="00A6366D"/>
    <w:rsid w:val="00A663C8"/>
    <w:rsid w:val="00A669A2"/>
    <w:rsid w:val="00A725FC"/>
    <w:rsid w:val="00A72CA6"/>
    <w:rsid w:val="00A9055A"/>
    <w:rsid w:val="00A91FE3"/>
    <w:rsid w:val="00A95345"/>
    <w:rsid w:val="00A96B2E"/>
    <w:rsid w:val="00A97B6F"/>
    <w:rsid w:val="00AB216F"/>
    <w:rsid w:val="00AC4499"/>
    <w:rsid w:val="00AC60B0"/>
    <w:rsid w:val="00AC6814"/>
    <w:rsid w:val="00AD273E"/>
    <w:rsid w:val="00AD7368"/>
    <w:rsid w:val="00AE7228"/>
    <w:rsid w:val="00AF0A5E"/>
    <w:rsid w:val="00AF10FD"/>
    <w:rsid w:val="00AF2C67"/>
    <w:rsid w:val="00AF3168"/>
    <w:rsid w:val="00AF3467"/>
    <w:rsid w:val="00AF374B"/>
    <w:rsid w:val="00B00A8E"/>
    <w:rsid w:val="00B0179D"/>
    <w:rsid w:val="00B035D8"/>
    <w:rsid w:val="00B13C05"/>
    <w:rsid w:val="00B1572C"/>
    <w:rsid w:val="00B1727D"/>
    <w:rsid w:val="00B23361"/>
    <w:rsid w:val="00B30272"/>
    <w:rsid w:val="00B36D8D"/>
    <w:rsid w:val="00B37589"/>
    <w:rsid w:val="00B41F42"/>
    <w:rsid w:val="00B45A0E"/>
    <w:rsid w:val="00B46D58"/>
    <w:rsid w:val="00B504BF"/>
    <w:rsid w:val="00B61CFC"/>
    <w:rsid w:val="00B626AE"/>
    <w:rsid w:val="00B7217D"/>
    <w:rsid w:val="00B81D7C"/>
    <w:rsid w:val="00B825FE"/>
    <w:rsid w:val="00B87B55"/>
    <w:rsid w:val="00BA0DF8"/>
    <w:rsid w:val="00BA13A3"/>
    <w:rsid w:val="00BA22AD"/>
    <w:rsid w:val="00BA75CA"/>
    <w:rsid w:val="00BB2B63"/>
    <w:rsid w:val="00BC6044"/>
    <w:rsid w:val="00BC795C"/>
    <w:rsid w:val="00BD69AD"/>
    <w:rsid w:val="00BE06F4"/>
    <w:rsid w:val="00BF501F"/>
    <w:rsid w:val="00C11720"/>
    <w:rsid w:val="00C17792"/>
    <w:rsid w:val="00C17FB3"/>
    <w:rsid w:val="00C21919"/>
    <w:rsid w:val="00C25FE3"/>
    <w:rsid w:val="00C27825"/>
    <w:rsid w:val="00C34920"/>
    <w:rsid w:val="00C408F7"/>
    <w:rsid w:val="00C4119E"/>
    <w:rsid w:val="00C51F20"/>
    <w:rsid w:val="00C521F6"/>
    <w:rsid w:val="00C52490"/>
    <w:rsid w:val="00C54261"/>
    <w:rsid w:val="00C56C31"/>
    <w:rsid w:val="00C66590"/>
    <w:rsid w:val="00C66ACD"/>
    <w:rsid w:val="00C70E49"/>
    <w:rsid w:val="00C7184E"/>
    <w:rsid w:val="00C74905"/>
    <w:rsid w:val="00C773C7"/>
    <w:rsid w:val="00C817A7"/>
    <w:rsid w:val="00C85230"/>
    <w:rsid w:val="00C85B00"/>
    <w:rsid w:val="00C93366"/>
    <w:rsid w:val="00C94E93"/>
    <w:rsid w:val="00C968C4"/>
    <w:rsid w:val="00CA7582"/>
    <w:rsid w:val="00CA760C"/>
    <w:rsid w:val="00CB3E23"/>
    <w:rsid w:val="00CB5FF0"/>
    <w:rsid w:val="00CB647E"/>
    <w:rsid w:val="00CC2492"/>
    <w:rsid w:val="00CC78E7"/>
    <w:rsid w:val="00CD6841"/>
    <w:rsid w:val="00CE7C46"/>
    <w:rsid w:val="00CF1CDA"/>
    <w:rsid w:val="00CF3D6F"/>
    <w:rsid w:val="00CF4B3C"/>
    <w:rsid w:val="00D03C09"/>
    <w:rsid w:val="00D108EB"/>
    <w:rsid w:val="00D179B6"/>
    <w:rsid w:val="00D213EB"/>
    <w:rsid w:val="00D22712"/>
    <w:rsid w:val="00D235A0"/>
    <w:rsid w:val="00D26260"/>
    <w:rsid w:val="00D27B75"/>
    <w:rsid w:val="00D34965"/>
    <w:rsid w:val="00D34C11"/>
    <w:rsid w:val="00D43300"/>
    <w:rsid w:val="00D44BB6"/>
    <w:rsid w:val="00D451AB"/>
    <w:rsid w:val="00D47D94"/>
    <w:rsid w:val="00D51A71"/>
    <w:rsid w:val="00D57EFD"/>
    <w:rsid w:val="00D61FFF"/>
    <w:rsid w:val="00D64B14"/>
    <w:rsid w:val="00D71F1F"/>
    <w:rsid w:val="00D817A6"/>
    <w:rsid w:val="00D86808"/>
    <w:rsid w:val="00D91B86"/>
    <w:rsid w:val="00DA22E7"/>
    <w:rsid w:val="00DA4DCF"/>
    <w:rsid w:val="00DA5231"/>
    <w:rsid w:val="00DA77F2"/>
    <w:rsid w:val="00DB310C"/>
    <w:rsid w:val="00DB59B2"/>
    <w:rsid w:val="00DB65E3"/>
    <w:rsid w:val="00DC27F1"/>
    <w:rsid w:val="00DC3E36"/>
    <w:rsid w:val="00DC4B7E"/>
    <w:rsid w:val="00DD52BC"/>
    <w:rsid w:val="00DD53B4"/>
    <w:rsid w:val="00DD5943"/>
    <w:rsid w:val="00DD7BC4"/>
    <w:rsid w:val="00DE5622"/>
    <w:rsid w:val="00E021D9"/>
    <w:rsid w:val="00E02427"/>
    <w:rsid w:val="00E0383E"/>
    <w:rsid w:val="00E0393F"/>
    <w:rsid w:val="00E06A24"/>
    <w:rsid w:val="00E07748"/>
    <w:rsid w:val="00E07C82"/>
    <w:rsid w:val="00E11173"/>
    <w:rsid w:val="00E12D62"/>
    <w:rsid w:val="00E200BB"/>
    <w:rsid w:val="00E23E2F"/>
    <w:rsid w:val="00E276CE"/>
    <w:rsid w:val="00E303B9"/>
    <w:rsid w:val="00E357DB"/>
    <w:rsid w:val="00E36F43"/>
    <w:rsid w:val="00E402BF"/>
    <w:rsid w:val="00E51A80"/>
    <w:rsid w:val="00E51C8A"/>
    <w:rsid w:val="00E552D9"/>
    <w:rsid w:val="00E5684D"/>
    <w:rsid w:val="00E6174B"/>
    <w:rsid w:val="00E628C3"/>
    <w:rsid w:val="00E63536"/>
    <w:rsid w:val="00E64165"/>
    <w:rsid w:val="00E7185D"/>
    <w:rsid w:val="00E71AF1"/>
    <w:rsid w:val="00E72C9F"/>
    <w:rsid w:val="00E76A90"/>
    <w:rsid w:val="00E8081B"/>
    <w:rsid w:val="00E8268A"/>
    <w:rsid w:val="00E835BD"/>
    <w:rsid w:val="00E83B8F"/>
    <w:rsid w:val="00E83CAA"/>
    <w:rsid w:val="00E84E49"/>
    <w:rsid w:val="00E940B6"/>
    <w:rsid w:val="00E95200"/>
    <w:rsid w:val="00EA41F1"/>
    <w:rsid w:val="00EC0BB8"/>
    <w:rsid w:val="00EC6AD1"/>
    <w:rsid w:val="00ED1591"/>
    <w:rsid w:val="00ED1DED"/>
    <w:rsid w:val="00ED52CB"/>
    <w:rsid w:val="00EE2EC3"/>
    <w:rsid w:val="00EE33C9"/>
    <w:rsid w:val="00EE3403"/>
    <w:rsid w:val="00EE373C"/>
    <w:rsid w:val="00EE4B3F"/>
    <w:rsid w:val="00EF3989"/>
    <w:rsid w:val="00EF6904"/>
    <w:rsid w:val="00F115A6"/>
    <w:rsid w:val="00F1221F"/>
    <w:rsid w:val="00F12299"/>
    <w:rsid w:val="00F1406D"/>
    <w:rsid w:val="00F150B7"/>
    <w:rsid w:val="00F15E67"/>
    <w:rsid w:val="00F20B49"/>
    <w:rsid w:val="00F2118A"/>
    <w:rsid w:val="00F326D1"/>
    <w:rsid w:val="00F340C1"/>
    <w:rsid w:val="00F34701"/>
    <w:rsid w:val="00F359F2"/>
    <w:rsid w:val="00F37A9A"/>
    <w:rsid w:val="00F407A3"/>
    <w:rsid w:val="00F519EF"/>
    <w:rsid w:val="00F53DAC"/>
    <w:rsid w:val="00F8009B"/>
    <w:rsid w:val="00F831CD"/>
    <w:rsid w:val="00F91118"/>
    <w:rsid w:val="00FB0896"/>
    <w:rsid w:val="00FB1297"/>
    <w:rsid w:val="00FB2C67"/>
    <w:rsid w:val="00FB572F"/>
    <w:rsid w:val="00FC534F"/>
    <w:rsid w:val="00FD3D58"/>
    <w:rsid w:val="00FD43EA"/>
    <w:rsid w:val="00FE4A29"/>
    <w:rsid w:val="00FE4F48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A3B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128C9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1C77C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C77C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C77C5"/>
    <w:rPr>
      <w:rFonts w:eastAsia="Times New Roman" w:cs="Times New Roman"/>
      <w:sz w:val="20"/>
      <w:szCs w:val="20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Colorful List - Accent 11,1st level - Bullet List Paragraph,Lettre d'introduction,Normal bullet 2"/>
    <w:basedOn w:val="prastasis"/>
    <w:link w:val="SraopastraipaDiagrama"/>
    <w:uiPriority w:val="34"/>
    <w:qFormat/>
    <w:rsid w:val="001C77C5"/>
    <w:pPr>
      <w:ind w:left="720"/>
      <w:contextualSpacing/>
    </w:p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rsid w:val="001C77C5"/>
    <w:rPr>
      <w:rFonts w:eastAsia="Times New Roman" w:cs="Times New Roman"/>
      <w:szCs w:val="20"/>
    </w:rPr>
  </w:style>
  <w:style w:type="character" w:styleId="Nerykinuoroda">
    <w:name w:val="Subtle Reference"/>
    <w:uiPriority w:val="31"/>
    <w:qFormat/>
    <w:rsid w:val="001C77C5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C77C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C77C5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C77C5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Hipersaitas">
    <w:name w:val="Hyperlink"/>
    <w:basedOn w:val="Numatytasispastraiposriftas"/>
    <w:uiPriority w:val="99"/>
    <w:unhideWhenUsed/>
    <w:rsid w:val="00B41F42"/>
    <w:rPr>
      <w:color w:val="0000FF" w:themeColor="hyperlink"/>
      <w:u w:val="single"/>
    </w:rPr>
  </w:style>
  <w:style w:type="table" w:styleId="Lentelstinklelis">
    <w:name w:val="Table Grid"/>
    <w:basedOn w:val="prastojilentel"/>
    <w:uiPriority w:val="59"/>
    <w:rsid w:val="002125D4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">
    <w:name w:val="Para"/>
    <w:link w:val="ParaChar"/>
    <w:uiPriority w:val="4"/>
    <w:qFormat/>
    <w:rsid w:val="002125D4"/>
    <w:pPr>
      <w:spacing w:before="120" w:after="120" w:line="260" w:lineRule="atLeast"/>
      <w:jc w:val="both"/>
    </w:pPr>
    <w:rPr>
      <w:rFonts w:asciiTheme="minorHAnsi" w:hAnsiTheme="minorHAnsi"/>
      <w:color w:val="000000" w:themeColor="text1"/>
      <w:sz w:val="20"/>
      <w:lang w:val="en-GB"/>
    </w:rPr>
  </w:style>
  <w:style w:type="character" w:customStyle="1" w:styleId="ParaChar">
    <w:name w:val="Para Char"/>
    <w:basedOn w:val="Numatytasispastraiposriftas"/>
    <w:link w:val="Para"/>
    <w:uiPriority w:val="4"/>
    <w:rsid w:val="002125D4"/>
    <w:rPr>
      <w:rFonts w:asciiTheme="minorHAnsi" w:hAnsiTheme="minorHAnsi"/>
      <w:color w:val="000000" w:themeColor="text1"/>
      <w:sz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6568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65683"/>
    <w:rPr>
      <w:rFonts w:eastAsia="Times New Roman" w:cs="Times New Roman"/>
      <w:b/>
      <w:bCs/>
      <w:sz w:val="20"/>
      <w:szCs w:val="20"/>
    </w:rPr>
  </w:style>
  <w:style w:type="paragraph" w:styleId="Puslapioinaostekstas">
    <w:name w:val="footnote text"/>
    <w:aliases w:val="• Isnasos,Footnote Text Char Char,Footnote,Fußnotentextf,stile 1,Footnote1,Footnote2,Footnote3,Footnote4,Footnote5,Footnote6,Footnote7,Footnote8,Footnote9,Footnote10,Footnote11,Footnote21,Footnote31,Footnote41,Footnote51,f,fn"/>
    <w:basedOn w:val="prastasis"/>
    <w:link w:val="PuslapioinaostekstasDiagrama"/>
    <w:uiPriority w:val="99"/>
    <w:unhideWhenUsed/>
    <w:qFormat/>
    <w:rsid w:val="00EC0BB8"/>
    <w:rPr>
      <w:sz w:val="20"/>
    </w:rPr>
  </w:style>
  <w:style w:type="character" w:customStyle="1" w:styleId="PuslapioinaostekstasDiagrama">
    <w:name w:val="Puslapio išnašos tekstas Diagrama"/>
    <w:aliases w:val="• Isnasos Diagrama,Footnote Text Char Char Diagrama,Footnote Diagrama,Fußnotentextf Diagrama,stile 1 Diagrama,Footnote1 Diagrama,Footnote2 Diagrama,Footnote3 Diagrama,Footnote4 Diagrama,Footnote5 Diagrama,f Diagrama"/>
    <w:basedOn w:val="Numatytasispastraiposriftas"/>
    <w:link w:val="Puslapioinaostekstas"/>
    <w:uiPriority w:val="99"/>
    <w:qFormat/>
    <w:rsid w:val="00EC0BB8"/>
    <w:rPr>
      <w:rFonts w:eastAsia="Times New Roman" w:cs="Times New Roman"/>
      <w:sz w:val="20"/>
      <w:szCs w:val="20"/>
    </w:rPr>
  </w:style>
  <w:style w:type="character" w:styleId="Puslapioinaosnuoroda">
    <w:name w:val="footnote reference"/>
    <w:aliases w:val="• Isnasos nuoroda,Footnotes refss,Appel note de bas de p,Footnote symbol,Voetnootverwijzing,Times 10 Point,Exposant 3 Point,BVI fnr,Footnote Reference Number,SUPERS,Footnote anchor,Footnote reference number,Footnote number,fr,FR"/>
    <w:basedOn w:val="Numatytasispastraiposriftas"/>
    <w:link w:val="SUPERSChar"/>
    <w:unhideWhenUsed/>
    <w:qFormat/>
    <w:rsid w:val="00EC0BB8"/>
    <w:rPr>
      <w:vertAlign w:val="superscript"/>
    </w:rPr>
  </w:style>
  <w:style w:type="paragraph" w:customStyle="1" w:styleId="SUPERSChar">
    <w:name w:val="SUPERS Char"/>
    <w:aliases w:val="EN Footnote Reference Char"/>
    <w:basedOn w:val="prastasis"/>
    <w:link w:val="Puslapioinaosnuoroda"/>
    <w:rsid w:val="00EC0BB8"/>
    <w:pPr>
      <w:spacing w:after="160" w:line="240" w:lineRule="exact"/>
    </w:pPr>
    <w:rPr>
      <w:rFonts w:eastAsiaTheme="minorHAnsi" w:cstheme="minorBidi"/>
      <w:szCs w:val="22"/>
      <w:vertAlign w:val="superscript"/>
    </w:rPr>
  </w:style>
  <w:style w:type="character" w:customStyle="1" w:styleId="st">
    <w:name w:val="st"/>
    <w:basedOn w:val="Numatytasispastraiposriftas"/>
    <w:rsid w:val="004A722A"/>
  </w:style>
  <w:style w:type="paragraph" w:styleId="Antrats">
    <w:name w:val="header"/>
    <w:basedOn w:val="prastasis"/>
    <w:link w:val="AntratsDiagrama"/>
    <w:uiPriority w:val="99"/>
    <w:unhideWhenUsed/>
    <w:rsid w:val="000463B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463BD"/>
    <w:rPr>
      <w:rFonts w:eastAsia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0463B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463BD"/>
    <w:rPr>
      <w:rFonts w:eastAsia="Times New Roman" w:cs="Times New Roman"/>
      <w:szCs w:val="20"/>
    </w:rPr>
  </w:style>
  <w:style w:type="paragraph" w:styleId="Pataisymai">
    <w:name w:val="Revision"/>
    <w:hidden/>
    <w:uiPriority w:val="99"/>
    <w:semiHidden/>
    <w:rsid w:val="007A32A4"/>
    <w:pPr>
      <w:spacing w:after="0" w:line="240" w:lineRule="auto"/>
    </w:pPr>
    <w:rPr>
      <w:rFonts w:eastAsia="Times New Roman" w:cs="Times New Roman"/>
      <w:szCs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936643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936643"/>
    <w:rPr>
      <w:rFonts w:eastAsia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93664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128C9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1C77C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C77C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C77C5"/>
    <w:rPr>
      <w:rFonts w:eastAsia="Times New Roman" w:cs="Times New Roman"/>
      <w:sz w:val="20"/>
      <w:szCs w:val="20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Colorful List - Accent 11,1st level - Bullet List Paragraph,Lettre d'introduction,Normal bullet 2"/>
    <w:basedOn w:val="prastasis"/>
    <w:link w:val="SraopastraipaDiagrama"/>
    <w:uiPriority w:val="34"/>
    <w:qFormat/>
    <w:rsid w:val="001C77C5"/>
    <w:pPr>
      <w:ind w:left="720"/>
      <w:contextualSpacing/>
    </w:p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rsid w:val="001C77C5"/>
    <w:rPr>
      <w:rFonts w:eastAsia="Times New Roman" w:cs="Times New Roman"/>
      <w:szCs w:val="20"/>
    </w:rPr>
  </w:style>
  <w:style w:type="character" w:styleId="Nerykinuoroda">
    <w:name w:val="Subtle Reference"/>
    <w:uiPriority w:val="31"/>
    <w:qFormat/>
    <w:rsid w:val="001C77C5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C77C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C77C5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C77C5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Hipersaitas">
    <w:name w:val="Hyperlink"/>
    <w:basedOn w:val="Numatytasispastraiposriftas"/>
    <w:uiPriority w:val="99"/>
    <w:unhideWhenUsed/>
    <w:rsid w:val="00B41F42"/>
    <w:rPr>
      <w:color w:val="0000FF" w:themeColor="hyperlink"/>
      <w:u w:val="single"/>
    </w:rPr>
  </w:style>
  <w:style w:type="table" w:styleId="Lentelstinklelis">
    <w:name w:val="Table Grid"/>
    <w:basedOn w:val="prastojilentel"/>
    <w:uiPriority w:val="59"/>
    <w:rsid w:val="002125D4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">
    <w:name w:val="Para"/>
    <w:link w:val="ParaChar"/>
    <w:uiPriority w:val="4"/>
    <w:qFormat/>
    <w:rsid w:val="002125D4"/>
    <w:pPr>
      <w:spacing w:before="120" w:after="120" w:line="260" w:lineRule="atLeast"/>
      <w:jc w:val="both"/>
    </w:pPr>
    <w:rPr>
      <w:rFonts w:asciiTheme="minorHAnsi" w:hAnsiTheme="minorHAnsi"/>
      <w:color w:val="000000" w:themeColor="text1"/>
      <w:sz w:val="20"/>
      <w:lang w:val="en-GB"/>
    </w:rPr>
  </w:style>
  <w:style w:type="character" w:customStyle="1" w:styleId="ParaChar">
    <w:name w:val="Para Char"/>
    <w:basedOn w:val="Numatytasispastraiposriftas"/>
    <w:link w:val="Para"/>
    <w:uiPriority w:val="4"/>
    <w:rsid w:val="002125D4"/>
    <w:rPr>
      <w:rFonts w:asciiTheme="minorHAnsi" w:hAnsiTheme="minorHAnsi"/>
      <w:color w:val="000000" w:themeColor="text1"/>
      <w:sz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6568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65683"/>
    <w:rPr>
      <w:rFonts w:eastAsia="Times New Roman" w:cs="Times New Roman"/>
      <w:b/>
      <w:bCs/>
      <w:sz w:val="20"/>
      <w:szCs w:val="20"/>
    </w:rPr>
  </w:style>
  <w:style w:type="paragraph" w:styleId="Puslapioinaostekstas">
    <w:name w:val="footnote text"/>
    <w:aliases w:val="• Isnasos,Footnote Text Char Char,Footnote,Fußnotentextf,stile 1,Footnote1,Footnote2,Footnote3,Footnote4,Footnote5,Footnote6,Footnote7,Footnote8,Footnote9,Footnote10,Footnote11,Footnote21,Footnote31,Footnote41,Footnote51,f,fn"/>
    <w:basedOn w:val="prastasis"/>
    <w:link w:val="PuslapioinaostekstasDiagrama"/>
    <w:uiPriority w:val="99"/>
    <w:unhideWhenUsed/>
    <w:qFormat/>
    <w:rsid w:val="00EC0BB8"/>
    <w:rPr>
      <w:sz w:val="20"/>
    </w:rPr>
  </w:style>
  <w:style w:type="character" w:customStyle="1" w:styleId="PuslapioinaostekstasDiagrama">
    <w:name w:val="Puslapio išnašos tekstas Diagrama"/>
    <w:aliases w:val="• Isnasos Diagrama,Footnote Text Char Char Diagrama,Footnote Diagrama,Fußnotentextf Diagrama,stile 1 Diagrama,Footnote1 Diagrama,Footnote2 Diagrama,Footnote3 Diagrama,Footnote4 Diagrama,Footnote5 Diagrama,f Diagrama"/>
    <w:basedOn w:val="Numatytasispastraiposriftas"/>
    <w:link w:val="Puslapioinaostekstas"/>
    <w:uiPriority w:val="99"/>
    <w:qFormat/>
    <w:rsid w:val="00EC0BB8"/>
    <w:rPr>
      <w:rFonts w:eastAsia="Times New Roman" w:cs="Times New Roman"/>
      <w:sz w:val="20"/>
      <w:szCs w:val="20"/>
    </w:rPr>
  </w:style>
  <w:style w:type="character" w:styleId="Puslapioinaosnuoroda">
    <w:name w:val="footnote reference"/>
    <w:aliases w:val="• Isnasos nuoroda,Footnotes refss,Appel note de bas de p,Footnote symbol,Voetnootverwijzing,Times 10 Point,Exposant 3 Point,BVI fnr,Footnote Reference Number,SUPERS,Footnote anchor,Footnote reference number,Footnote number,fr,FR"/>
    <w:basedOn w:val="Numatytasispastraiposriftas"/>
    <w:link w:val="SUPERSChar"/>
    <w:unhideWhenUsed/>
    <w:qFormat/>
    <w:rsid w:val="00EC0BB8"/>
    <w:rPr>
      <w:vertAlign w:val="superscript"/>
    </w:rPr>
  </w:style>
  <w:style w:type="paragraph" w:customStyle="1" w:styleId="SUPERSChar">
    <w:name w:val="SUPERS Char"/>
    <w:aliases w:val="EN Footnote Reference Char"/>
    <w:basedOn w:val="prastasis"/>
    <w:link w:val="Puslapioinaosnuoroda"/>
    <w:rsid w:val="00EC0BB8"/>
    <w:pPr>
      <w:spacing w:after="160" w:line="240" w:lineRule="exact"/>
    </w:pPr>
    <w:rPr>
      <w:rFonts w:eastAsiaTheme="minorHAnsi" w:cstheme="minorBidi"/>
      <w:szCs w:val="22"/>
      <w:vertAlign w:val="superscript"/>
    </w:rPr>
  </w:style>
  <w:style w:type="character" w:customStyle="1" w:styleId="st">
    <w:name w:val="st"/>
    <w:basedOn w:val="Numatytasispastraiposriftas"/>
    <w:rsid w:val="004A722A"/>
  </w:style>
  <w:style w:type="paragraph" w:styleId="Antrats">
    <w:name w:val="header"/>
    <w:basedOn w:val="prastasis"/>
    <w:link w:val="AntratsDiagrama"/>
    <w:uiPriority w:val="99"/>
    <w:unhideWhenUsed/>
    <w:rsid w:val="000463B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463BD"/>
    <w:rPr>
      <w:rFonts w:eastAsia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0463B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463BD"/>
    <w:rPr>
      <w:rFonts w:eastAsia="Times New Roman" w:cs="Times New Roman"/>
      <w:szCs w:val="20"/>
    </w:rPr>
  </w:style>
  <w:style w:type="paragraph" w:styleId="Pataisymai">
    <w:name w:val="Revision"/>
    <w:hidden/>
    <w:uiPriority w:val="99"/>
    <w:semiHidden/>
    <w:rsid w:val="007A32A4"/>
    <w:pPr>
      <w:spacing w:after="0" w:line="240" w:lineRule="auto"/>
    </w:pPr>
    <w:rPr>
      <w:rFonts w:eastAsia="Times New Roman" w:cs="Times New Roman"/>
      <w:szCs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936643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936643"/>
    <w:rPr>
      <w:rFonts w:eastAsia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9366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9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numbering.xml"
                 Type="http://schemas.openxmlformats.org/officeDocument/2006/relationships/numbering"/>
   <Relationship Id="rId4" Target="styles.xml"
                 Type="http://schemas.openxmlformats.org/officeDocument/2006/relationships/styles"/>
   <Relationship Id="rId5" Target="stylesWithEffects.xml"
                 Type="http://schemas.microsoft.com/office/2007/relationships/stylesWithEffect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D98C8-89F4-4176-82B7-4188790109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F4FEDD-00C2-407B-AEAD-A18DFDCCF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10226</Words>
  <Characters>5829</Characters>
  <Application>Microsoft Office Word</Application>
  <DocSecurity>0</DocSecurity>
  <Lines>48</Lines>
  <Paragraphs>32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2022-02-01T08:59:00Z</dcterms:created>
  <dc:creator>Dalia Latakienė</dc:creator>
  <cp:lastModifiedBy>Dalia Latakienė</cp:lastModifiedBy>
  <cp:lastPrinted>2021-12-29T14:48:00Z</cp:lastPrinted>
  <dcterms:modified xsi:type="dcterms:W3CDTF">2022-02-01T12:19:00Z</dcterms:modified>
  <cp:revision>4</cp:revision>
</cp:coreProperties>
</file>