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6E6FE9" w:rsidRPr="00E47362">
        <w:rPr>
          <w:rFonts w:eastAsia="Calibri"/>
          <w:b/>
          <w:lang w:val="lt-LT"/>
        </w:rPr>
        <w:t>VASARIO 16</w:t>
      </w:r>
      <w:r w:rsidRPr="00E47362">
        <w:rPr>
          <w:rFonts w:eastAsia="Calibri"/>
          <w:b/>
          <w:lang w:val="lt-LT"/>
        </w:rPr>
        <w:t xml:space="preserve"> D. </w:t>
      </w:r>
      <w:r w:rsidR="0032625D" w:rsidRPr="00E47362">
        <w:rPr>
          <w:rFonts w:eastAsia="Calibri"/>
          <w:b/>
          <w:lang w:val="lt-LT"/>
        </w:rPr>
        <w:t>EUROPOS SĄJUNGOS EKONOMIKOS IR FINANSŲ REIK</w:t>
      </w:r>
      <w:r w:rsidR="0032625D" w:rsidRPr="00E47362">
        <w:rPr>
          <w:rFonts w:eastAsia="Calibri"/>
          <w:b/>
          <w:lang w:val="lt-LT"/>
        </w:rPr>
        <w:t>A</w:t>
      </w:r>
      <w:r w:rsidR="0032625D" w:rsidRPr="00E47362">
        <w:rPr>
          <w:rFonts w:eastAsia="Calibri"/>
          <w:b/>
          <w:lang w:val="lt-LT"/>
        </w:rPr>
        <w:t>LŲ TARYBOS (ECOFIN) VAIZDO KONFER</w:t>
      </w:r>
      <w:r w:rsidR="00790FF5" w:rsidRPr="00E47362">
        <w:rPr>
          <w:rFonts w:eastAsia="Calibri"/>
          <w:b/>
          <w:lang w:val="lt-LT"/>
        </w:rPr>
        <w:t>ENCIJA</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6D395F" w:rsidTr="003A3602">
        <w:trPr>
          <w:trHeight w:val="1475"/>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FE9" w:rsidRPr="00E47362" w:rsidRDefault="0032625D">
            <w:pPr>
              <w:pStyle w:val="BodyA"/>
              <w:jc w:val="both"/>
              <w:rPr>
                <w:rFonts w:hAnsi="Times New Roman" w:cs="Times New Roman"/>
                <w:lang w:val="lt-LT"/>
              </w:rPr>
            </w:pPr>
            <w:r w:rsidRPr="00E47362">
              <w:rPr>
                <w:rFonts w:hAnsi="Times New Roman" w:cs="Times New Roman"/>
                <w:b/>
                <w:lang w:val="lt-LT"/>
              </w:rPr>
              <w:t>1.</w:t>
            </w:r>
            <w:r w:rsidRPr="00E47362">
              <w:rPr>
                <w:rFonts w:hAnsi="Times New Roman" w:cs="Times New Roman"/>
                <w:lang w:val="lt-LT"/>
              </w:rPr>
              <w:t xml:space="preserve"> </w:t>
            </w:r>
            <w:r w:rsidR="006E6FE9" w:rsidRPr="00E47362">
              <w:rPr>
                <w:rFonts w:hAnsi="Times New Roman" w:cs="Times New Roman"/>
                <w:b/>
                <w:lang w:val="lt-LT"/>
              </w:rPr>
              <w:t>Europos Sąjungos ekonomikos atsigavimas</w:t>
            </w:r>
          </w:p>
          <w:p w:rsidR="004B217F" w:rsidRPr="00E47362" w:rsidRDefault="006E6FE9">
            <w:pPr>
              <w:pStyle w:val="BodyA"/>
              <w:jc w:val="both"/>
              <w:rPr>
                <w:rFonts w:hAnsi="Times New Roman" w:cs="Times New Roman"/>
                <w:lang w:val="lt-LT"/>
              </w:rPr>
            </w:pPr>
            <w:r w:rsidRPr="00E47362">
              <w:rPr>
                <w:rFonts w:hAnsi="Times New Roman" w:cs="Times New Roman"/>
                <w:b/>
                <w:lang w:val="lt-LT"/>
              </w:rPr>
              <w:t>a) Ekonominė situacija ir perspektyvos</w:t>
            </w:r>
            <w:r w:rsidRPr="00E47362">
              <w:rPr>
                <w:rFonts w:hAnsi="Times New Roman" w:cs="Times New Roman"/>
                <w:lang w:val="lt-LT"/>
              </w:rPr>
              <w:t xml:space="preserve"> </w:t>
            </w:r>
            <w:r w:rsidR="004226F1" w:rsidRPr="00E47362">
              <w:rPr>
                <w:rFonts w:hAnsi="Times New Roman" w:cs="Times New Roman"/>
                <w:lang w:val="lt-LT"/>
              </w:rPr>
              <w:t>(</w:t>
            </w:r>
            <w:r w:rsidR="004226F1" w:rsidRPr="00E47362">
              <w:rPr>
                <w:rFonts w:hAnsi="Times New Roman" w:cs="Times New Roman"/>
                <w:i/>
                <w:lang w:val="lt-LT"/>
              </w:rPr>
              <w:t>apsikeitimas nuomonėmis</w:t>
            </w:r>
            <w:r w:rsidR="00EE1216" w:rsidRPr="00E47362">
              <w:rPr>
                <w:rFonts w:hAnsi="Times New Roman" w:cs="Times New Roman"/>
                <w:lang w:val="lt-LT"/>
              </w:rPr>
              <w:t>)</w:t>
            </w:r>
          </w:p>
          <w:p w:rsidR="00103D35" w:rsidRPr="00A600FE" w:rsidRDefault="00FD34ED">
            <w:pPr>
              <w:pStyle w:val="BodyA"/>
              <w:jc w:val="both"/>
              <w:rPr>
                <w:rFonts w:hAnsi="Times New Roman" w:cs="Times New Roman"/>
                <w:u w:val="single"/>
                <w:lang w:val="lt-LT"/>
              </w:rPr>
            </w:pPr>
            <w:r w:rsidRPr="00A600FE">
              <w:rPr>
                <w:rFonts w:hAnsi="Times New Roman" w:cs="Times New Roman"/>
                <w:b/>
                <w:u w:val="single"/>
                <w:lang w:val="lt-LT"/>
              </w:rPr>
              <w:t>Klausimo esmė:</w:t>
            </w:r>
            <w:r w:rsidR="00EE1216" w:rsidRPr="00A600FE">
              <w:rPr>
                <w:rFonts w:hAnsi="Times New Roman" w:cs="Times New Roman"/>
                <w:lang w:val="lt-LT"/>
              </w:rPr>
              <w:t xml:space="preserve"> </w:t>
            </w:r>
            <w:r w:rsidR="00A600FE" w:rsidRPr="00A600FE">
              <w:rPr>
                <w:rFonts w:hAnsi="Times New Roman" w:cs="Times New Roman"/>
                <w:lang w:val="lt-LT"/>
              </w:rPr>
              <w:t xml:space="preserve">ECOFIN posėdyje Europos Komisijos (toliau – </w:t>
            </w:r>
            <w:r w:rsidR="00862572" w:rsidRPr="00A600FE">
              <w:rPr>
                <w:rFonts w:eastAsia="Times New Roman Bold" w:hAnsi="Times New Roman" w:cs="Times New Roman"/>
                <w:lang w:val="lt-LT"/>
              </w:rPr>
              <w:t>EK</w:t>
            </w:r>
            <w:r w:rsidR="00A600FE" w:rsidRPr="00A600FE">
              <w:rPr>
                <w:rFonts w:eastAsia="Times New Roman Bold" w:hAnsi="Times New Roman" w:cs="Times New Roman"/>
                <w:lang w:val="lt-LT"/>
              </w:rPr>
              <w:t>)</w:t>
            </w:r>
            <w:r w:rsidR="00862572" w:rsidRPr="00A600FE">
              <w:rPr>
                <w:rFonts w:eastAsia="Times New Roman Bold" w:hAnsi="Times New Roman" w:cs="Times New Roman"/>
                <w:lang w:val="lt-LT"/>
              </w:rPr>
              <w:t xml:space="preserve"> pristatys vasario 11 d. </w:t>
            </w:r>
            <w:r w:rsidR="00103D35" w:rsidRPr="00A600FE">
              <w:rPr>
                <w:rFonts w:eastAsia="Times New Roman Bold" w:hAnsi="Times New Roman" w:cs="Times New Roman"/>
                <w:lang w:val="lt-LT"/>
              </w:rPr>
              <w:t xml:space="preserve">planuojamas paskelbti </w:t>
            </w:r>
            <w:r w:rsidR="00862572" w:rsidRPr="00A600FE">
              <w:rPr>
                <w:rFonts w:eastAsia="Times New Roman Bold" w:hAnsi="Times New Roman" w:cs="Times New Roman"/>
                <w:lang w:val="lt-LT"/>
              </w:rPr>
              <w:t>ekonomines prognozes</w:t>
            </w:r>
            <w:r w:rsidR="004900E0">
              <w:rPr>
                <w:rFonts w:eastAsia="Times New Roman Bold" w:hAnsi="Times New Roman" w:cs="Times New Roman"/>
                <w:lang w:val="lt-LT"/>
              </w:rPr>
              <w:t xml:space="preserve">, </w:t>
            </w:r>
            <w:r w:rsidR="004900E0" w:rsidRPr="00E50056">
              <w:rPr>
                <w:rFonts w:eastAsia="Times New Roman Bold" w:hAnsi="Times New Roman" w:cs="Times New Roman"/>
                <w:lang w:val="lt-LT"/>
              </w:rPr>
              <w:t xml:space="preserve">o pirmininkaujanti šalis </w:t>
            </w:r>
            <w:r w:rsidR="006D395F" w:rsidRPr="00E50056">
              <w:rPr>
                <w:rFonts w:eastAsia="Times New Roman Bold" w:hAnsi="Times New Roman" w:cs="Times New Roman"/>
                <w:lang w:val="lt-LT"/>
              </w:rPr>
              <w:t>inicijuos</w:t>
            </w:r>
            <w:r w:rsidR="004900E0" w:rsidRPr="00E50056">
              <w:rPr>
                <w:rFonts w:eastAsia="Times New Roman Bold" w:hAnsi="Times New Roman" w:cs="Times New Roman"/>
                <w:lang w:val="lt-LT"/>
              </w:rPr>
              <w:t xml:space="preserve"> apsikeitimą nuomonėmis dėl ekonominės situacijos remiantis jos parengtu ir išplatintu dokumentu, kuriame trumpai aprašoma ES ekonominė situacija. Dokumente akcentuojama, kad fiskalinių ir pinigų politikos priemonių koordinavimas yra viena</w:t>
            </w:r>
            <w:r w:rsidR="007F27FA" w:rsidRPr="00E50056">
              <w:rPr>
                <w:rFonts w:eastAsia="Times New Roman Bold" w:hAnsi="Times New Roman" w:cs="Times New Roman"/>
                <w:lang w:val="lt-LT"/>
              </w:rPr>
              <w:t>s</w:t>
            </w:r>
            <w:r w:rsidR="004900E0" w:rsidRPr="00E50056">
              <w:rPr>
                <w:rFonts w:eastAsia="Times New Roman Bold" w:hAnsi="Times New Roman" w:cs="Times New Roman"/>
                <w:lang w:val="lt-LT"/>
              </w:rPr>
              <w:t xml:space="preserve"> esminių </w:t>
            </w:r>
            <w:r w:rsidR="007F27FA" w:rsidRPr="00E50056">
              <w:rPr>
                <w:rFonts w:eastAsia="Times New Roman Bold" w:hAnsi="Times New Roman" w:cs="Times New Roman"/>
                <w:lang w:val="lt-LT"/>
              </w:rPr>
              <w:t xml:space="preserve">elementų </w:t>
            </w:r>
            <w:r w:rsidR="004900E0" w:rsidRPr="00E50056">
              <w:rPr>
                <w:rFonts w:eastAsia="Times New Roman Bold" w:hAnsi="Times New Roman" w:cs="Times New Roman"/>
                <w:lang w:val="lt-LT"/>
              </w:rPr>
              <w:t>kovojant su pandemijos pase</w:t>
            </w:r>
            <w:r w:rsidR="004900E0" w:rsidRPr="00E50056">
              <w:rPr>
                <w:rFonts w:eastAsia="Times New Roman Bold" w:hAnsi="Times New Roman" w:cs="Times New Roman"/>
                <w:lang w:val="lt-LT"/>
              </w:rPr>
              <w:t>k</w:t>
            </w:r>
            <w:r w:rsidR="004900E0" w:rsidRPr="00E50056">
              <w:rPr>
                <w:rFonts w:eastAsia="Times New Roman Bold" w:hAnsi="Times New Roman" w:cs="Times New Roman"/>
                <w:lang w:val="lt-LT"/>
              </w:rPr>
              <w:t>mėmis. Taip pat</w:t>
            </w:r>
            <w:r w:rsidR="007F27FA" w:rsidRPr="00E50056">
              <w:rPr>
                <w:rFonts w:eastAsia="Times New Roman Bold" w:hAnsi="Times New Roman" w:cs="Times New Roman"/>
                <w:lang w:val="lt-LT"/>
              </w:rPr>
              <w:t>,</w:t>
            </w:r>
            <w:r w:rsidR="004900E0" w:rsidRPr="00E50056">
              <w:rPr>
                <w:rFonts w:eastAsia="Times New Roman Bold" w:hAnsi="Times New Roman" w:cs="Times New Roman"/>
                <w:lang w:val="lt-LT"/>
              </w:rPr>
              <w:t xml:space="preserve"> </w:t>
            </w:r>
            <w:r w:rsidR="007F27FA" w:rsidRPr="00E50056">
              <w:rPr>
                <w:rFonts w:eastAsia="Times New Roman Bold" w:hAnsi="Times New Roman" w:cs="Times New Roman"/>
                <w:lang w:val="lt-LT"/>
              </w:rPr>
              <w:t>pažymima</w:t>
            </w:r>
            <w:r w:rsidR="004900E0" w:rsidRPr="00E50056">
              <w:rPr>
                <w:rFonts w:eastAsia="Times New Roman Bold" w:hAnsi="Times New Roman" w:cs="Times New Roman"/>
                <w:lang w:val="lt-LT"/>
              </w:rPr>
              <w:t xml:space="preserve">, kad palaipsniui pradedamos naudoti naujos daugiametės finansinės perspektyvos </w:t>
            </w:r>
            <w:r w:rsidR="007F27FA" w:rsidRPr="00E50056">
              <w:rPr>
                <w:rFonts w:eastAsia="Times New Roman Bold" w:hAnsi="Times New Roman" w:cs="Times New Roman"/>
                <w:lang w:val="lt-LT"/>
              </w:rPr>
              <w:t>bei „Kitos kartos ES“ priemonės (įskaitant struktūrines reformas ir investicijas susietas su RRF) bus labai svarbios. Be to, keliami klausimai dėl asimetrinio pandemijos pove</w:t>
            </w:r>
            <w:r w:rsidR="007F27FA" w:rsidRPr="00E50056">
              <w:rPr>
                <w:rFonts w:eastAsia="Times New Roman Bold" w:hAnsi="Times New Roman" w:cs="Times New Roman"/>
                <w:lang w:val="lt-LT"/>
              </w:rPr>
              <w:t>i</w:t>
            </w:r>
            <w:r w:rsidR="007F27FA" w:rsidRPr="00E50056">
              <w:rPr>
                <w:rFonts w:eastAsia="Times New Roman Bold" w:hAnsi="Times New Roman" w:cs="Times New Roman"/>
                <w:lang w:val="lt-LT"/>
              </w:rPr>
              <w:t>kio, paramos priemonių</w:t>
            </w:r>
            <w:r w:rsidR="00E0474B" w:rsidRPr="00E50056">
              <w:rPr>
                <w:rFonts w:eastAsia="Times New Roman Bold" w:hAnsi="Times New Roman" w:cs="Times New Roman"/>
                <w:lang w:val="lt-LT"/>
              </w:rPr>
              <w:t xml:space="preserve"> efektyvumo</w:t>
            </w:r>
            <w:r w:rsidR="007F27FA" w:rsidRPr="00E50056">
              <w:rPr>
                <w:rFonts w:eastAsia="Times New Roman Bold" w:hAnsi="Times New Roman" w:cs="Times New Roman"/>
                <w:lang w:val="lt-LT"/>
              </w:rPr>
              <w:t xml:space="preserve"> bei laipsniško</w:t>
            </w:r>
            <w:r w:rsidR="00E0474B" w:rsidRPr="00E50056">
              <w:rPr>
                <w:rFonts w:eastAsia="Times New Roman Bold" w:hAnsi="Times New Roman" w:cs="Times New Roman"/>
                <w:lang w:val="lt-LT"/>
              </w:rPr>
              <w:t xml:space="preserve"> jų</w:t>
            </w:r>
            <w:r w:rsidR="007F27FA" w:rsidRPr="00E50056">
              <w:rPr>
                <w:rFonts w:eastAsia="Times New Roman Bold" w:hAnsi="Times New Roman" w:cs="Times New Roman"/>
                <w:lang w:val="lt-LT"/>
              </w:rPr>
              <w:t xml:space="preserve"> nutraukimo strategijos.</w:t>
            </w:r>
          </w:p>
          <w:p w:rsidR="00103D35" w:rsidRPr="00A600FE" w:rsidRDefault="00103D35">
            <w:pPr>
              <w:pStyle w:val="BodyA"/>
              <w:jc w:val="both"/>
              <w:rPr>
                <w:rFonts w:eastAsia="Times New Roman Bold" w:hAnsi="Times New Roman" w:cs="Times New Roman"/>
                <w:b/>
                <w:lang w:val="lt-LT"/>
              </w:rPr>
            </w:pPr>
            <w:r w:rsidRPr="00A600FE">
              <w:rPr>
                <w:rFonts w:eastAsia="Times New Roman Bold" w:hAnsi="Times New Roman" w:cs="Times New Roman"/>
                <w:b/>
                <w:lang w:val="lt-LT"/>
              </w:rPr>
              <w:t xml:space="preserve">Remiantis preliminariu Eurostato vertinimu ES ekonomika 2020 m. krito 6,4 proc., o euro zonoje (EZ) krito 6,8 proc. </w:t>
            </w:r>
            <w:r w:rsidRPr="00A600FE">
              <w:rPr>
                <w:rFonts w:eastAsia="Times New Roman Bold" w:hAnsi="Times New Roman" w:cs="Times New Roman"/>
                <w:lang w:val="lt-LT"/>
              </w:rPr>
              <w:t xml:space="preserve">Pasak </w:t>
            </w:r>
            <w:r w:rsidR="00A600FE" w:rsidRPr="00A600FE">
              <w:rPr>
                <w:rFonts w:eastAsia="Times New Roman Bold" w:hAnsi="Times New Roman" w:cs="Times New Roman"/>
                <w:lang w:val="lt-LT"/>
              </w:rPr>
              <w:t>EK</w:t>
            </w:r>
            <w:r w:rsidRPr="00A600FE">
              <w:rPr>
                <w:rFonts w:eastAsia="Times New Roman Bold" w:hAnsi="Times New Roman" w:cs="Times New Roman"/>
                <w:lang w:val="lt-LT"/>
              </w:rPr>
              <w:t xml:space="preserve"> 2020 m. lapkričio 5 d. paskelbtų prognozių, COVID-19 sukėlė nelygią, gilią recesiją ir stiprų atsigavimą 2020 m. III ketvirtį. Pandemijos antra banga kuriam laikui sustabdė atsigavimą. Nacionalinės priemonės švelnina pandemijos poveikį. Pro</w:t>
            </w:r>
            <w:r w:rsidRPr="00A600FE">
              <w:rPr>
                <w:rFonts w:eastAsia="Times New Roman Bold" w:hAnsi="Times New Roman" w:cs="Times New Roman"/>
                <w:lang w:val="lt-LT"/>
              </w:rPr>
              <w:t>g</w:t>
            </w:r>
            <w:r w:rsidRPr="00A600FE">
              <w:rPr>
                <w:rFonts w:eastAsia="Times New Roman Bold" w:hAnsi="Times New Roman" w:cs="Times New Roman"/>
                <w:lang w:val="lt-LT"/>
              </w:rPr>
              <w:t xml:space="preserve">nozių neužtikrintumas yra labai didelis, tačiau po prognozių paskelbimo atsirado ir optimizmo teikiančių žinių, tai – įvykęs </w:t>
            </w:r>
            <w:proofErr w:type="spellStart"/>
            <w:r w:rsidRPr="00A600FE">
              <w:rPr>
                <w:rFonts w:eastAsia="Times New Roman Bold" w:hAnsi="Times New Roman" w:cs="Times New Roman"/>
                <w:lang w:val="lt-LT"/>
              </w:rPr>
              <w:t>Brexit</w:t>
            </w:r>
            <w:proofErr w:type="spellEnd"/>
            <w:r w:rsidRPr="00A600FE">
              <w:rPr>
                <w:rFonts w:eastAsia="Times New Roman Bold" w:hAnsi="Times New Roman" w:cs="Times New Roman"/>
                <w:lang w:val="lt-LT"/>
              </w:rPr>
              <w:t xml:space="preserve"> susitarimas ir pradėtas vakcinų platinimas.</w:t>
            </w:r>
          </w:p>
          <w:p w:rsidR="004B217F" w:rsidRPr="00A600FE" w:rsidRDefault="00103D35">
            <w:pPr>
              <w:pStyle w:val="BodyA"/>
              <w:jc w:val="both"/>
              <w:rPr>
                <w:rFonts w:eastAsia="Times New Roman Bold" w:hAnsi="Times New Roman" w:cs="Times New Roman"/>
                <w:b/>
                <w:lang w:val="lt-LT"/>
              </w:rPr>
            </w:pPr>
            <w:r w:rsidRPr="00A600FE">
              <w:rPr>
                <w:rFonts w:eastAsia="Times New Roman Bold" w:hAnsi="Times New Roman" w:cs="Times New Roman"/>
                <w:b/>
                <w:lang w:val="lt-LT"/>
              </w:rPr>
              <w:t xml:space="preserve">Ekonominė padėtis Lietuvoje. Remiantis statistikos departamento pirmojo </w:t>
            </w:r>
            <w:proofErr w:type="spellStart"/>
            <w:r w:rsidRPr="00A600FE">
              <w:rPr>
                <w:rFonts w:eastAsia="Times New Roman Bold" w:hAnsi="Times New Roman" w:cs="Times New Roman"/>
                <w:b/>
                <w:lang w:val="lt-LT"/>
              </w:rPr>
              <w:t>įverčio</w:t>
            </w:r>
            <w:proofErr w:type="spellEnd"/>
            <w:r w:rsidRPr="00A600FE">
              <w:rPr>
                <w:rFonts w:eastAsia="Times New Roman Bold" w:hAnsi="Times New Roman" w:cs="Times New Roman"/>
                <w:b/>
                <w:lang w:val="lt-LT"/>
              </w:rPr>
              <w:t xml:space="preserve"> (vėliau bus tikslinamas) duomenimis</w:t>
            </w:r>
            <w:r w:rsidR="009A66CC">
              <w:rPr>
                <w:rFonts w:eastAsia="Times New Roman Bold" w:hAnsi="Times New Roman" w:cs="Times New Roman"/>
                <w:b/>
                <w:lang w:val="lt-LT"/>
              </w:rPr>
              <w:t>,</w:t>
            </w:r>
            <w:r w:rsidRPr="00A600FE">
              <w:rPr>
                <w:rFonts w:eastAsia="Times New Roman Bold" w:hAnsi="Times New Roman" w:cs="Times New Roman"/>
                <w:b/>
                <w:lang w:val="lt-LT"/>
              </w:rPr>
              <w:t xml:space="preserve"> 2020 m. Lietuvos BVP krito 1,3 proc. </w:t>
            </w:r>
            <w:r w:rsidRPr="00A600FE">
              <w:rPr>
                <w:rFonts w:eastAsia="Times New Roman Bold" w:hAnsi="Times New Roman" w:cs="Times New Roman"/>
                <w:lang w:val="lt-LT"/>
              </w:rPr>
              <w:t>Pasak Finansų minist</w:t>
            </w:r>
            <w:r w:rsidRPr="00A600FE">
              <w:rPr>
                <w:rFonts w:eastAsia="Times New Roman Bold" w:hAnsi="Times New Roman" w:cs="Times New Roman"/>
                <w:lang w:val="lt-LT"/>
              </w:rPr>
              <w:t>e</w:t>
            </w:r>
            <w:r w:rsidRPr="00A600FE">
              <w:rPr>
                <w:rFonts w:eastAsia="Times New Roman Bold" w:hAnsi="Times New Roman" w:cs="Times New Roman"/>
                <w:lang w:val="lt-LT"/>
              </w:rPr>
              <w:t>rijos parengto 2020 m. gruodžio 14 d. Ekonominės raidos scenarijaus, per visus 2021 metus Li</w:t>
            </w:r>
            <w:r w:rsidRPr="00A600FE">
              <w:rPr>
                <w:rFonts w:eastAsia="Times New Roman Bold" w:hAnsi="Times New Roman" w:cs="Times New Roman"/>
                <w:lang w:val="lt-LT"/>
              </w:rPr>
              <w:t>e</w:t>
            </w:r>
            <w:r w:rsidRPr="00A600FE">
              <w:rPr>
                <w:rFonts w:eastAsia="Times New Roman Bold" w:hAnsi="Times New Roman" w:cs="Times New Roman"/>
                <w:lang w:val="lt-LT"/>
              </w:rPr>
              <w:t>tuvos ekonomika galėtų augti 2,8 procento, o vėlesniais vidutinio laikotarpio metais – vidutini</w:t>
            </w:r>
            <w:r w:rsidRPr="00A600FE">
              <w:rPr>
                <w:rFonts w:eastAsia="Times New Roman Bold" w:hAnsi="Times New Roman" w:cs="Times New Roman"/>
                <w:lang w:val="lt-LT"/>
              </w:rPr>
              <w:t>š</w:t>
            </w:r>
            <w:r w:rsidRPr="00A600FE">
              <w:rPr>
                <w:rFonts w:eastAsia="Times New Roman Bold" w:hAnsi="Times New Roman" w:cs="Times New Roman"/>
                <w:lang w:val="lt-LT"/>
              </w:rPr>
              <w:t xml:space="preserve">kai po 3,1 proc. per metus. COVID-19 pandemija reikšmingai pablogino darbo rinkos situaciją šalyje. Pandemijos sukeltas poveikis darbo rinkai prislopins darbo užmokesčio augimo tempą. </w:t>
            </w:r>
            <w:r w:rsidRPr="00A600FE">
              <w:rPr>
                <w:rFonts w:eastAsia="Times New Roman Bold" w:hAnsi="Times New Roman" w:cs="Times New Roman"/>
                <w:b/>
                <w:lang w:val="lt-LT"/>
              </w:rPr>
              <w:t xml:space="preserve">Po ekonominės raudos scenarijaus parengimo prasidėjęs populiacijos vakcinavimas bei pasiektas susitarimas dėl </w:t>
            </w:r>
            <w:proofErr w:type="spellStart"/>
            <w:r w:rsidRPr="00A600FE">
              <w:rPr>
                <w:rFonts w:eastAsia="Times New Roman Bold" w:hAnsi="Times New Roman" w:cs="Times New Roman"/>
                <w:b/>
                <w:lang w:val="lt-LT"/>
              </w:rPr>
              <w:t>Brexit</w:t>
            </w:r>
            <w:proofErr w:type="spellEnd"/>
            <w:r w:rsidRPr="00A600FE">
              <w:rPr>
                <w:rFonts w:eastAsia="Times New Roman Bold" w:hAnsi="Times New Roman" w:cs="Times New Roman"/>
                <w:b/>
                <w:lang w:val="lt-LT"/>
              </w:rPr>
              <w:t xml:space="preserve"> turėtų turėti teigiamą poveikį Lietuvos ekonomikai, o bes</w:t>
            </w:r>
            <w:r w:rsidRPr="00A600FE">
              <w:rPr>
                <w:rFonts w:eastAsia="Times New Roman Bold" w:hAnsi="Times New Roman" w:cs="Times New Roman"/>
                <w:b/>
                <w:lang w:val="lt-LT"/>
              </w:rPr>
              <w:t>i</w:t>
            </w:r>
            <w:r w:rsidRPr="00A600FE">
              <w:rPr>
                <w:rFonts w:eastAsia="Times New Roman Bold" w:hAnsi="Times New Roman" w:cs="Times New Roman"/>
                <w:b/>
                <w:lang w:val="lt-LT"/>
              </w:rPr>
              <w:t>tęsiantis karantinas neigiamą.</w:t>
            </w:r>
          </w:p>
          <w:p w:rsidR="00406FB1" w:rsidRPr="00A600FE" w:rsidRDefault="00406FB1">
            <w:pPr>
              <w:pStyle w:val="BodyA"/>
              <w:jc w:val="both"/>
              <w:rPr>
                <w:rFonts w:eastAsia="Times New Roman Bold" w:hAnsi="Times New Roman" w:cs="Times New Roman"/>
                <w:u w:val="single"/>
                <w:lang w:val="lt-LT"/>
              </w:rPr>
            </w:pPr>
          </w:p>
          <w:p w:rsidR="004B217F" w:rsidRPr="00A600FE" w:rsidRDefault="00EE1216" w:rsidP="006E6FE9">
            <w:pPr>
              <w:pStyle w:val="BodyA"/>
              <w:jc w:val="both"/>
              <w:rPr>
                <w:rFonts w:hAnsi="Times New Roman" w:cs="Times New Roman"/>
                <w:lang w:val="lt-LT"/>
              </w:rPr>
            </w:pPr>
            <w:r w:rsidRPr="00A600FE">
              <w:rPr>
                <w:rFonts w:hAnsi="Times New Roman" w:cs="Times New Roman"/>
                <w:b/>
                <w:u w:val="single"/>
                <w:lang w:val="lt-LT"/>
              </w:rPr>
              <w:t>Lietuvos pozicija.</w:t>
            </w:r>
            <w:r w:rsidRPr="00A600FE">
              <w:rPr>
                <w:rFonts w:hAnsi="Times New Roman" w:cs="Times New Roman"/>
                <w:lang w:val="lt-LT"/>
              </w:rPr>
              <w:t xml:space="preserve"> </w:t>
            </w:r>
            <w:r w:rsidR="00A600FE" w:rsidRPr="00A600FE">
              <w:rPr>
                <w:rFonts w:hAnsi="Times New Roman" w:cs="Times New Roman"/>
                <w:lang w:val="lt-LT"/>
              </w:rPr>
              <w:t xml:space="preserve">Išklausyti informaciją ir pagal poreikį </w:t>
            </w:r>
            <w:r w:rsidR="00103D35" w:rsidRPr="00A600FE">
              <w:rPr>
                <w:rFonts w:hAnsi="Times New Roman" w:cs="Times New Roman"/>
                <w:lang w:val="lt-LT"/>
              </w:rPr>
              <w:t>pristatyti Lietuvos situaciją ir priem</w:t>
            </w:r>
            <w:r w:rsidR="00103D35" w:rsidRPr="00A600FE">
              <w:rPr>
                <w:rFonts w:hAnsi="Times New Roman" w:cs="Times New Roman"/>
                <w:lang w:val="lt-LT"/>
              </w:rPr>
              <w:t>o</w:t>
            </w:r>
            <w:r w:rsidR="00103D35" w:rsidRPr="00A600FE">
              <w:rPr>
                <w:rFonts w:hAnsi="Times New Roman" w:cs="Times New Roman"/>
                <w:lang w:val="lt-LT"/>
              </w:rPr>
              <w:t>nes</w:t>
            </w:r>
            <w:r w:rsidR="00A600FE" w:rsidRPr="00A600FE">
              <w:rPr>
                <w:rFonts w:hAnsi="Times New Roman" w:cs="Times New Roman"/>
                <w:lang w:val="lt-LT"/>
              </w:rPr>
              <w:t>,</w:t>
            </w:r>
            <w:r w:rsidR="00103D35" w:rsidRPr="00A600FE">
              <w:rPr>
                <w:rFonts w:hAnsi="Times New Roman" w:cs="Times New Roman"/>
                <w:lang w:val="lt-LT"/>
              </w:rPr>
              <w:t xml:space="preserve"> skirtas sušvelninti pandemijos poveikį ekonomikai.</w:t>
            </w:r>
          </w:p>
          <w:p w:rsidR="0032625D" w:rsidRPr="00A600FE" w:rsidRDefault="0032625D" w:rsidP="0032625D">
            <w:pPr>
              <w:pStyle w:val="BodyA"/>
              <w:jc w:val="both"/>
              <w:rPr>
                <w:rFonts w:hAnsi="Times New Roman" w:cs="Times New Roman"/>
                <w:lang w:val="lt-LT"/>
              </w:rPr>
            </w:pPr>
          </w:p>
          <w:p w:rsidR="006E6FE9" w:rsidRPr="00A600FE" w:rsidRDefault="006E6FE9" w:rsidP="0032625D">
            <w:pPr>
              <w:pStyle w:val="BodyA"/>
              <w:jc w:val="both"/>
              <w:rPr>
                <w:rFonts w:hAnsi="Times New Roman" w:cs="Times New Roman"/>
                <w:lang w:val="lt-LT"/>
              </w:rPr>
            </w:pPr>
            <w:r w:rsidRPr="00A600FE">
              <w:rPr>
                <w:rFonts w:hAnsi="Times New Roman" w:cs="Times New Roman"/>
                <w:b/>
                <w:lang w:val="lt-LT"/>
              </w:rPr>
              <w:t>b) Ekonomikos gaivinimo ir atsparumo didinimo priemonės</w:t>
            </w:r>
            <w:r w:rsidR="00FD34ED" w:rsidRPr="00A600FE">
              <w:rPr>
                <w:rFonts w:hAnsi="Times New Roman" w:cs="Times New Roman"/>
                <w:b/>
                <w:lang w:val="lt-LT"/>
              </w:rPr>
              <w:t xml:space="preserve"> (RRF)</w:t>
            </w:r>
            <w:r w:rsidRPr="00A600FE">
              <w:rPr>
                <w:rFonts w:hAnsi="Times New Roman" w:cs="Times New Roman"/>
                <w:b/>
                <w:lang w:val="lt-LT"/>
              </w:rPr>
              <w:t xml:space="preserve"> įgyvendinimas</w:t>
            </w:r>
            <w:r w:rsidRPr="00A600FE">
              <w:rPr>
                <w:rFonts w:hAnsi="Times New Roman" w:cs="Times New Roman"/>
                <w:lang w:val="lt-LT"/>
              </w:rPr>
              <w:t xml:space="preserve"> (</w:t>
            </w:r>
            <w:r w:rsidRPr="00A600FE">
              <w:rPr>
                <w:rFonts w:hAnsi="Times New Roman" w:cs="Times New Roman"/>
                <w:i/>
                <w:lang w:val="lt-LT"/>
              </w:rPr>
              <w:t>esama situacija it apsikeitimas nuomonėmis</w:t>
            </w:r>
            <w:r w:rsidRPr="00A600FE">
              <w:rPr>
                <w:rFonts w:hAnsi="Times New Roman" w:cs="Times New Roman"/>
                <w:lang w:val="lt-LT"/>
              </w:rPr>
              <w:t>)</w:t>
            </w:r>
          </w:p>
          <w:p w:rsidR="006E6FE9" w:rsidRPr="00A600FE" w:rsidRDefault="00FD34ED" w:rsidP="006E6FE9">
            <w:pPr>
              <w:pStyle w:val="BodyA"/>
              <w:jc w:val="both"/>
              <w:rPr>
                <w:rFonts w:hAnsi="Times New Roman" w:cs="Times New Roman"/>
                <w:lang w:val="lt-LT"/>
              </w:rPr>
            </w:pPr>
            <w:r w:rsidRPr="00A600FE">
              <w:rPr>
                <w:rFonts w:hAnsi="Times New Roman" w:cs="Times New Roman"/>
                <w:b/>
                <w:u w:val="single"/>
                <w:lang w:val="lt-LT"/>
              </w:rPr>
              <w:t>Klausimo esmė:</w:t>
            </w:r>
            <w:r w:rsidRPr="00A600FE">
              <w:rPr>
                <w:rFonts w:hAnsi="Times New Roman" w:cs="Times New Roman"/>
                <w:b/>
                <w:lang w:val="lt-LT"/>
              </w:rPr>
              <w:t xml:space="preserve"> </w:t>
            </w:r>
            <w:r w:rsidRPr="00A600FE">
              <w:rPr>
                <w:rFonts w:hAnsi="Times New Roman" w:cs="Times New Roman"/>
                <w:lang w:val="lt-LT"/>
              </w:rPr>
              <w:t>pirmininkaujanti šalis i</w:t>
            </w:r>
            <w:r w:rsidR="00A600FE" w:rsidRPr="00A600FE">
              <w:rPr>
                <w:rFonts w:hAnsi="Times New Roman" w:cs="Times New Roman"/>
                <w:lang w:val="lt-LT"/>
              </w:rPr>
              <w:t>nformuos apie esamą situaciją dėl</w:t>
            </w:r>
            <w:r w:rsidRPr="00A600FE">
              <w:rPr>
                <w:rFonts w:hAnsi="Times New Roman" w:cs="Times New Roman"/>
                <w:lang w:val="lt-LT"/>
              </w:rPr>
              <w:t xml:space="preserve"> RRF</w:t>
            </w:r>
            <w:r w:rsidR="00A600FE" w:rsidRPr="00A600FE">
              <w:rPr>
                <w:rFonts w:hAnsi="Times New Roman" w:cs="Times New Roman"/>
                <w:lang w:val="lt-LT"/>
              </w:rPr>
              <w:t xml:space="preserve"> įgyvendinimo</w:t>
            </w:r>
            <w:r w:rsidRPr="00A600FE">
              <w:rPr>
                <w:rFonts w:hAnsi="Times New Roman" w:cs="Times New Roman"/>
                <w:lang w:val="lt-LT"/>
              </w:rPr>
              <w:t>, taip pat įvyks apsikeitimas nuomonėmis dėl nacionalinių RRF planų prioritetų.</w:t>
            </w:r>
            <w:r w:rsidR="00A600FE" w:rsidRPr="009A0A41">
              <w:rPr>
                <w:lang w:val="lt-LT"/>
              </w:rPr>
              <w:t xml:space="preserve"> </w:t>
            </w:r>
            <w:r w:rsidR="00A600FE" w:rsidRPr="00A600FE">
              <w:rPr>
                <w:rFonts w:hAnsi="Times New Roman" w:cs="Times New Roman"/>
                <w:lang w:val="lt-LT"/>
              </w:rPr>
              <w:t>2020 m. gru</w:t>
            </w:r>
            <w:r w:rsidR="00A600FE" w:rsidRPr="00A600FE">
              <w:rPr>
                <w:rFonts w:hAnsi="Times New Roman" w:cs="Times New Roman"/>
                <w:lang w:val="lt-LT"/>
              </w:rPr>
              <w:t>o</w:t>
            </w:r>
            <w:r w:rsidR="00A600FE" w:rsidRPr="00A600FE">
              <w:rPr>
                <w:rFonts w:hAnsi="Times New Roman" w:cs="Times New Roman"/>
                <w:lang w:val="lt-LT"/>
              </w:rPr>
              <w:t xml:space="preserve">džio 18 d. Europos Parlamentas (EP) ir Taryba baigė </w:t>
            </w:r>
            <w:proofErr w:type="spellStart"/>
            <w:r w:rsidR="00A600FE" w:rsidRPr="00A600FE">
              <w:rPr>
                <w:rFonts w:hAnsi="Times New Roman" w:cs="Times New Roman"/>
                <w:lang w:val="lt-LT"/>
              </w:rPr>
              <w:t>trilogus</w:t>
            </w:r>
            <w:proofErr w:type="spellEnd"/>
            <w:r w:rsidR="00A600FE" w:rsidRPr="00A600FE">
              <w:rPr>
                <w:rFonts w:hAnsi="Times New Roman" w:cs="Times New Roman"/>
                <w:lang w:val="lt-LT"/>
              </w:rPr>
              <w:t xml:space="preserve"> dėl Ekonomikos gaivinimo ir a</w:t>
            </w:r>
            <w:r w:rsidR="00A600FE" w:rsidRPr="00A600FE">
              <w:rPr>
                <w:rFonts w:hAnsi="Times New Roman" w:cs="Times New Roman"/>
                <w:lang w:val="lt-LT"/>
              </w:rPr>
              <w:t>t</w:t>
            </w:r>
            <w:r w:rsidR="00A600FE" w:rsidRPr="00A600FE">
              <w:rPr>
                <w:rFonts w:hAnsi="Times New Roman" w:cs="Times New Roman"/>
                <w:lang w:val="lt-LT"/>
              </w:rPr>
              <w:t xml:space="preserve">sparumo didinimo priemonės (RRF) reglamento, gruodžio 22 d. gautas pritarimas Nuolatiniame atstovų komitete (COREPER II), o šiuo metu yra laukiama EP balsavimo bei po jo sekančio RRF reglamento paskelbimo </w:t>
            </w:r>
            <w:proofErr w:type="spellStart"/>
            <w:r w:rsidR="00A600FE" w:rsidRPr="00A600FE">
              <w:rPr>
                <w:rFonts w:hAnsi="Times New Roman" w:cs="Times New Roman"/>
                <w:lang w:val="lt-LT"/>
              </w:rPr>
              <w:t>Official</w:t>
            </w:r>
            <w:proofErr w:type="spellEnd"/>
            <w:r w:rsidR="00A600FE" w:rsidRPr="00A600FE">
              <w:rPr>
                <w:rFonts w:hAnsi="Times New Roman" w:cs="Times New Roman"/>
                <w:lang w:val="lt-LT"/>
              </w:rPr>
              <w:t xml:space="preserve"> </w:t>
            </w:r>
            <w:proofErr w:type="spellStart"/>
            <w:r w:rsidR="00A600FE" w:rsidRPr="00A600FE">
              <w:rPr>
                <w:rFonts w:hAnsi="Times New Roman" w:cs="Times New Roman"/>
                <w:lang w:val="lt-LT"/>
              </w:rPr>
              <w:t>Journal</w:t>
            </w:r>
            <w:proofErr w:type="spellEnd"/>
            <w:r w:rsidR="00A600FE" w:rsidRPr="00A600FE">
              <w:rPr>
                <w:rFonts w:hAnsi="Times New Roman" w:cs="Times New Roman"/>
                <w:lang w:val="lt-LT"/>
              </w:rPr>
              <w:t>.</w:t>
            </w:r>
            <w:r w:rsidR="009A66CC">
              <w:rPr>
                <w:rFonts w:hAnsi="Times New Roman" w:cs="Times New Roman"/>
                <w:lang w:val="lt-LT"/>
              </w:rPr>
              <w:t xml:space="preserve"> Planuojama, kad reglamentas įsigalios vasario mėn.</w:t>
            </w:r>
          </w:p>
          <w:p w:rsidR="00A600FE" w:rsidRPr="00A600FE" w:rsidRDefault="00A600FE" w:rsidP="006E6FE9">
            <w:pPr>
              <w:pStyle w:val="BodyA"/>
              <w:jc w:val="both"/>
              <w:rPr>
                <w:rFonts w:hAnsi="Times New Roman" w:cs="Times New Roman"/>
                <w:lang w:val="lt-LT"/>
              </w:rPr>
            </w:pPr>
          </w:p>
          <w:p w:rsidR="006E6FE9" w:rsidRDefault="006E6FE9" w:rsidP="005107B8">
            <w:pPr>
              <w:pStyle w:val="BodyA"/>
              <w:jc w:val="both"/>
              <w:rPr>
                <w:rFonts w:hAnsi="Times New Roman" w:cs="Times New Roman"/>
                <w:lang w:val="lt-LT"/>
              </w:rPr>
            </w:pPr>
            <w:r w:rsidRPr="00A600FE">
              <w:rPr>
                <w:rFonts w:hAnsi="Times New Roman" w:cs="Times New Roman"/>
                <w:b/>
                <w:u w:val="single"/>
                <w:lang w:val="lt-LT"/>
              </w:rPr>
              <w:t>Lietuvos pozicija.</w:t>
            </w:r>
            <w:r w:rsidRPr="00A600FE">
              <w:rPr>
                <w:rFonts w:hAnsi="Times New Roman" w:cs="Times New Roman"/>
                <w:lang w:val="lt-LT"/>
              </w:rPr>
              <w:t xml:space="preserve"> </w:t>
            </w:r>
            <w:r w:rsidR="00A600FE" w:rsidRPr="00A600FE">
              <w:rPr>
                <w:rFonts w:hAnsi="Times New Roman" w:cs="Times New Roman"/>
                <w:lang w:val="lt-LT"/>
              </w:rPr>
              <w:t>Lietuva yra išskyrusi 7 komponentų kategorijas, siekiant koncentruotai p</w:t>
            </w:r>
            <w:r w:rsidR="00A600FE" w:rsidRPr="00A600FE">
              <w:rPr>
                <w:rFonts w:hAnsi="Times New Roman" w:cs="Times New Roman"/>
                <w:lang w:val="lt-LT"/>
              </w:rPr>
              <w:t>a</w:t>
            </w:r>
            <w:r w:rsidR="00A600FE" w:rsidRPr="00A600FE">
              <w:rPr>
                <w:rFonts w:hAnsi="Times New Roman" w:cs="Times New Roman"/>
                <w:lang w:val="lt-LT"/>
              </w:rPr>
              <w:t xml:space="preserve">naudoti RRF </w:t>
            </w:r>
            <w:r w:rsidR="009A66CC">
              <w:rPr>
                <w:rFonts w:hAnsi="Times New Roman" w:cs="Times New Roman"/>
                <w:lang w:val="lt-LT"/>
              </w:rPr>
              <w:t xml:space="preserve">investicijas atsižvelgiant į </w:t>
            </w:r>
            <w:r w:rsidR="00A600FE" w:rsidRPr="00A600FE">
              <w:rPr>
                <w:rFonts w:hAnsi="Times New Roman" w:cs="Times New Roman"/>
                <w:lang w:val="lt-LT"/>
              </w:rPr>
              <w:t>keliamus kriterijus bei reikalavimus ir tikslingai atliepti ES Tarybos rekomendacijas Lietuvai (</w:t>
            </w:r>
            <w:proofErr w:type="spellStart"/>
            <w:r w:rsidR="00A600FE" w:rsidRPr="00A600FE">
              <w:rPr>
                <w:rFonts w:hAnsi="Times New Roman" w:cs="Times New Roman"/>
                <w:lang w:val="lt-LT"/>
              </w:rPr>
              <w:t>CSRs</w:t>
            </w:r>
            <w:proofErr w:type="spellEnd"/>
            <w:r w:rsidR="00A600FE" w:rsidRPr="00A600FE">
              <w:rPr>
                <w:rFonts w:hAnsi="Times New Roman" w:cs="Times New Roman"/>
                <w:lang w:val="lt-LT"/>
              </w:rPr>
              <w:t xml:space="preserve">): žalioji pertvarka; skaitmeninė transformacija; sveikata; socialiniai reikalai; mokslas ir inovacijos; švietimas; viešojo administravimo ir verslo aplinkos efektyvumo gerinimas. Komponentai jau yra patvirtinti LRV, </w:t>
            </w:r>
            <w:r w:rsidR="00A600FE">
              <w:rPr>
                <w:rFonts w:hAnsi="Times New Roman" w:cs="Times New Roman"/>
                <w:lang w:val="lt-LT"/>
              </w:rPr>
              <w:t>jų finansines proporcija</w:t>
            </w:r>
            <w:r w:rsidR="00A600FE" w:rsidRPr="00A600FE">
              <w:rPr>
                <w:rFonts w:hAnsi="Times New Roman" w:cs="Times New Roman"/>
                <w:lang w:val="lt-LT"/>
              </w:rPr>
              <w:t xml:space="preserve">s </w:t>
            </w:r>
            <w:r w:rsidR="00A600FE">
              <w:rPr>
                <w:rFonts w:hAnsi="Times New Roman" w:cs="Times New Roman"/>
                <w:lang w:val="lt-LT"/>
              </w:rPr>
              <w:t>planuojama patvirtinti</w:t>
            </w:r>
            <w:r w:rsidR="00A600FE" w:rsidRPr="00A600FE">
              <w:rPr>
                <w:rFonts w:hAnsi="Times New Roman" w:cs="Times New Roman"/>
                <w:lang w:val="lt-LT"/>
              </w:rPr>
              <w:t xml:space="preserve"> 2021 m. ko</w:t>
            </w:r>
            <w:r w:rsidR="005107B8">
              <w:rPr>
                <w:rFonts w:hAnsi="Times New Roman" w:cs="Times New Roman"/>
                <w:lang w:val="lt-LT"/>
              </w:rPr>
              <w:t xml:space="preserve">vo mėn. </w:t>
            </w:r>
            <w:r w:rsidR="00A600FE" w:rsidRPr="00A600FE">
              <w:rPr>
                <w:rFonts w:hAnsi="Times New Roman" w:cs="Times New Roman"/>
                <w:lang w:val="lt-LT"/>
              </w:rPr>
              <w:t xml:space="preserve">Iki 2021 m. balandžio 30 d. pilnas </w:t>
            </w:r>
            <w:r w:rsidR="005107B8">
              <w:rPr>
                <w:rFonts w:hAnsi="Times New Roman" w:cs="Times New Roman"/>
                <w:lang w:val="lt-LT"/>
              </w:rPr>
              <w:t xml:space="preserve">nacionalinis </w:t>
            </w:r>
            <w:r w:rsidR="00A600FE" w:rsidRPr="00A600FE">
              <w:rPr>
                <w:rFonts w:hAnsi="Times New Roman" w:cs="Times New Roman"/>
                <w:lang w:val="lt-LT"/>
              </w:rPr>
              <w:t>RRF planas bus oficialiai pateiktas Komisijai.</w:t>
            </w:r>
          </w:p>
          <w:p w:rsidR="00FD34ED" w:rsidRPr="00E47362" w:rsidRDefault="00FD34ED" w:rsidP="006E6FE9">
            <w:pPr>
              <w:pStyle w:val="BodyA"/>
              <w:jc w:val="both"/>
              <w:rPr>
                <w:rFonts w:hAnsi="Times New Roman" w:cs="Times New Roman"/>
                <w:lang w:val="lt-LT"/>
              </w:rPr>
            </w:pPr>
          </w:p>
          <w:p w:rsidR="006E6FE9" w:rsidRPr="00E47362" w:rsidRDefault="006E6FE9" w:rsidP="006E6FE9">
            <w:pPr>
              <w:pStyle w:val="BodyA"/>
              <w:jc w:val="both"/>
              <w:rPr>
                <w:rFonts w:hAnsi="Times New Roman" w:cs="Times New Roman"/>
                <w:lang w:val="lt-LT"/>
              </w:rPr>
            </w:pPr>
            <w:r w:rsidRPr="00E47362">
              <w:rPr>
                <w:rFonts w:hAnsi="Times New Roman" w:cs="Times New Roman"/>
                <w:b/>
                <w:lang w:val="lt-LT"/>
              </w:rPr>
              <w:lastRenderedPageBreak/>
              <w:t>c) SURE</w:t>
            </w:r>
            <w:r w:rsidRPr="00E47362">
              <w:rPr>
                <w:rFonts w:hAnsi="Times New Roman" w:cs="Times New Roman"/>
                <w:lang w:val="lt-LT"/>
              </w:rPr>
              <w:t xml:space="preserve"> (</w:t>
            </w:r>
            <w:r w:rsidRPr="00E47362">
              <w:rPr>
                <w:rFonts w:hAnsi="Times New Roman" w:cs="Times New Roman"/>
                <w:i/>
                <w:lang w:val="lt-LT"/>
              </w:rPr>
              <w:t>Komisijos informacija</w:t>
            </w:r>
            <w:r w:rsidRPr="00E47362">
              <w:rPr>
                <w:rFonts w:hAnsi="Times New Roman" w:cs="Times New Roman"/>
                <w:lang w:val="lt-LT"/>
              </w:rPr>
              <w:t>)</w:t>
            </w:r>
          </w:p>
          <w:p w:rsidR="005A71D9" w:rsidRPr="00E47362" w:rsidRDefault="00FC00D9" w:rsidP="005A71D9">
            <w:pPr>
              <w:pStyle w:val="BodyA"/>
              <w:jc w:val="both"/>
              <w:rPr>
                <w:rFonts w:hAnsi="Times New Roman" w:cs="Times New Roman"/>
                <w:lang w:val="lt-LT"/>
              </w:rPr>
            </w:pPr>
            <w:r w:rsidRPr="00E47362">
              <w:rPr>
                <w:rFonts w:hAnsi="Times New Roman" w:cs="Times New Roman"/>
                <w:b/>
                <w:u w:val="single"/>
                <w:lang w:val="lt-LT"/>
              </w:rPr>
              <w:t>Klausimo esmė:</w:t>
            </w:r>
            <w:r w:rsidRPr="00E47362">
              <w:rPr>
                <w:rFonts w:hAnsi="Times New Roman" w:cs="Times New Roman"/>
                <w:lang w:val="lt-LT"/>
              </w:rPr>
              <w:t xml:space="preserve"> 2020 m. gegužės 19 d. Tarybos reglamentu sukurta Priemonė, siekiant C</w:t>
            </w:r>
            <w:r w:rsidRPr="00E47362">
              <w:rPr>
                <w:rFonts w:hAnsi="Times New Roman" w:cs="Times New Roman"/>
                <w:lang w:val="lt-LT"/>
              </w:rPr>
              <w:t>O</w:t>
            </w:r>
            <w:r w:rsidRPr="00E47362">
              <w:rPr>
                <w:rFonts w:hAnsi="Times New Roman" w:cs="Times New Roman"/>
                <w:lang w:val="lt-LT"/>
              </w:rPr>
              <w:t>VID-19 pandemijos paveiktoms Europos Sąjungos valstybėms narėms (toliau – VN) suteikti paramą patyrus staigų viešųjų išlaidų, skirtų užimtumui išsaugoti, padidėjimą. Tai – laikina f</w:t>
            </w:r>
            <w:r w:rsidRPr="00E47362">
              <w:rPr>
                <w:rFonts w:hAnsi="Times New Roman" w:cs="Times New Roman"/>
                <w:lang w:val="lt-LT"/>
              </w:rPr>
              <w:t>i</w:t>
            </w:r>
            <w:r w:rsidRPr="00E47362">
              <w:rPr>
                <w:rFonts w:hAnsi="Times New Roman" w:cs="Times New Roman"/>
                <w:lang w:val="lt-LT"/>
              </w:rPr>
              <w:t>nansinė priemonė, kuriai įgyvendinti numatyta skirti 100 mlrd. EUR, siekiant paremti VN joms suteikiant paskolas.</w:t>
            </w:r>
            <w:r w:rsidR="0049509B" w:rsidRPr="00E47362">
              <w:rPr>
                <w:lang w:val="lt-LT"/>
              </w:rPr>
              <w:t xml:space="preserve"> </w:t>
            </w:r>
            <w:r w:rsidR="0049509B" w:rsidRPr="00E47362">
              <w:rPr>
                <w:rFonts w:hAnsi="Times New Roman" w:cs="Times New Roman"/>
                <w:lang w:val="lt-LT"/>
              </w:rPr>
              <w:t>Iki šiol Taryba yra pritarusi dėl 90,3 mlrd. EUR paskolų suteikimo 18 šalių (tarp jų ir LT 602 mln. EUR sumai</w:t>
            </w:r>
            <w:r w:rsidR="00A600FE">
              <w:rPr>
                <w:rFonts w:hAnsi="Times New Roman" w:cs="Times New Roman"/>
                <w:lang w:val="lt-LT"/>
              </w:rPr>
              <w:t xml:space="preserve">), </w:t>
            </w:r>
            <w:r w:rsidR="0049509B" w:rsidRPr="00E47362">
              <w:rPr>
                <w:rFonts w:hAnsi="Times New Roman" w:cs="Times New Roman"/>
                <w:lang w:val="lt-LT"/>
              </w:rPr>
              <w:t>išmokėta 53,5 mlrd. EUR paskolų. Lietuva iki šiol yra g</w:t>
            </w:r>
            <w:r w:rsidR="0049509B" w:rsidRPr="00E47362">
              <w:rPr>
                <w:rFonts w:hAnsi="Times New Roman" w:cs="Times New Roman"/>
                <w:lang w:val="lt-LT"/>
              </w:rPr>
              <w:t>a</w:t>
            </w:r>
            <w:r w:rsidR="0049509B" w:rsidRPr="00E47362">
              <w:rPr>
                <w:rFonts w:hAnsi="Times New Roman" w:cs="Times New Roman"/>
                <w:lang w:val="lt-LT"/>
              </w:rPr>
              <w:t>vusi 300 mln. eurų pagal šią priemonę.</w:t>
            </w:r>
          </w:p>
          <w:p w:rsidR="005A71D9" w:rsidRPr="00E47362" w:rsidRDefault="005A71D9" w:rsidP="005A71D9">
            <w:pPr>
              <w:pStyle w:val="BodyA"/>
              <w:jc w:val="both"/>
              <w:rPr>
                <w:rFonts w:hAnsi="Times New Roman" w:cs="Times New Roman"/>
                <w:lang w:val="lt-LT"/>
              </w:rPr>
            </w:pPr>
          </w:p>
          <w:p w:rsidR="00FE389A" w:rsidRPr="00E47362" w:rsidRDefault="00FE389A" w:rsidP="005A71D9">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lang w:val="lt-LT"/>
              </w:rPr>
              <w:t>: Remiame ES pastangas paremti VN</w:t>
            </w:r>
            <w:r w:rsidR="005A71D9" w:rsidRPr="00E47362">
              <w:rPr>
                <w:rFonts w:hAnsi="Times New Roman" w:cs="Times New Roman"/>
                <w:lang w:val="lt-LT"/>
              </w:rPr>
              <w:t xml:space="preserve"> taikomas priemones, kuriomis siekiama išsaugoti užimtumą pandemijos sąlygomis. </w:t>
            </w:r>
            <w:r w:rsidR="00A600FE">
              <w:rPr>
                <w:rFonts w:hAnsi="Times New Roman" w:cs="Times New Roman"/>
                <w:lang w:val="lt-LT"/>
              </w:rPr>
              <w:t>Atsižvelgiant į tai, kad yra likę SURE numatytų lai</w:t>
            </w:r>
            <w:r w:rsidR="00A600FE">
              <w:rPr>
                <w:rFonts w:hAnsi="Times New Roman" w:cs="Times New Roman"/>
                <w:lang w:val="lt-LT"/>
              </w:rPr>
              <w:t>s</w:t>
            </w:r>
            <w:r w:rsidR="00A600FE">
              <w:rPr>
                <w:rFonts w:hAnsi="Times New Roman" w:cs="Times New Roman"/>
                <w:lang w:val="lt-LT"/>
              </w:rPr>
              <w:t xml:space="preserve">vų lėšų, </w:t>
            </w:r>
            <w:r w:rsidR="005A71D9" w:rsidRPr="00E47362">
              <w:rPr>
                <w:rFonts w:hAnsi="Times New Roman" w:cs="Times New Roman"/>
                <w:lang w:val="lt-LT"/>
              </w:rPr>
              <w:t xml:space="preserve">Lietuva </w:t>
            </w:r>
            <w:r w:rsidR="00A600FE">
              <w:rPr>
                <w:rFonts w:hAnsi="Times New Roman" w:cs="Times New Roman"/>
                <w:lang w:val="lt-LT"/>
              </w:rPr>
              <w:t xml:space="preserve">svarsto galimybę kreiptis į </w:t>
            </w:r>
            <w:r w:rsidR="005A71D9" w:rsidRPr="00E47362">
              <w:rPr>
                <w:rFonts w:hAnsi="Times New Roman" w:cs="Times New Roman"/>
                <w:lang w:val="lt-LT"/>
              </w:rPr>
              <w:t>Europos Komi</w:t>
            </w:r>
            <w:r w:rsidR="00A600FE">
              <w:rPr>
                <w:rFonts w:hAnsi="Times New Roman" w:cs="Times New Roman"/>
                <w:lang w:val="lt-LT"/>
              </w:rPr>
              <w:t>siją dėl papildomos</w:t>
            </w:r>
            <w:r w:rsidR="005A71D9" w:rsidRPr="00E47362">
              <w:rPr>
                <w:rFonts w:hAnsi="Times New Roman" w:cs="Times New Roman"/>
                <w:lang w:val="lt-LT"/>
              </w:rPr>
              <w:t xml:space="preserve"> paskolos pagal šią priemonę.</w:t>
            </w:r>
          </w:p>
          <w:p w:rsidR="006E6FE9" w:rsidRPr="00E47362" w:rsidRDefault="006E6FE9" w:rsidP="006E6FE9">
            <w:pPr>
              <w:pStyle w:val="BodyA"/>
              <w:jc w:val="both"/>
              <w:rPr>
                <w:rFonts w:hAnsi="Times New Roman" w:cs="Times New Roman"/>
                <w:lang w:val="lt-LT"/>
              </w:rPr>
            </w:pPr>
          </w:p>
          <w:p w:rsidR="006E6FE9" w:rsidRPr="00BE299C" w:rsidRDefault="006E6FE9" w:rsidP="006E6FE9">
            <w:pPr>
              <w:pStyle w:val="BodyA"/>
              <w:jc w:val="both"/>
              <w:rPr>
                <w:rFonts w:hAnsi="Times New Roman" w:cs="Times New Roman"/>
                <w:lang w:val="lt-LT"/>
              </w:rPr>
            </w:pPr>
            <w:r w:rsidRPr="00BE299C">
              <w:rPr>
                <w:rFonts w:hAnsi="Times New Roman" w:cs="Times New Roman"/>
                <w:b/>
                <w:lang w:val="lt-LT"/>
              </w:rPr>
              <w:t>d) „Kitos kartos ES“ finansavimas</w:t>
            </w:r>
            <w:r w:rsidRPr="00BE299C">
              <w:rPr>
                <w:rFonts w:hAnsi="Times New Roman" w:cs="Times New Roman"/>
                <w:lang w:val="lt-LT"/>
              </w:rPr>
              <w:t xml:space="preserve"> (</w:t>
            </w:r>
            <w:r w:rsidRPr="00BE299C">
              <w:rPr>
                <w:rFonts w:hAnsi="Times New Roman" w:cs="Times New Roman"/>
                <w:i/>
                <w:lang w:val="lt-LT"/>
              </w:rPr>
              <w:t>Pirmininkaujančios šalies ir Komisijos informacija</w:t>
            </w:r>
            <w:r w:rsidRPr="00BE299C">
              <w:rPr>
                <w:rFonts w:hAnsi="Times New Roman" w:cs="Times New Roman"/>
                <w:lang w:val="lt-LT"/>
              </w:rPr>
              <w:t>)</w:t>
            </w:r>
          </w:p>
          <w:p w:rsidR="00D65D3A" w:rsidRPr="00BE299C" w:rsidRDefault="00FD34ED" w:rsidP="00D65D3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
                <w:u w:val="single"/>
                <w:bdr w:val="none" w:sz="0" w:space="0" w:color="auto"/>
                <w:lang w:val="lt-LT" w:eastAsia="ar-SA"/>
              </w:rPr>
              <w:t>Klausimo esmė:</w:t>
            </w:r>
            <w:r w:rsidRPr="00BE299C">
              <w:rPr>
                <w:rFonts w:eastAsia="Times New Roman"/>
                <w:bdr w:val="none" w:sz="0" w:space="0" w:color="auto"/>
                <w:lang w:val="lt-LT" w:eastAsia="ar-SA"/>
              </w:rPr>
              <w:t xml:space="preserve"> </w:t>
            </w:r>
            <w:r w:rsidR="00D65D3A" w:rsidRPr="00BE299C">
              <w:rPr>
                <w:rFonts w:eastAsia="Times New Roman"/>
                <w:bdr w:val="none" w:sz="0" w:space="0" w:color="auto"/>
                <w:lang w:val="lt-LT" w:eastAsia="ar-SA"/>
              </w:rPr>
              <w:t>Pirmininkaujanti VN ir EK pristatys informaciją</w:t>
            </w:r>
            <w:r w:rsidR="00296AC0" w:rsidRPr="00BE299C">
              <w:rPr>
                <w:rFonts w:eastAsia="Times New Roman"/>
                <w:bdr w:val="none" w:sz="0" w:space="0" w:color="auto"/>
                <w:lang w:val="lt-LT" w:eastAsia="ar-SA"/>
              </w:rPr>
              <w:t>,</w:t>
            </w:r>
            <w:r w:rsidR="00D65D3A" w:rsidRPr="00BE299C">
              <w:rPr>
                <w:rFonts w:eastAsia="Times New Roman"/>
                <w:bdr w:val="none" w:sz="0" w:space="0" w:color="auto"/>
                <w:lang w:val="lt-LT" w:eastAsia="ar-SA"/>
              </w:rPr>
              <w:t xml:space="preserve"> </w:t>
            </w:r>
            <w:r w:rsidR="00D65D3A" w:rsidRPr="00BE299C">
              <w:rPr>
                <w:rFonts w:eastAsia="Times New Roman"/>
                <w:u w:val="single"/>
                <w:bdr w:val="none" w:sz="0" w:space="0" w:color="auto"/>
                <w:lang w:val="lt-LT" w:eastAsia="ar-SA"/>
              </w:rPr>
              <w:t xml:space="preserve">susijusią su </w:t>
            </w:r>
            <w:r w:rsidR="00296AC0" w:rsidRPr="00BE299C">
              <w:rPr>
                <w:rFonts w:eastAsia="Times New Roman"/>
                <w:u w:val="single"/>
                <w:bdr w:val="none" w:sz="0" w:space="0" w:color="auto"/>
                <w:lang w:val="lt-LT" w:eastAsia="ar-SA"/>
              </w:rPr>
              <w:t>ES n</w:t>
            </w:r>
            <w:r w:rsidR="00D65D3A" w:rsidRPr="00BE299C">
              <w:rPr>
                <w:rFonts w:eastAsia="Times New Roman"/>
                <w:u w:val="single"/>
                <w:bdr w:val="none" w:sz="0" w:space="0" w:color="auto"/>
                <w:lang w:val="lt-LT" w:eastAsia="ar-SA"/>
              </w:rPr>
              <w:t>uosavų išteklių sprendimo ratifikavimu</w:t>
            </w:r>
            <w:r w:rsidR="00D65D3A" w:rsidRPr="00BE299C">
              <w:rPr>
                <w:rFonts w:eastAsia="Times New Roman"/>
                <w:bdr w:val="none" w:sz="0" w:space="0" w:color="auto"/>
                <w:lang w:val="lt-LT" w:eastAsia="ar-SA"/>
              </w:rPr>
              <w:t xml:space="preserve"> bei </w:t>
            </w:r>
            <w:r w:rsidR="00D65D3A" w:rsidRPr="00BE299C">
              <w:rPr>
                <w:rFonts w:eastAsia="Times New Roman"/>
                <w:u w:val="single"/>
                <w:bdr w:val="none" w:sz="0" w:space="0" w:color="auto"/>
                <w:lang w:val="lt-LT" w:eastAsia="ar-SA"/>
              </w:rPr>
              <w:t>„Kitos kartos ES“ finansavimui skirta skolinimosi strategija</w:t>
            </w:r>
            <w:r w:rsidR="00D65D3A" w:rsidRPr="00BE299C">
              <w:rPr>
                <w:rFonts w:eastAsia="Times New Roman"/>
                <w:bdr w:val="none" w:sz="0" w:space="0" w:color="auto"/>
                <w:lang w:val="lt-LT" w:eastAsia="ar-SA"/>
              </w:rPr>
              <w:t>.</w:t>
            </w: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Times New Roman"/>
                <w:b/>
                <w:bdr w:val="none" w:sz="0" w:space="0" w:color="auto"/>
                <w:lang w:val="lt-LT" w:eastAsia="ar-SA"/>
              </w:rPr>
              <w:t xml:space="preserve">ES nuosavų išteklių sprendimo ratifikavimas: </w:t>
            </w:r>
            <w:r w:rsidRPr="00BE299C">
              <w:rPr>
                <w:rFonts w:eastAsia="Calibri"/>
                <w:bdr w:val="none" w:sz="0" w:space="0" w:color="auto"/>
                <w:lang w:val="lt-LT"/>
              </w:rPr>
              <w:t>2020 m. liepos 17–21 d. Europos Vadovų T</w:t>
            </w:r>
            <w:r w:rsidRPr="00BE299C">
              <w:rPr>
                <w:rFonts w:eastAsia="Calibri"/>
                <w:bdr w:val="none" w:sz="0" w:space="0" w:color="auto"/>
                <w:lang w:val="lt-LT"/>
              </w:rPr>
              <w:t>a</w:t>
            </w:r>
            <w:r w:rsidRPr="00BE299C">
              <w:rPr>
                <w:rFonts w:eastAsia="Calibri"/>
                <w:bdr w:val="none" w:sz="0" w:space="0" w:color="auto"/>
                <w:lang w:val="lt-LT"/>
              </w:rPr>
              <w:t xml:space="preserve">rybai (toliau – EVT) pasiekus politinį susitarimą dėl 2021–2027 m. finansinės programos, ES Taryba, siekdama įteisinti EVT išvadas dėl ES finansavimo ir remdamasi EK pasiūlymu, 2020 m. gruodžio 14 d. priėmė </w:t>
            </w:r>
            <w:r w:rsidRPr="00BE299C">
              <w:rPr>
                <w:rFonts w:eastAsia="Calibri"/>
                <w:u w:val="single"/>
                <w:bdr w:val="none" w:sz="0" w:space="0" w:color="auto"/>
                <w:lang w:val="lt-LT"/>
              </w:rPr>
              <w:t>Tarybos sprendimą</w:t>
            </w:r>
            <w:r w:rsidRPr="00BE299C">
              <w:rPr>
                <w:rFonts w:eastAsia="Calibri"/>
                <w:bdr w:val="none" w:sz="0" w:space="0" w:color="auto"/>
                <w:lang w:val="lt-LT"/>
              </w:rPr>
              <w:t xml:space="preserve"> (ES, Euratomas) 2020/2053 </w:t>
            </w:r>
            <w:r w:rsidRPr="00BE299C">
              <w:rPr>
                <w:rFonts w:eastAsia="Calibri"/>
                <w:u w:val="single"/>
                <w:bdr w:val="none" w:sz="0" w:space="0" w:color="auto"/>
                <w:lang w:val="lt-LT"/>
              </w:rPr>
              <w:t>dėl ES nuosavų ište</w:t>
            </w:r>
            <w:r w:rsidRPr="00BE299C">
              <w:rPr>
                <w:rFonts w:eastAsia="Calibri"/>
                <w:u w:val="single"/>
                <w:bdr w:val="none" w:sz="0" w:space="0" w:color="auto"/>
                <w:lang w:val="lt-LT"/>
              </w:rPr>
              <w:t>k</w:t>
            </w:r>
            <w:r w:rsidRPr="00BE299C">
              <w:rPr>
                <w:rFonts w:eastAsia="Calibri"/>
                <w:u w:val="single"/>
                <w:bdr w:val="none" w:sz="0" w:space="0" w:color="auto"/>
                <w:lang w:val="lt-LT"/>
              </w:rPr>
              <w:t>lių sistemos</w:t>
            </w:r>
            <w:r w:rsidRPr="00BE299C">
              <w:rPr>
                <w:rFonts w:eastAsia="Calibri"/>
                <w:bdr w:val="none" w:sz="0" w:space="0" w:color="auto"/>
                <w:lang w:val="lt-LT"/>
              </w:rPr>
              <w:t xml:space="preserve">, kuriuo panaikinamas Sprendimas 2014/335/ES, Euratomas. </w:t>
            </w: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Calibri"/>
                <w:bdr w:val="none" w:sz="0" w:space="0" w:color="auto"/>
                <w:lang w:val="lt-LT"/>
              </w:rPr>
              <w:t>ES valstybės narės pagal savo atitinkamus konstitucinius reikalavimus turi patvirtinti pritarimą Tarybos NI sprendimui ir apie procedūrų šiam sprendimui priimti užbaigimą pranešti ES Tar</w:t>
            </w:r>
            <w:r w:rsidRPr="00BE299C">
              <w:rPr>
                <w:rFonts w:eastAsia="Calibri"/>
                <w:bdr w:val="none" w:sz="0" w:space="0" w:color="auto"/>
                <w:lang w:val="lt-LT"/>
              </w:rPr>
              <w:t>y</w:t>
            </w:r>
            <w:r w:rsidRPr="00BE299C">
              <w:rPr>
                <w:rFonts w:eastAsia="Calibri"/>
                <w:bdr w:val="none" w:sz="0" w:space="0" w:color="auto"/>
                <w:lang w:val="lt-LT"/>
              </w:rPr>
              <w:t>bos generaliniam sekretoriui. Gavus paskutinį VN pranešimą, Tarybos sprendimas įsigaliotų nuo kito mėnesio pirmos dienos ir būtų taikomas atgaline data nuo 2021 m. sausio 1 d.</w:t>
            </w: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Calibri"/>
                <w:bdr w:val="none" w:sz="0" w:space="0" w:color="auto"/>
                <w:lang w:val="lt-LT"/>
              </w:rPr>
              <w:t xml:space="preserve">NI sprendimo patvirtinimas svarbus, siekiant sklandžiai įgyvendinti 2021–2027 m. ES biudžetą ir suteikti galimybę </w:t>
            </w:r>
            <w:r w:rsidR="0085129B" w:rsidRPr="00BE299C">
              <w:rPr>
                <w:rFonts w:eastAsia="Calibri"/>
                <w:bdr w:val="none" w:sz="0" w:space="0" w:color="auto"/>
                <w:lang w:val="lt-LT"/>
              </w:rPr>
              <w:t>EK</w:t>
            </w:r>
            <w:r w:rsidRPr="00BE299C">
              <w:rPr>
                <w:rFonts w:eastAsia="Calibri"/>
                <w:bdr w:val="none" w:sz="0" w:space="0" w:color="auto"/>
                <w:lang w:val="lt-LT"/>
              </w:rPr>
              <w:t xml:space="preserve"> skolintis ES vardu, norint įgyvendinti 750 mlrd. eurų vertės ES gaivin</w:t>
            </w:r>
            <w:r w:rsidRPr="00BE299C">
              <w:rPr>
                <w:rFonts w:eastAsia="Calibri"/>
                <w:bdr w:val="none" w:sz="0" w:space="0" w:color="auto"/>
                <w:lang w:val="lt-LT"/>
              </w:rPr>
              <w:t>i</w:t>
            </w:r>
            <w:r w:rsidRPr="00BE299C">
              <w:rPr>
                <w:rFonts w:eastAsia="Calibri"/>
                <w:bdr w:val="none" w:sz="0" w:space="0" w:color="auto"/>
                <w:lang w:val="lt-LT"/>
              </w:rPr>
              <w:t>mo priemonę.</w:t>
            </w: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Calibri"/>
                <w:bdr w:val="none" w:sz="0" w:space="0" w:color="auto"/>
                <w:lang w:val="lt-LT"/>
              </w:rPr>
              <w:t xml:space="preserve">2021 m. sausio mėn. visos valstybės narės gavo ES Tarybai pirmininkaujančios PT premjero A. </w:t>
            </w:r>
            <w:proofErr w:type="spellStart"/>
            <w:r w:rsidRPr="00BE299C">
              <w:rPr>
                <w:rFonts w:eastAsia="Calibri"/>
                <w:bdr w:val="none" w:sz="0" w:space="0" w:color="auto"/>
                <w:lang w:val="lt-LT"/>
              </w:rPr>
              <w:t>Costa</w:t>
            </w:r>
            <w:proofErr w:type="spellEnd"/>
            <w:r w:rsidRPr="00BE299C">
              <w:rPr>
                <w:rFonts w:eastAsia="Calibri"/>
                <w:bdr w:val="none" w:sz="0" w:space="0" w:color="auto"/>
                <w:lang w:val="lt-LT"/>
              </w:rPr>
              <w:t xml:space="preserve"> laišką, kuriame raginama kuo greičiau užbaigti </w:t>
            </w:r>
            <w:r w:rsidRPr="00BE299C">
              <w:rPr>
                <w:rFonts w:eastAsia="Calibri"/>
                <w:i/>
                <w:bdr w:val="none" w:sz="0" w:space="0" w:color="auto"/>
                <w:lang w:val="lt-LT"/>
              </w:rPr>
              <w:t>Tarybos sprendimo dėl ES nuosavų ište</w:t>
            </w:r>
            <w:r w:rsidRPr="00BE299C">
              <w:rPr>
                <w:rFonts w:eastAsia="Calibri"/>
                <w:i/>
                <w:bdr w:val="none" w:sz="0" w:space="0" w:color="auto"/>
                <w:lang w:val="lt-LT"/>
              </w:rPr>
              <w:t>k</w:t>
            </w:r>
            <w:r w:rsidRPr="00BE299C">
              <w:rPr>
                <w:rFonts w:eastAsia="Calibri"/>
                <w:i/>
                <w:bdr w:val="none" w:sz="0" w:space="0" w:color="auto"/>
                <w:lang w:val="lt-LT"/>
              </w:rPr>
              <w:t>lių patvirtinimo</w:t>
            </w:r>
            <w:r w:rsidRPr="00BE299C">
              <w:rPr>
                <w:rFonts w:eastAsia="Calibri"/>
                <w:bdr w:val="none" w:sz="0" w:space="0" w:color="auto"/>
                <w:lang w:val="lt-LT"/>
              </w:rPr>
              <w:t xml:space="preserve"> procesą visose valstybėse narėse. Reaguojant į šį prašymą, buvo parengtas trijų Baltijos valstybių vadovų bendras atsakymas PT premjerui, kuriame pažymėta, kad sklandų T</w:t>
            </w:r>
            <w:r w:rsidRPr="00BE299C">
              <w:rPr>
                <w:rFonts w:eastAsia="Calibri"/>
                <w:bdr w:val="none" w:sz="0" w:space="0" w:color="auto"/>
                <w:lang w:val="lt-LT"/>
              </w:rPr>
              <w:t>a</w:t>
            </w:r>
            <w:r w:rsidRPr="00BE299C">
              <w:rPr>
                <w:rFonts w:eastAsia="Calibri"/>
                <w:bdr w:val="none" w:sz="0" w:space="0" w:color="auto"/>
                <w:lang w:val="lt-LT"/>
              </w:rPr>
              <w:t>rybos sprendimo dėl NI ratifikavimo procesą padėtų užtikrinti pilnas EVT 2020 m. liepos mėn. susitarimo dėl 2021–2027 m. ES daugiametės finansinės programos įgyvendinimas.</w:t>
            </w: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Calibri"/>
                <w:bdr w:val="none" w:sz="0" w:space="0" w:color="auto"/>
                <w:lang w:val="lt-LT"/>
              </w:rPr>
              <w:t xml:space="preserve">Pažymėtina, kad dėl išsiskiriančių Tarybos ir Europos Parlamento pozicijų į sektorinį </w:t>
            </w:r>
            <w:proofErr w:type="spellStart"/>
            <w:r w:rsidRPr="00BE299C">
              <w:rPr>
                <w:rFonts w:eastAsia="Calibri"/>
                <w:i/>
                <w:bdr w:val="none" w:sz="0" w:space="0" w:color="auto"/>
                <w:lang w:val="lt-LT"/>
              </w:rPr>
              <w:t>Conne</w:t>
            </w:r>
            <w:r w:rsidRPr="00BE299C">
              <w:rPr>
                <w:rFonts w:eastAsia="Calibri"/>
                <w:i/>
                <w:bdr w:val="none" w:sz="0" w:space="0" w:color="auto"/>
                <w:lang w:val="lt-LT"/>
              </w:rPr>
              <w:t>c</w:t>
            </w:r>
            <w:r w:rsidRPr="00BE299C">
              <w:rPr>
                <w:rFonts w:eastAsia="Calibri"/>
                <w:i/>
                <w:bdr w:val="none" w:sz="0" w:space="0" w:color="auto"/>
                <w:lang w:val="lt-LT"/>
              </w:rPr>
              <w:t>ting</w:t>
            </w:r>
            <w:proofErr w:type="spellEnd"/>
            <w:r w:rsidRPr="00BE299C">
              <w:rPr>
                <w:rFonts w:eastAsia="Calibri"/>
                <w:i/>
                <w:bdr w:val="none" w:sz="0" w:space="0" w:color="auto"/>
                <w:lang w:val="lt-LT"/>
              </w:rPr>
              <w:t xml:space="preserve"> </w:t>
            </w:r>
            <w:proofErr w:type="spellStart"/>
            <w:r w:rsidRPr="00BE299C">
              <w:rPr>
                <w:rFonts w:eastAsia="Calibri"/>
                <w:i/>
                <w:bdr w:val="none" w:sz="0" w:space="0" w:color="auto"/>
                <w:lang w:val="lt-LT"/>
              </w:rPr>
              <w:t>Europe</w:t>
            </w:r>
            <w:proofErr w:type="spellEnd"/>
            <w:r w:rsidRPr="00BE299C">
              <w:rPr>
                <w:rFonts w:eastAsia="Calibri"/>
                <w:i/>
                <w:bdr w:val="none" w:sz="0" w:space="0" w:color="auto"/>
                <w:lang w:val="lt-LT"/>
              </w:rPr>
              <w:t xml:space="preserve"> </w:t>
            </w:r>
            <w:proofErr w:type="spellStart"/>
            <w:r w:rsidRPr="00BE299C">
              <w:rPr>
                <w:rFonts w:eastAsia="Calibri"/>
                <w:i/>
                <w:bdr w:val="none" w:sz="0" w:space="0" w:color="auto"/>
                <w:lang w:val="lt-LT"/>
              </w:rPr>
              <w:t>Facility</w:t>
            </w:r>
            <w:proofErr w:type="spellEnd"/>
            <w:r w:rsidRPr="00BE299C">
              <w:rPr>
                <w:rFonts w:eastAsia="Calibri"/>
                <w:i/>
                <w:bdr w:val="none" w:sz="0" w:space="0" w:color="auto"/>
                <w:lang w:val="lt-LT"/>
              </w:rPr>
              <w:t xml:space="preserve"> (CEF)</w:t>
            </w:r>
            <w:r w:rsidRPr="00BE299C">
              <w:rPr>
                <w:rFonts w:eastAsia="Calibri"/>
                <w:bdr w:val="none" w:sz="0" w:space="0" w:color="auto"/>
                <w:lang w:val="lt-LT"/>
              </w:rPr>
              <w:t xml:space="preserve"> reglamentą vis dar nėra perkelti šie Baltijos valstybėms svarbūs sus</w:t>
            </w:r>
            <w:r w:rsidRPr="00BE299C">
              <w:rPr>
                <w:rFonts w:eastAsia="Calibri"/>
                <w:bdr w:val="none" w:sz="0" w:space="0" w:color="auto"/>
                <w:lang w:val="lt-LT"/>
              </w:rPr>
              <w:t>i</w:t>
            </w:r>
            <w:r w:rsidRPr="00BE299C">
              <w:rPr>
                <w:rFonts w:eastAsia="Calibri"/>
                <w:bdr w:val="none" w:sz="0" w:space="0" w:color="auto"/>
                <w:lang w:val="lt-LT"/>
              </w:rPr>
              <w:t>tarimai:</w:t>
            </w:r>
          </w:p>
          <w:p w:rsidR="00296AC0" w:rsidRPr="00BE299C" w:rsidRDefault="00296AC0" w:rsidP="00296A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bdr w:val="none" w:sz="0" w:space="0" w:color="auto"/>
                <w:lang w:val="lt-LT"/>
              </w:rPr>
            </w:pPr>
            <w:r w:rsidRPr="00BE299C">
              <w:rPr>
                <w:rFonts w:eastAsia="Calibri"/>
                <w:bdr w:val="none" w:sz="0" w:space="0" w:color="auto"/>
                <w:lang w:val="lt-LT"/>
              </w:rPr>
              <w:t xml:space="preserve">dėl papildomų 1,384 mlrd. eurų rezervavimo tarpvalstybinėms geležinkelio jungtims (iš esmės, </w:t>
            </w:r>
            <w:proofErr w:type="spellStart"/>
            <w:r w:rsidRPr="00BE299C">
              <w:rPr>
                <w:rFonts w:eastAsia="Calibri"/>
                <w:i/>
                <w:bdr w:val="none" w:sz="0" w:space="0" w:color="auto"/>
                <w:lang w:val="lt-LT"/>
              </w:rPr>
              <w:t>Rail</w:t>
            </w:r>
            <w:proofErr w:type="spellEnd"/>
            <w:r w:rsidRPr="00BE299C">
              <w:rPr>
                <w:rFonts w:eastAsia="Calibri"/>
                <w:i/>
                <w:bdr w:val="none" w:sz="0" w:space="0" w:color="auto"/>
                <w:lang w:val="lt-LT"/>
              </w:rPr>
              <w:t xml:space="preserve"> </w:t>
            </w:r>
            <w:proofErr w:type="spellStart"/>
            <w:r w:rsidRPr="00BE299C">
              <w:rPr>
                <w:rFonts w:eastAsia="Calibri"/>
                <w:i/>
                <w:bdr w:val="none" w:sz="0" w:space="0" w:color="auto"/>
                <w:lang w:val="lt-LT"/>
              </w:rPr>
              <w:t>Baltica</w:t>
            </w:r>
            <w:proofErr w:type="spellEnd"/>
            <w:r w:rsidRPr="00BE299C">
              <w:rPr>
                <w:rFonts w:eastAsia="Calibri"/>
                <w:bdr w:val="none" w:sz="0" w:space="0" w:color="auto"/>
                <w:lang w:val="lt-LT"/>
              </w:rPr>
              <w:t xml:space="preserve"> projektui);</w:t>
            </w:r>
          </w:p>
          <w:p w:rsidR="00296AC0" w:rsidRPr="00BE299C" w:rsidRDefault="00296AC0" w:rsidP="00296A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bdr w:val="none" w:sz="0" w:space="0" w:color="auto"/>
                <w:lang w:val="lt-LT"/>
              </w:rPr>
            </w:pPr>
            <w:r w:rsidRPr="00BE299C">
              <w:rPr>
                <w:rFonts w:eastAsia="Calibri"/>
                <w:bdr w:val="none" w:sz="0" w:space="0" w:color="auto"/>
                <w:lang w:val="lt-LT"/>
              </w:rPr>
              <w:t>dėl konkursinio principo (</w:t>
            </w:r>
            <w:proofErr w:type="spellStart"/>
            <w:r w:rsidRPr="00BE299C">
              <w:rPr>
                <w:rFonts w:eastAsia="Calibri"/>
                <w:i/>
                <w:bdr w:val="none" w:sz="0" w:space="0" w:color="auto"/>
                <w:lang w:val="lt-LT"/>
              </w:rPr>
              <w:t>competitive</w:t>
            </w:r>
            <w:proofErr w:type="spellEnd"/>
            <w:r w:rsidRPr="00BE299C">
              <w:rPr>
                <w:rFonts w:eastAsia="Calibri"/>
                <w:i/>
                <w:bdr w:val="none" w:sz="0" w:space="0" w:color="auto"/>
                <w:lang w:val="lt-LT"/>
              </w:rPr>
              <w:t xml:space="preserve"> </w:t>
            </w:r>
            <w:proofErr w:type="spellStart"/>
            <w:r w:rsidRPr="00BE299C">
              <w:rPr>
                <w:rFonts w:eastAsia="Calibri"/>
                <w:i/>
                <w:bdr w:val="none" w:sz="0" w:space="0" w:color="auto"/>
                <w:lang w:val="lt-LT"/>
              </w:rPr>
              <w:t>calls</w:t>
            </w:r>
            <w:proofErr w:type="spellEnd"/>
            <w:r w:rsidRPr="00BE299C">
              <w:rPr>
                <w:rFonts w:eastAsia="Calibri"/>
                <w:bdr w:val="none" w:sz="0" w:space="0" w:color="auto"/>
                <w:lang w:val="lt-LT"/>
              </w:rPr>
              <w:t xml:space="preserve">) sustiprinimo skirstant CEF lėšas, kas vėlgi potencialiai sudarytų sąlygas daugiau lėšų mobilizuoti </w:t>
            </w:r>
            <w:proofErr w:type="spellStart"/>
            <w:r w:rsidRPr="00BE299C">
              <w:rPr>
                <w:rFonts w:eastAsia="Calibri"/>
                <w:i/>
                <w:bdr w:val="none" w:sz="0" w:space="0" w:color="auto"/>
                <w:lang w:val="lt-LT"/>
              </w:rPr>
              <w:t>Rail</w:t>
            </w:r>
            <w:proofErr w:type="spellEnd"/>
            <w:r w:rsidRPr="00BE299C">
              <w:rPr>
                <w:rFonts w:eastAsia="Calibri"/>
                <w:i/>
                <w:bdr w:val="none" w:sz="0" w:space="0" w:color="auto"/>
                <w:lang w:val="lt-LT"/>
              </w:rPr>
              <w:t xml:space="preserve"> </w:t>
            </w:r>
            <w:proofErr w:type="spellStart"/>
            <w:r w:rsidRPr="00BE299C">
              <w:rPr>
                <w:rFonts w:eastAsia="Calibri"/>
                <w:i/>
                <w:bdr w:val="none" w:sz="0" w:space="0" w:color="auto"/>
                <w:lang w:val="lt-LT"/>
              </w:rPr>
              <w:t>Baltica</w:t>
            </w:r>
            <w:proofErr w:type="spellEnd"/>
            <w:r w:rsidRPr="00BE299C">
              <w:rPr>
                <w:rFonts w:eastAsia="Calibri"/>
                <w:bdr w:val="none" w:sz="0" w:space="0" w:color="auto"/>
                <w:lang w:val="lt-LT"/>
              </w:rPr>
              <w:t xml:space="preserve"> projektui įgyvendinti.</w:t>
            </w:r>
          </w:p>
          <w:p w:rsidR="00AF16A9" w:rsidRDefault="00AF16A9" w:rsidP="00296AC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Calibri"/>
                <w:bdr w:val="none" w:sz="0" w:space="0" w:color="auto"/>
                <w:lang w:val="lt-LT"/>
              </w:rPr>
            </w:pPr>
          </w:p>
          <w:p w:rsidR="00296AC0" w:rsidRPr="00AF16A9" w:rsidRDefault="00AF16A9" w:rsidP="00296AC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Calibri"/>
                <w:bdr w:val="none" w:sz="0" w:space="0" w:color="auto"/>
                <w:lang w:val="lt-LT"/>
              </w:rPr>
            </w:pPr>
            <w:r w:rsidRPr="00E50056">
              <w:rPr>
                <w:rFonts w:eastAsia="Calibri"/>
                <w:bdr w:val="none" w:sz="0" w:space="0" w:color="auto"/>
                <w:lang w:val="lt-LT"/>
              </w:rPr>
              <w:t xml:space="preserve">Taip pat pažymėtina, kad 2021 m. sausio mėn. Finansų ministerija gavo EK komisaro, atsakingo už ES biudžetą ir administravimą, J. </w:t>
            </w:r>
            <w:proofErr w:type="spellStart"/>
            <w:r w:rsidRPr="00E50056">
              <w:rPr>
                <w:rFonts w:eastAsia="Calibri"/>
                <w:bdr w:val="none" w:sz="0" w:space="0" w:color="auto"/>
                <w:lang w:val="lt-LT"/>
              </w:rPr>
              <w:t>Hahn</w:t>
            </w:r>
            <w:proofErr w:type="spellEnd"/>
            <w:r w:rsidRPr="00E50056">
              <w:rPr>
                <w:rFonts w:eastAsia="Calibri"/>
                <w:bdr w:val="none" w:sz="0" w:space="0" w:color="auto"/>
                <w:lang w:val="lt-LT"/>
              </w:rPr>
              <w:t xml:space="preserve"> laišką, kuriame raginama greičiau ratifikuoti Tarybos sprendimą. Atitinkamai į šį laišką buvo parengtas ir vasario 8 d. išsiųstas finansų ministrės ats</w:t>
            </w:r>
            <w:r w:rsidRPr="00E50056">
              <w:rPr>
                <w:rFonts w:eastAsia="Calibri"/>
                <w:bdr w:val="none" w:sz="0" w:space="0" w:color="auto"/>
                <w:lang w:val="lt-LT"/>
              </w:rPr>
              <w:t>a</w:t>
            </w:r>
            <w:r w:rsidRPr="00E50056">
              <w:rPr>
                <w:rFonts w:eastAsia="Calibri"/>
                <w:bdr w:val="none" w:sz="0" w:space="0" w:color="auto"/>
                <w:lang w:val="lt-LT"/>
              </w:rPr>
              <w:t>kymas (su kopija PT finansų ministrui).</w:t>
            </w:r>
            <w:r>
              <w:rPr>
                <w:rFonts w:eastAsia="Calibri"/>
                <w:bdr w:val="none" w:sz="0" w:space="0" w:color="auto"/>
                <w:lang w:val="lt-LT"/>
              </w:rPr>
              <w:t xml:space="preserve"> </w:t>
            </w:r>
          </w:p>
          <w:p w:rsidR="00AF16A9" w:rsidRPr="00BE299C" w:rsidRDefault="00AF16A9" w:rsidP="00296AC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Calibri"/>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Calibri"/>
                <w:bdr w:val="none" w:sz="0" w:space="0" w:color="auto"/>
                <w:lang w:val="lt-LT"/>
              </w:rPr>
              <w:t xml:space="preserve">Praėjusios savaitės ES Tarybos nuosavų išteklių darbo grupėje </w:t>
            </w:r>
            <w:r w:rsidRPr="00BE299C">
              <w:rPr>
                <w:rFonts w:eastAsia="Calibri"/>
                <w:u w:val="single"/>
                <w:bdr w:val="none" w:sz="0" w:space="0" w:color="auto"/>
                <w:lang w:val="lt-LT"/>
              </w:rPr>
              <w:t>Pirm. PT informavo, jog kiekvi</w:t>
            </w:r>
            <w:r w:rsidRPr="00BE299C">
              <w:rPr>
                <w:rFonts w:eastAsia="Calibri"/>
                <w:u w:val="single"/>
                <w:bdr w:val="none" w:sz="0" w:space="0" w:color="auto"/>
                <w:lang w:val="lt-LT"/>
              </w:rPr>
              <w:t>e</w:t>
            </w:r>
            <w:r w:rsidRPr="00BE299C">
              <w:rPr>
                <w:rFonts w:eastAsia="Calibri"/>
                <w:u w:val="single"/>
                <w:bdr w:val="none" w:sz="0" w:space="0" w:color="auto"/>
                <w:lang w:val="lt-LT"/>
              </w:rPr>
              <w:t xml:space="preserve">no </w:t>
            </w:r>
            <w:proofErr w:type="spellStart"/>
            <w:r w:rsidRPr="00BE299C">
              <w:rPr>
                <w:rFonts w:eastAsia="Calibri"/>
                <w:u w:val="single"/>
                <w:bdr w:val="none" w:sz="0" w:space="0" w:color="auto"/>
                <w:lang w:val="lt-LT"/>
              </w:rPr>
              <w:t>Ecofin</w:t>
            </w:r>
            <w:proofErr w:type="spellEnd"/>
            <w:r w:rsidRPr="00BE299C">
              <w:rPr>
                <w:rFonts w:eastAsia="Calibri"/>
                <w:u w:val="single"/>
                <w:bdr w:val="none" w:sz="0" w:space="0" w:color="auto"/>
                <w:lang w:val="lt-LT"/>
              </w:rPr>
              <w:t xml:space="preserve"> posėdžio metu valstybės narės bus kviečiamos pristatyti ES NI sprendimo ratifikav</w:t>
            </w:r>
            <w:r w:rsidRPr="00BE299C">
              <w:rPr>
                <w:rFonts w:eastAsia="Calibri"/>
                <w:u w:val="single"/>
                <w:bdr w:val="none" w:sz="0" w:space="0" w:color="auto"/>
                <w:lang w:val="lt-LT"/>
              </w:rPr>
              <w:t>i</w:t>
            </w:r>
            <w:r w:rsidRPr="00BE299C">
              <w:rPr>
                <w:rFonts w:eastAsia="Calibri"/>
                <w:u w:val="single"/>
                <w:bdr w:val="none" w:sz="0" w:space="0" w:color="auto"/>
                <w:lang w:val="lt-LT"/>
              </w:rPr>
              <w:t xml:space="preserve">mo jose </w:t>
            </w:r>
            <w:r w:rsidRPr="00BE299C">
              <w:rPr>
                <w:rFonts w:eastAsia="Calibri"/>
                <w:i/>
                <w:u w:val="single"/>
                <w:bdr w:val="none" w:sz="0" w:space="0" w:color="auto"/>
                <w:lang w:val="lt-LT"/>
              </w:rPr>
              <w:t xml:space="preserve">status </w:t>
            </w:r>
            <w:proofErr w:type="spellStart"/>
            <w:r w:rsidRPr="00BE299C">
              <w:rPr>
                <w:rFonts w:eastAsia="Calibri"/>
                <w:i/>
                <w:u w:val="single"/>
                <w:bdr w:val="none" w:sz="0" w:space="0" w:color="auto"/>
                <w:lang w:val="lt-LT"/>
              </w:rPr>
              <w:t>quo</w:t>
            </w:r>
            <w:proofErr w:type="spellEnd"/>
            <w:r w:rsidRPr="00BE299C">
              <w:rPr>
                <w:rFonts w:eastAsia="Calibri"/>
                <w:i/>
                <w:bdr w:val="none" w:sz="0" w:space="0" w:color="auto"/>
                <w:lang w:val="lt-LT"/>
              </w:rPr>
              <w:t xml:space="preserve">. </w:t>
            </w:r>
            <w:r w:rsidRPr="00BE299C">
              <w:rPr>
                <w:rFonts w:eastAsia="Calibri"/>
                <w:bdr w:val="none" w:sz="0" w:space="0" w:color="auto"/>
                <w:lang w:val="lt-LT"/>
              </w:rPr>
              <w:t>Remiantis valstybių pateikta atnaujinta informacija,</w:t>
            </w:r>
            <w:r w:rsidRPr="00BE299C">
              <w:rPr>
                <w:rFonts w:eastAsia="Calibri"/>
                <w:i/>
                <w:bdr w:val="none" w:sz="0" w:space="0" w:color="auto"/>
                <w:lang w:val="lt-LT"/>
              </w:rPr>
              <w:t xml:space="preserve"> </w:t>
            </w:r>
            <w:r w:rsidRPr="00BE299C">
              <w:rPr>
                <w:rFonts w:eastAsia="Calibri"/>
                <w:bdr w:val="none" w:sz="0" w:space="0" w:color="auto"/>
                <w:lang w:val="lt-LT"/>
              </w:rPr>
              <w:t>Pirm. reguliariai a</w:t>
            </w:r>
            <w:r w:rsidRPr="00BE299C">
              <w:rPr>
                <w:rFonts w:eastAsia="Calibri"/>
                <w:bdr w:val="none" w:sz="0" w:space="0" w:color="auto"/>
                <w:lang w:val="lt-LT"/>
              </w:rPr>
              <w:t>p</w:t>
            </w:r>
            <w:r w:rsidRPr="00BE299C">
              <w:rPr>
                <w:rFonts w:eastAsia="Calibri"/>
                <w:bdr w:val="none" w:sz="0" w:space="0" w:color="auto"/>
                <w:lang w:val="lt-LT"/>
              </w:rPr>
              <w:t xml:space="preserve">žvelgs NI sprendimo ratifikavimo situaciją. Iki šiol apie NI sprendimo patvirtinimą nacionaliniu lygiu yra pranešusios 3 šalys narės – Kroatija, Kipras (sausio mėn.) ir Portugalija (vasario mėn.). </w:t>
            </w: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p>
          <w:p w:rsidR="00296AC0" w:rsidRPr="00BE299C" w:rsidRDefault="00296AC0" w:rsidP="00296A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299C">
              <w:rPr>
                <w:rFonts w:eastAsia="Calibri"/>
                <w:color w:val="000000"/>
                <w:u w:val="single"/>
                <w:bdr w:val="none" w:sz="0" w:space="0" w:color="auto"/>
                <w:lang w:val="lt-LT"/>
              </w:rPr>
              <w:t>Numatomas NI sprendimo ratifikavimo LT terminas – 2021</w:t>
            </w:r>
            <w:r w:rsidRPr="00BE299C">
              <w:rPr>
                <w:rFonts w:eastAsia="Calibri"/>
                <w:u w:val="single"/>
                <w:bdr w:val="none" w:sz="0" w:space="0" w:color="auto"/>
                <w:lang w:val="lt-LT"/>
              </w:rPr>
              <w:t xml:space="preserve"> m. balandžio mėn.</w:t>
            </w:r>
            <w:r w:rsidRPr="00BE299C">
              <w:rPr>
                <w:rFonts w:eastAsia="Calibri"/>
                <w:bdr w:val="none" w:sz="0" w:space="0" w:color="auto"/>
                <w:lang w:val="lt-LT"/>
              </w:rPr>
              <w:t xml:space="preserve"> Šiuo metu visi ratifikavimui aktualūs teisės aktų projektai yra pateikti LRV. Įstatymas, kuriuo bus patvirtintas  NI sprendimas, LRS planuojamas svarstyti ir tvirtinti pavasario plenarinėje sesijoje. </w:t>
            </w:r>
          </w:p>
          <w:p w:rsidR="00296AC0" w:rsidRPr="00BE299C" w:rsidRDefault="00296AC0" w:rsidP="00D65D3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b/>
                <w:u w:val="single"/>
                <w:lang w:val="lt-LT"/>
              </w:rPr>
            </w:pPr>
          </w:p>
          <w:p w:rsidR="00D65D3A" w:rsidRPr="00BE299C" w:rsidRDefault="00B51EE3" w:rsidP="00D65D3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u w:val="single"/>
                <w:bdr w:val="none" w:sz="0" w:space="0" w:color="auto"/>
                <w:lang w:val="lt-LT" w:eastAsia="ar-SA"/>
              </w:rPr>
            </w:pPr>
            <w:r w:rsidRPr="00BE299C">
              <w:rPr>
                <w:rFonts w:eastAsia="Times New Roman"/>
                <w:b/>
                <w:bdr w:val="none" w:sz="0" w:space="0" w:color="auto"/>
                <w:lang w:val="lt-LT" w:eastAsia="ar-SA"/>
              </w:rPr>
              <w:t>Skolinimosi strategija.</w:t>
            </w:r>
            <w:r w:rsidRPr="00BE299C">
              <w:rPr>
                <w:rFonts w:eastAsia="Times New Roman"/>
                <w:bdr w:val="none" w:sz="0" w:space="0" w:color="auto"/>
                <w:lang w:val="lt-LT" w:eastAsia="ar-SA"/>
              </w:rPr>
              <w:t xml:space="preserve"> EK</w:t>
            </w:r>
            <w:r w:rsidR="00D65D3A" w:rsidRPr="00BE299C">
              <w:rPr>
                <w:rFonts w:eastAsia="Times New Roman"/>
                <w:bdr w:val="none" w:sz="0" w:space="0" w:color="auto"/>
                <w:lang w:val="lt-LT" w:eastAsia="ar-SA"/>
              </w:rPr>
              <w:t xml:space="preserve"> planuoja pradėti skolintis 2021 m. birželį, nes dar ruošiasi, o ir RRF planų pateikimo terminas yra 2021 m. balandis.</w:t>
            </w:r>
          </w:p>
          <w:p w:rsidR="00D65D3A" w:rsidRPr="00BE299C" w:rsidRDefault="00D65D3A" w:rsidP="00D65D3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dr w:val="none" w:sz="0" w:space="0" w:color="auto"/>
                <w:lang w:val="lt-LT" w:eastAsia="ar-SA"/>
              </w:rPr>
              <w:t>Iššūkiai:</w:t>
            </w:r>
          </w:p>
          <w:p w:rsidR="00D65D3A" w:rsidRPr="00BE299C" w:rsidRDefault="00D65D3A" w:rsidP="00C201F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dr w:val="none" w:sz="0" w:space="0" w:color="auto"/>
                <w:lang w:val="lt-LT" w:eastAsia="ar-SA"/>
              </w:rPr>
              <w:t>skolinimosi sumos siekia 150-200 mlrd. eurų per 5 metus, t.y. ekvivalenčios didelėms ES valstybėms;</w:t>
            </w:r>
          </w:p>
          <w:p w:rsidR="00D65D3A" w:rsidRPr="00BE299C" w:rsidRDefault="00D65D3A" w:rsidP="00C201F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dr w:val="none" w:sz="0" w:space="0" w:color="auto"/>
                <w:lang w:val="lt-LT" w:eastAsia="ar-SA"/>
              </w:rPr>
              <w:t>5 m. laikotarpiu rinkos situacija ir investuotojų dėmesys įvairioms trukmėms kis;</w:t>
            </w:r>
          </w:p>
          <w:p w:rsidR="00D65D3A" w:rsidRPr="00BE299C" w:rsidRDefault="00D65D3A" w:rsidP="00C201F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dr w:val="none" w:sz="0" w:space="0" w:color="auto"/>
                <w:lang w:val="lt-LT" w:eastAsia="ar-SA"/>
              </w:rPr>
              <w:t>gautų lėšų skirtingi panaudojimo tikslai ir formos (dotacijos, paskolos, žaliųjų obligacijų dimensija);</w:t>
            </w:r>
          </w:p>
          <w:p w:rsidR="00D65D3A" w:rsidRPr="00BE299C" w:rsidRDefault="00D65D3A" w:rsidP="00C201F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dr w:val="none" w:sz="0" w:space="0" w:color="auto"/>
                <w:lang w:val="lt-LT" w:eastAsia="ar-SA"/>
              </w:rPr>
              <w:t>reikia užtikrinti, kad NGEU lėšų šaltinis gali būti naudojamas biudžetui ar valstybėms narėms, kai reikės.</w:t>
            </w:r>
          </w:p>
          <w:p w:rsidR="00D65D3A" w:rsidRPr="00BE299C" w:rsidRDefault="00B51EE3" w:rsidP="00D65D3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BE299C">
              <w:rPr>
                <w:rFonts w:eastAsia="Times New Roman"/>
                <w:bdr w:val="none" w:sz="0" w:space="0" w:color="auto"/>
                <w:lang w:val="lt-LT" w:eastAsia="ar-SA"/>
              </w:rPr>
              <w:t>40-50 mlrd. eurų per ketvirtį, manoma, yra realistiškas tikslas ir turėtų atitikti RRF avansavimo ir vykdymo fazes. RRF paskolų kaštai būtų nustatomi portfelio pagrindu ir keltų ribotą riziką VN ar ES biudžetui. Fiksuotų palūkanų RRF paskolos bus prieinamos vėliau (tikrai ne nuo 2021 m. birželio).</w:t>
            </w:r>
          </w:p>
          <w:p w:rsidR="00D65D3A" w:rsidRPr="00BE299C" w:rsidRDefault="00D65D3A" w:rsidP="0032625D">
            <w:pPr>
              <w:pStyle w:val="BodyA"/>
              <w:jc w:val="both"/>
              <w:rPr>
                <w:rFonts w:hAnsi="Times New Roman" w:cs="Times New Roman"/>
                <w:lang w:val="lt-LT"/>
              </w:rPr>
            </w:pPr>
          </w:p>
          <w:p w:rsidR="0085129B" w:rsidRPr="00BE299C" w:rsidRDefault="00B51EE3" w:rsidP="0032625D">
            <w:pPr>
              <w:pStyle w:val="BodyA"/>
              <w:jc w:val="both"/>
              <w:rPr>
                <w:rFonts w:hAnsi="Times New Roman" w:cs="Times New Roman"/>
                <w:lang w:val="lt-LT"/>
              </w:rPr>
            </w:pPr>
            <w:r w:rsidRPr="00BE299C">
              <w:rPr>
                <w:rFonts w:hAnsi="Times New Roman" w:cs="Times New Roman"/>
                <w:b/>
                <w:u w:val="single"/>
                <w:lang w:val="lt-LT"/>
              </w:rPr>
              <w:t>Lietuvos pozicija</w:t>
            </w:r>
            <w:r w:rsidRPr="00BE299C">
              <w:rPr>
                <w:rFonts w:hAnsi="Times New Roman" w:cs="Times New Roman"/>
                <w:lang w:val="lt-LT"/>
              </w:rPr>
              <w:t xml:space="preserve">: </w:t>
            </w:r>
          </w:p>
          <w:p w:rsidR="00B51EE3" w:rsidRPr="00BE299C" w:rsidRDefault="0085129B" w:rsidP="0032625D">
            <w:pPr>
              <w:pStyle w:val="BodyA"/>
              <w:jc w:val="both"/>
              <w:rPr>
                <w:rFonts w:hAnsi="Times New Roman" w:cs="Times New Roman"/>
                <w:lang w:val="lt-LT"/>
              </w:rPr>
            </w:pPr>
            <w:r w:rsidRPr="00BE299C">
              <w:rPr>
                <w:rFonts w:hAnsi="Times New Roman" w:cs="Times New Roman"/>
                <w:u w:val="single"/>
                <w:lang w:val="lt-LT"/>
              </w:rPr>
              <w:t>Dėl NI sprendimo ratifikavimo</w:t>
            </w:r>
            <w:r w:rsidRPr="00BE299C">
              <w:rPr>
                <w:rFonts w:hAnsi="Times New Roman" w:cs="Times New Roman"/>
                <w:lang w:val="lt-LT"/>
              </w:rPr>
              <w:t xml:space="preserve"> – s</w:t>
            </w:r>
            <w:r w:rsidR="00B51EE3" w:rsidRPr="00BE299C">
              <w:rPr>
                <w:rFonts w:hAnsi="Times New Roman" w:cs="Times New Roman"/>
                <w:lang w:val="lt-LT"/>
              </w:rPr>
              <w:t xml:space="preserve">ėkmingas </w:t>
            </w:r>
            <w:r w:rsidRPr="00BE299C">
              <w:rPr>
                <w:rFonts w:hAnsi="Times New Roman" w:cs="Times New Roman"/>
                <w:lang w:val="lt-LT"/>
              </w:rPr>
              <w:t xml:space="preserve">sektorinių </w:t>
            </w:r>
            <w:r w:rsidR="00B51EE3" w:rsidRPr="00BE299C">
              <w:rPr>
                <w:rFonts w:hAnsi="Times New Roman" w:cs="Times New Roman"/>
                <w:lang w:val="lt-LT"/>
              </w:rPr>
              <w:t xml:space="preserve">derybų dėl CEF </w:t>
            </w:r>
            <w:r w:rsidRPr="00BE299C">
              <w:rPr>
                <w:rFonts w:hAnsi="Times New Roman" w:cs="Times New Roman"/>
                <w:lang w:val="lt-LT"/>
              </w:rPr>
              <w:t xml:space="preserve">reglamento </w:t>
            </w:r>
            <w:r w:rsidR="00B51EE3" w:rsidRPr="00BE299C">
              <w:rPr>
                <w:rFonts w:hAnsi="Times New Roman" w:cs="Times New Roman"/>
                <w:lang w:val="lt-LT"/>
              </w:rPr>
              <w:t>užbaigimas</w:t>
            </w:r>
            <w:r w:rsidR="00406FB1" w:rsidRPr="00BE299C">
              <w:rPr>
                <w:rFonts w:hAnsi="Times New Roman" w:cs="Times New Roman"/>
                <w:lang w:val="lt-LT"/>
              </w:rPr>
              <w:t xml:space="preserve"> ir</w:t>
            </w:r>
            <w:r w:rsidR="00B51EE3" w:rsidRPr="00BE299C">
              <w:rPr>
                <w:rFonts w:hAnsi="Times New Roman" w:cs="Times New Roman"/>
                <w:lang w:val="lt-LT"/>
              </w:rPr>
              <w:t xml:space="preserve"> Baltijos valsty</w:t>
            </w:r>
            <w:r w:rsidR="00406FB1" w:rsidRPr="00BE299C">
              <w:rPr>
                <w:rFonts w:hAnsi="Times New Roman" w:cs="Times New Roman"/>
                <w:lang w:val="lt-LT"/>
              </w:rPr>
              <w:t>bėms</w:t>
            </w:r>
            <w:r w:rsidR="00B51EE3" w:rsidRPr="00BE299C">
              <w:rPr>
                <w:rFonts w:hAnsi="Times New Roman" w:cs="Times New Roman"/>
                <w:lang w:val="lt-LT"/>
              </w:rPr>
              <w:t xml:space="preserve"> svarbių </w:t>
            </w:r>
            <w:r w:rsidRPr="00BE299C">
              <w:rPr>
                <w:rFonts w:hAnsi="Times New Roman" w:cs="Times New Roman"/>
                <w:lang w:val="lt-LT"/>
              </w:rPr>
              <w:t xml:space="preserve">EVT išvadų elementų </w:t>
            </w:r>
            <w:r w:rsidR="00B51EE3" w:rsidRPr="00BE299C">
              <w:rPr>
                <w:rFonts w:hAnsi="Times New Roman" w:cs="Times New Roman"/>
                <w:lang w:val="lt-LT"/>
              </w:rPr>
              <w:t>perkėli</w:t>
            </w:r>
            <w:r w:rsidR="00406FB1" w:rsidRPr="00BE299C">
              <w:rPr>
                <w:rFonts w:hAnsi="Times New Roman" w:cs="Times New Roman"/>
                <w:lang w:val="lt-LT"/>
              </w:rPr>
              <w:t xml:space="preserve">mas į </w:t>
            </w:r>
            <w:r w:rsidR="00B51EE3" w:rsidRPr="00BE299C">
              <w:rPr>
                <w:rFonts w:hAnsi="Times New Roman" w:cs="Times New Roman"/>
                <w:lang w:val="lt-LT"/>
              </w:rPr>
              <w:t>reglamentą paskatintų skland</w:t>
            </w:r>
            <w:r w:rsidRPr="00BE299C">
              <w:rPr>
                <w:rFonts w:hAnsi="Times New Roman" w:cs="Times New Roman"/>
                <w:lang w:val="lt-LT"/>
              </w:rPr>
              <w:t xml:space="preserve">ų ES </w:t>
            </w:r>
            <w:r w:rsidR="00B51EE3" w:rsidRPr="00BE299C">
              <w:rPr>
                <w:rFonts w:hAnsi="Times New Roman" w:cs="Times New Roman"/>
                <w:lang w:val="lt-LT"/>
              </w:rPr>
              <w:t>nuosavų išteklių sprendimo ratifikavimo procesą.</w:t>
            </w:r>
          </w:p>
          <w:p w:rsidR="00406FB1" w:rsidRDefault="0085129B" w:rsidP="0032625D">
            <w:pPr>
              <w:pStyle w:val="BodyA"/>
              <w:jc w:val="both"/>
              <w:rPr>
                <w:rFonts w:hAnsi="Times New Roman" w:cs="Times New Roman"/>
                <w:lang w:val="lt-LT"/>
              </w:rPr>
            </w:pPr>
            <w:r w:rsidRPr="00BE299C">
              <w:rPr>
                <w:rFonts w:hAnsi="Times New Roman" w:cs="Times New Roman"/>
                <w:u w:val="single"/>
                <w:lang w:val="lt-LT"/>
              </w:rPr>
              <w:t>Dėl skolinimosi strategijos</w:t>
            </w:r>
            <w:r w:rsidRPr="00BE299C">
              <w:rPr>
                <w:rFonts w:hAnsi="Times New Roman" w:cs="Times New Roman"/>
                <w:lang w:val="lt-LT"/>
              </w:rPr>
              <w:t xml:space="preserve"> – </w:t>
            </w:r>
            <w:r w:rsidR="005107B8" w:rsidRPr="00BE299C">
              <w:rPr>
                <w:rFonts w:hAnsi="Times New Roman" w:cs="Times New Roman"/>
                <w:lang w:val="lt-LT"/>
              </w:rPr>
              <w:t>s</w:t>
            </w:r>
            <w:r w:rsidR="00406FB1" w:rsidRPr="00BE299C">
              <w:rPr>
                <w:rFonts w:hAnsi="Times New Roman" w:cs="Times New Roman"/>
                <w:lang w:val="lt-LT"/>
              </w:rPr>
              <w:t>veikiname EK paruošiamuosius veiksmus</w:t>
            </w:r>
            <w:r w:rsidRPr="00BE299C">
              <w:rPr>
                <w:rFonts w:hAnsi="Times New Roman" w:cs="Times New Roman"/>
                <w:lang w:val="lt-LT"/>
              </w:rPr>
              <w:t>,</w:t>
            </w:r>
            <w:r w:rsidR="00406FB1" w:rsidRPr="00BE299C">
              <w:rPr>
                <w:rFonts w:hAnsi="Times New Roman" w:cs="Times New Roman"/>
                <w:lang w:val="lt-LT"/>
              </w:rPr>
              <w:t xml:space="preserve"> siekiant sklandžiai įgyvendinti „Kitos kartos ES“. Svarbu užtikrinti, kad lėšos būtų laiku prieinamos.</w:t>
            </w:r>
          </w:p>
          <w:p w:rsidR="00D65D3A" w:rsidRPr="00E47362" w:rsidRDefault="00D65D3A" w:rsidP="0032625D">
            <w:pPr>
              <w:pStyle w:val="BodyA"/>
              <w:jc w:val="both"/>
              <w:rPr>
                <w:rFonts w:hAnsi="Times New Roman" w:cs="Times New Roman"/>
                <w:lang w:val="lt-LT"/>
              </w:rPr>
            </w:pPr>
          </w:p>
          <w:p w:rsidR="0032625D" w:rsidRPr="00E47362" w:rsidRDefault="0032625D" w:rsidP="0032625D">
            <w:pPr>
              <w:pStyle w:val="BodyA"/>
              <w:jc w:val="both"/>
              <w:rPr>
                <w:rFonts w:hAnsi="Times New Roman" w:cs="Times New Roman"/>
                <w:lang w:val="lt-LT"/>
              </w:rPr>
            </w:pPr>
            <w:r w:rsidRPr="00E47362">
              <w:rPr>
                <w:rFonts w:hAnsi="Times New Roman" w:cs="Times New Roman"/>
                <w:b/>
                <w:lang w:val="lt-LT"/>
              </w:rPr>
              <w:t>2.</w:t>
            </w:r>
            <w:r w:rsidRPr="00E47362">
              <w:rPr>
                <w:rFonts w:hAnsi="Times New Roman" w:cs="Times New Roman"/>
                <w:lang w:val="lt-LT"/>
              </w:rPr>
              <w:t xml:space="preserve"> </w:t>
            </w:r>
            <w:r w:rsidR="00085F32" w:rsidRPr="00E47362">
              <w:rPr>
                <w:rFonts w:hAnsi="Times New Roman" w:cs="Times New Roman"/>
                <w:b/>
                <w:lang w:val="lt-LT"/>
              </w:rPr>
              <w:t xml:space="preserve">2019 m. biudžeto įvykdymo patvirtinimo suteikimas Komisijai </w:t>
            </w:r>
            <w:r w:rsidR="00085F32" w:rsidRPr="00E47362">
              <w:rPr>
                <w:rFonts w:hAnsi="Times New Roman" w:cs="Times New Roman"/>
                <w:i/>
                <w:lang w:val="lt-LT"/>
              </w:rPr>
              <w:t>(Pirmininkaujančios šalies informacija)</w:t>
            </w:r>
          </w:p>
          <w:p w:rsidR="0032625D" w:rsidRPr="00E47362" w:rsidRDefault="0032625D" w:rsidP="002C15B7">
            <w:pPr>
              <w:pStyle w:val="BodyA"/>
              <w:jc w:val="both"/>
              <w:rPr>
                <w:rFonts w:hAnsi="Times New Roman" w:cs="Times New Roman"/>
                <w:highlight w:val="yellow"/>
                <w:lang w:val="lt-LT"/>
              </w:rPr>
            </w:pPr>
          </w:p>
          <w:p w:rsidR="00816959" w:rsidRPr="00E47362" w:rsidRDefault="00816959" w:rsidP="00816959">
            <w:pPr>
              <w:pStyle w:val="BodyA"/>
              <w:jc w:val="both"/>
              <w:rPr>
                <w:rFonts w:hAnsi="Times New Roman" w:cs="Times New Roman"/>
                <w:lang w:val="lt-LT"/>
              </w:rPr>
            </w:pPr>
            <w:r w:rsidRPr="00E47362">
              <w:rPr>
                <w:rFonts w:hAnsi="Times New Roman" w:cs="Times New Roman"/>
                <w:b/>
                <w:u w:val="single"/>
                <w:lang w:val="lt-LT"/>
              </w:rPr>
              <w:t>Klausimo esmė.</w:t>
            </w:r>
            <w:r w:rsidRPr="00E47362">
              <w:rPr>
                <w:rFonts w:hAnsi="Times New Roman" w:cs="Times New Roman"/>
                <w:lang w:val="lt-LT"/>
              </w:rPr>
              <w:t xml:space="preserve"> Tarybos rekomendacijoje Europos Parlamentui (toliau – EP) siūloma suteikti Europos Komisijai (toliau – EK) 2019 finansinių metų Europos Sąjungos (toliau – ES) biudžeto įvykdymo patvirtinimą. ES Tarybos rekomendacija parengta remiantis 2020 m. lapkričio 10 d. Europos Audito Rūmų (toliau – EAR) paskelbta metine ataskaita dėl 2019 metų ES biudžeto įvykdymo. Minėta ataskaita buvo nagrinėta Tarybos Biudžeto komiteto 2021 m. sausio-vasario mėn. posėdžiuose, diskusijų pagrindu parengta Tarybos rekomendacija. </w:t>
            </w:r>
          </w:p>
          <w:p w:rsidR="00816959" w:rsidRPr="00E47362" w:rsidRDefault="00816959" w:rsidP="00816959">
            <w:pPr>
              <w:pStyle w:val="BodyA"/>
              <w:jc w:val="both"/>
              <w:rPr>
                <w:rFonts w:hAnsi="Times New Roman" w:cs="Times New Roman"/>
                <w:lang w:val="lt-LT"/>
              </w:rPr>
            </w:pP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Pagrindiniai Tarybos rekomendacijoje išdėstyti elementai:</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Taryba sveikina EAR išvadą, kad ES finansinės ataskaitos tikrai ir teisingai atspindėjo ES f</w:t>
            </w:r>
            <w:r w:rsidRPr="00E47362">
              <w:rPr>
                <w:rFonts w:hAnsi="Times New Roman" w:cs="Times New Roman"/>
                <w:lang w:val="lt-LT"/>
              </w:rPr>
              <w:t>i</w:t>
            </w:r>
            <w:r w:rsidRPr="00E47362">
              <w:rPr>
                <w:rFonts w:hAnsi="Times New Roman" w:cs="Times New Roman"/>
                <w:lang w:val="lt-LT"/>
              </w:rPr>
              <w:t>nansinės padėties būklę, bei tai, kad Rūmai pateikė teigiamą išvadą dėl 2019 m. finansinių at</w:t>
            </w:r>
            <w:r w:rsidRPr="00E47362">
              <w:rPr>
                <w:rFonts w:hAnsi="Times New Roman" w:cs="Times New Roman"/>
                <w:lang w:val="lt-LT"/>
              </w:rPr>
              <w:t>a</w:t>
            </w:r>
            <w:r w:rsidRPr="00E47362">
              <w:rPr>
                <w:rFonts w:hAnsi="Times New Roman" w:cs="Times New Roman"/>
                <w:lang w:val="lt-LT"/>
              </w:rPr>
              <w:t>skaitų patikimumo.</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Taryba taip pat džiaugiasi, kad ES pajamos buvo teisėtos ir tvarkingos ir klaidų lygis šioje sr</w:t>
            </w:r>
            <w:r w:rsidRPr="00E47362">
              <w:rPr>
                <w:rFonts w:hAnsi="Times New Roman" w:cs="Times New Roman"/>
                <w:lang w:val="lt-LT"/>
              </w:rPr>
              <w:t>i</w:t>
            </w:r>
            <w:r w:rsidRPr="00E47362">
              <w:rPr>
                <w:rFonts w:hAnsi="Times New Roman" w:cs="Times New Roman"/>
                <w:lang w:val="lt-LT"/>
              </w:rPr>
              <w:t>tyje nebuvo reikšmingas.</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Reiškiamas apgailestavimas, kad EAR pateikė neigiamą nuomonę dėl mokėjimų teisėtumo ir tvarkingumo ir išvados, kad išlaidos buvo reikšmingai paveiktos klaidų lygio.</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xml:space="preserve">- Taryba apgailestauja, kad mokėjimai yra paveikti reikšmingo klaidų lygio (2,7%) ir kad jis </w:t>
            </w:r>
            <w:r w:rsidRPr="00E47362">
              <w:rPr>
                <w:rFonts w:hAnsi="Times New Roman" w:cs="Times New Roman"/>
                <w:lang w:val="lt-LT"/>
              </w:rPr>
              <w:lastRenderedPageBreak/>
              <w:t>padidėjo antrus metus iš eilės. Taryba įvertino tai, kad daugiau nei pusė šių pajamų yra reik</w:t>
            </w:r>
            <w:r w:rsidRPr="00E47362">
              <w:rPr>
                <w:rFonts w:hAnsi="Times New Roman" w:cs="Times New Roman"/>
                <w:lang w:val="lt-LT"/>
              </w:rPr>
              <w:t>š</w:t>
            </w:r>
            <w:r w:rsidRPr="00E47362">
              <w:rPr>
                <w:rFonts w:hAnsi="Times New Roman" w:cs="Times New Roman"/>
                <w:lang w:val="lt-LT"/>
              </w:rPr>
              <w:t>mingai paveiktos klaidų. Tai lėmė tai, jog dauguma šių išlaidų yra kompensavimu paremtos i</w:t>
            </w:r>
            <w:r w:rsidRPr="00E47362">
              <w:rPr>
                <w:rFonts w:hAnsi="Times New Roman" w:cs="Times New Roman"/>
                <w:lang w:val="lt-LT"/>
              </w:rPr>
              <w:t>š</w:t>
            </w:r>
            <w:r w:rsidRPr="00E47362">
              <w:rPr>
                <w:rFonts w:hAnsi="Times New Roman" w:cs="Times New Roman"/>
                <w:lang w:val="lt-LT"/>
              </w:rPr>
              <w:t>laidos, kuriose nustatytas klaidų lygis siekia 4,9%.</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xml:space="preserve">- Taryba džiaugiasi, jog klaidų lygis Sanglaudos politikos srityje ir išlaidų kategorijoje ,,Gamtos ištekliai“ sumažėjo ir 2019 m. siekė atitinkamai 4,4% ir 1,9% lygį, nors klaidų lygis Sanglaudos politikos srityje vis dar reikšmingai viršija 2% reikšmingumo ribą. Pabrėžiama, kad pagrindinė tokio aukšto klaidų lygio priežastis – sudėtingos taisyklės, ir sveikinami kitoje Daugiametėje finansinėje programoje numatyti reikalavimų supaprastinimai.  </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Taryba taip pat atkreipia dėmesį, kad ES biudžeto programų įgyvendinimas yra daugiametis – jau po EAR atlikto audito yra taikomos įvairios korekcinės priemonės, po kurių galutinis klaidų lygis nukrenta  žemiau 2 proc. reikšmingumo ribos.</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Taryba apgailestauja, jog „Konkurencingumo“ išlaidų srityje per metus klaidų lygis išaugo dvigubai (iki 4%), ir ženkliai viršija 2% reikšmingumo ribą.</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Taryba apgailestauja, kad EAR neįvertino klaidų lygio ES biudžeto kategorijose: „Saugumas ir pilietybė“ bei „Europos vaidmuo pasaulyje“.</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Taryba džiaugiasi, kad administracinių išlaidų srityje klaidų lygis nebuvo reikšmingas.</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 EAR šiais metais pirmą kartą pateikė savo ES biudžeto veiksmingumo ataskaitą. Ši ataskaita buvo skirta įvertinti veiksmingumo informaciją ir atskirų ES programų veiksmingumą. Taryba pripažįsta, kad Komisijos veiksmingumo informacija yra vis geresnės kokybės ir labiau subala</w:t>
            </w:r>
            <w:r w:rsidRPr="00E47362">
              <w:rPr>
                <w:rFonts w:hAnsi="Times New Roman" w:cs="Times New Roman"/>
                <w:lang w:val="lt-LT"/>
              </w:rPr>
              <w:t>n</w:t>
            </w:r>
            <w:r w:rsidRPr="00E47362">
              <w:rPr>
                <w:rFonts w:hAnsi="Times New Roman" w:cs="Times New Roman"/>
                <w:lang w:val="lt-LT"/>
              </w:rPr>
              <w:t>suota bei skatina Komisiją toliau dėti pastangas didinant veiksmingumo informacijos patikim</w:t>
            </w:r>
            <w:r w:rsidRPr="00E47362">
              <w:rPr>
                <w:rFonts w:hAnsi="Times New Roman" w:cs="Times New Roman"/>
                <w:lang w:val="lt-LT"/>
              </w:rPr>
              <w:t>u</w:t>
            </w:r>
            <w:r w:rsidRPr="00E47362">
              <w:rPr>
                <w:rFonts w:hAnsi="Times New Roman" w:cs="Times New Roman"/>
                <w:lang w:val="lt-LT"/>
              </w:rPr>
              <w:t>mą.</w:t>
            </w:r>
          </w:p>
          <w:p w:rsidR="00816959" w:rsidRPr="00E47362" w:rsidRDefault="00816959" w:rsidP="00816959">
            <w:pPr>
              <w:pStyle w:val="BodyA"/>
              <w:jc w:val="both"/>
              <w:rPr>
                <w:rFonts w:hAnsi="Times New Roman" w:cs="Times New Roman"/>
                <w:lang w:val="lt-LT"/>
              </w:rPr>
            </w:pPr>
            <w:r w:rsidRPr="00E47362">
              <w:rPr>
                <w:rFonts w:hAnsi="Times New Roman" w:cs="Times New Roman"/>
                <w:lang w:val="lt-LT"/>
              </w:rPr>
              <w:t>EP suteikus 2019 metų ES biudžeto įvykdymo patvirtinimą EK, būtų užbaigta 2019 metų ES biudžeto procedūra.</w:t>
            </w:r>
          </w:p>
          <w:p w:rsidR="00816959" w:rsidRPr="00E47362" w:rsidRDefault="00816959" w:rsidP="00816959">
            <w:pPr>
              <w:pStyle w:val="BodyA"/>
              <w:jc w:val="both"/>
              <w:rPr>
                <w:rFonts w:hAnsi="Times New Roman" w:cs="Times New Roman"/>
                <w:lang w:val="lt-LT"/>
              </w:rPr>
            </w:pPr>
          </w:p>
          <w:p w:rsidR="00816959" w:rsidRPr="00E47362" w:rsidRDefault="00816959" w:rsidP="00816959">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Lietuva pritaria Tarybos rekomendacijai. Parengtas tekstas subalansuotas, jame tinkamai atspindėtas Tarybos vertinimas dėl EAR pateiktos nuomonės. Džiaugiamės, kad dviejose didžiausiose išlaidų kategorijose – Sanglaudos ir žemės ūkio – klaidų lygis 2019 m. sumažėjo, o žemės ūkio išlaidų srityje klaidų lygis pirmą kartą buvo mažesnis nei 2proc. reik</w:t>
            </w:r>
            <w:r w:rsidRPr="00E47362">
              <w:rPr>
                <w:rFonts w:hAnsi="Times New Roman" w:cs="Times New Roman"/>
                <w:lang w:val="lt-LT"/>
              </w:rPr>
              <w:t>š</w:t>
            </w:r>
            <w:r w:rsidRPr="00E47362">
              <w:rPr>
                <w:rFonts w:hAnsi="Times New Roman" w:cs="Times New Roman"/>
                <w:lang w:val="lt-LT"/>
              </w:rPr>
              <w:t>mingumo riba (ir siekė 1,9 proc.). Tuo pačiu apgailestaujame dėl neigiamos EAR nuomonės apie 2019 m. ES biudžeto išlaidų teisėtumą ir tvarkingumą bei toliau remiame siekį gerinti ES lėšų finansinį valdymą.</w:t>
            </w:r>
          </w:p>
          <w:p w:rsidR="00E1240D" w:rsidRPr="00E47362" w:rsidRDefault="00E1240D" w:rsidP="0032625D">
            <w:pPr>
              <w:pStyle w:val="BodyA"/>
              <w:jc w:val="both"/>
              <w:rPr>
                <w:lang w:val="lt-LT"/>
              </w:rPr>
            </w:pPr>
          </w:p>
          <w:p w:rsidR="004226F1" w:rsidRPr="00E47362" w:rsidRDefault="00E1240D" w:rsidP="00E1240D">
            <w:pPr>
              <w:pStyle w:val="BodyA"/>
              <w:jc w:val="both"/>
              <w:rPr>
                <w:rFonts w:hAnsi="Times New Roman" w:cs="Times New Roman"/>
                <w:b/>
                <w:lang w:val="lt-LT"/>
              </w:rPr>
            </w:pPr>
            <w:r w:rsidRPr="00E47362">
              <w:rPr>
                <w:rFonts w:hAnsi="Times New Roman" w:cs="Times New Roman"/>
                <w:b/>
                <w:lang w:val="lt-LT"/>
              </w:rPr>
              <w:t>3.</w:t>
            </w:r>
            <w:r w:rsidRPr="00E47362">
              <w:rPr>
                <w:rFonts w:hAnsi="Times New Roman" w:cs="Times New Roman"/>
                <w:lang w:val="lt-LT"/>
              </w:rPr>
              <w:t xml:space="preserve"> </w:t>
            </w:r>
            <w:r w:rsidR="00085F32" w:rsidRPr="00E47362">
              <w:rPr>
                <w:rFonts w:hAnsi="Times New Roman" w:cs="Times New Roman"/>
                <w:b/>
                <w:lang w:val="lt-LT"/>
              </w:rPr>
              <w:t>2022 m. biudžeto gairės</w:t>
            </w:r>
            <w:r w:rsidR="00085F32" w:rsidRPr="00E47362">
              <w:rPr>
                <w:rFonts w:hAnsi="Times New Roman" w:cs="Times New Roman"/>
                <w:lang w:val="lt-LT"/>
              </w:rPr>
              <w:t xml:space="preserve"> </w:t>
            </w:r>
            <w:r w:rsidR="004226F1" w:rsidRPr="00E47362">
              <w:rPr>
                <w:rFonts w:hAnsi="Times New Roman" w:cs="Times New Roman"/>
                <w:i/>
                <w:lang w:val="lt-LT"/>
              </w:rPr>
              <w:t>(</w:t>
            </w:r>
            <w:r w:rsidR="00085F32" w:rsidRPr="00E47362">
              <w:rPr>
                <w:rFonts w:hAnsi="Times New Roman" w:cs="Times New Roman"/>
                <w:i/>
                <w:lang w:val="lt-LT"/>
              </w:rPr>
              <w:t>Pirmininkaujančios šalies informacija</w:t>
            </w:r>
            <w:r w:rsidR="004226F1" w:rsidRPr="00E47362">
              <w:rPr>
                <w:rFonts w:hAnsi="Times New Roman" w:cs="Times New Roman"/>
                <w:i/>
                <w:lang w:val="lt-LT"/>
              </w:rPr>
              <w:t>)</w:t>
            </w:r>
          </w:p>
          <w:p w:rsidR="00816959" w:rsidRPr="00816959"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sz w:val="23"/>
                <w:szCs w:val="23"/>
                <w:bdr w:val="none" w:sz="0" w:space="0" w:color="auto"/>
                <w:lang w:val="lt-LT"/>
              </w:rPr>
            </w:pPr>
            <w:r w:rsidRPr="00816959">
              <w:rPr>
                <w:rFonts w:eastAsia="Calibri"/>
                <w:b/>
                <w:sz w:val="23"/>
                <w:szCs w:val="23"/>
                <w:u w:val="single"/>
                <w:bdr w:val="none" w:sz="0" w:space="0" w:color="auto"/>
                <w:lang w:val="lt-LT"/>
              </w:rPr>
              <w:t>Klausimo esmė:</w:t>
            </w:r>
            <w:r w:rsidRPr="00816959">
              <w:rPr>
                <w:rFonts w:eastAsia="Calibri"/>
                <w:sz w:val="23"/>
                <w:szCs w:val="23"/>
                <w:bdr w:val="none" w:sz="0" w:space="0" w:color="auto"/>
                <w:lang w:val="lt-LT"/>
              </w:rPr>
              <w:t xml:space="preserve"> Kaip ir kasmet, ruošdamasi metinei ES biudžeto procedūrai, Taryba parengė išv</w:t>
            </w:r>
            <w:r w:rsidRPr="00816959">
              <w:rPr>
                <w:rFonts w:eastAsia="Calibri"/>
                <w:sz w:val="23"/>
                <w:szCs w:val="23"/>
                <w:bdr w:val="none" w:sz="0" w:space="0" w:color="auto"/>
                <w:lang w:val="lt-LT"/>
              </w:rPr>
              <w:t>a</w:t>
            </w:r>
            <w:r w:rsidRPr="00816959">
              <w:rPr>
                <w:rFonts w:eastAsia="Calibri"/>
                <w:sz w:val="23"/>
                <w:szCs w:val="23"/>
                <w:bdr w:val="none" w:sz="0" w:space="0" w:color="auto"/>
                <w:lang w:val="lt-LT"/>
              </w:rPr>
              <w:t xml:space="preserve">das dėl 2022 m. ES biudžeto gairių, kuriose išdėstyti Tarybos prioritetai biudžeto formavimo srityje, pateiktos bendro pobūdžio pastabos ir rekomendacijos, koks turėtų būti kitų metų ES biudžetas ir kaip jis turėtų būti administruojamas. </w:t>
            </w:r>
          </w:p>
          <w:p w:rsidR="00816959" w:rsidRPr="00816959"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dr w:val="none" w:sz="0" w:space="0" w:color="auto"/>
                <w:lang w:val="lt-LT" w:eastAsia="lt-LT"/>
              </w:rPr>
            </w:pPr>
          </w:p>
          <w:p w:rsidR="00816959" w:rsidRPr="00816959"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dr w:val="none" w:sz="0" w:space="0" w:color="auto"/>
                <w:lang w:val="lt-LT" w:eastAsia="lt-LT"/>
              </w:rPr>
            </w:pPr>
            <w:r w:rsidRPr="00816959">
              <w:rPr>
                <w:rFonts w:eastAsia="Times New Roman"/>
                <w:b/>
                <w:bdr w:val="none" w:sz="0" w:space="0" w:color="auto"/>
                <w:lang w:val="lt-LT" w:eastAsia="lt-LT"/>
              </w:rPr>
              <w:t>Pagrindiniai 2022 m. biudžeto gairių elementai:</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dr w:val="none" w:sz="0" w:space="0" w:color="auto"/>
                <w:lang w:val="lt-LT"/>
              </w:rPr>
              <w:t xml:space="preserve">Pabrėžiama, kad biudžetas prisidės prie Europos Sąjungos ekonomikos atsigavimo po COVID-19 pandemijos ir bus papildytas </w:t>
            </w:r>
            <w:r w:rsidRPr="00816959">
              <w:rPr>
                <w:rFonts w:eastAsia="Calibri"/>
                <w:b/>
                <w:bdr w:val="none" w:sz="0" w:space="0" w:color="auto"/>
                <w:lang w:val="lt-LT"/>
              </w:rPr>
              <w:t xml:space="preserve">Europos Sąjungos ekonomikos gaivinimo priemonės (NGEU) </w:t>
            </w:r>
            <w:r w:rsidRPr="00816959">
              <w:rPr>
                <w:rFonts w:eastAsia="Calibri"/>
                <w:bdr w:val="none" w:sz="0" w:space="0" w:color="auto"/>
                <w:lang w:val="lt-LT"/>
              </w:rPr>
              <w:t>lėšomis.</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dr w:val="none" w:sz="0" w:space="0" w:color="auto"/>
                <w:lang w:val="lt-LT"/>
              </w:rPr>
              <w:t>Taryba pabrėžia, kad ES biudžetas turėtų būti įgyvendinamas laikantis jo formavimui taikomų principų.</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dr w:val="none" w:sz="0" w:space="0" w:color="auto"/>
                <w:lang w:val="lt-LT"/>
              </w:rPr>
              <w:t>Prašoma Komisijos 2022 m. biudžeto projektą pateikti kaip galima anksčiau.</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
                <w:bdr w:val="none" w:sz="0" w:space="0" w:color="auto"/>
                <w:lang w:val="lt-LT"/>
              </w:rPr>
              <w:t xml:space="preserve">Realistiškas biudžetas </w:t>
            </w:r>
            <w:r w:rsidRPr="00816959">
              <w:rPr>
                <w:rFonts w:eastAsia="Calibri"/>
                <w:bdr w:val="none" w:sz="0" w:space="0" w:color="auto"/>
                <w:lang w:val="lt-LT"/>
              </w:rPr>
              <w:t xml:space="preserve">(angl. </w:t>
            </w:r>
            <w:proofErr w:type="spellStart"/>
            <w:r w:rsidRPr="00816959">
              <w:rPr>
                <w:rFonts w:eastAsia="Calibri"/>
                <w:i/>
                <w:bdr w:val="none" w:sz="0" w:space="0" w:color="auto"/>
                <w:lang w:val="lt-LT"/>
              </w:rPr>
              <w:t>realistic</w:t>
            </w:r>
            <w:proofErr w:type="spellEnd"/>
            <w:r w:rsidRPr="00816959">
              <w:rPr>
                <w:rFonts w:eastAsia="Calibri"/>
                <w:i/>
                <w:bdr w:val="none" w:sz="0" w:space="0" w:color="auto"/>
                <w:lang w:val="lt-LT"/>
              </w:rPr>
              <w:t xml:space="preserve"> </w:t>
            </w:r>
            <w:proofErr w:type="spellStart"/>
            <w:r w:rsidRPr="00816959">
              <w:rPr>
                <w:rFonts w:eastAsia="Calibri"/>
                <w:i/>
                <w:bdr w:val="none" w:sz="0" w:space="0" w:color="auto"/>
                <w:lang w:val="lt-LT"/>
              </w:rPr>
              <w:t>budget</w:t>
            </w:r>
            <w:proofErr w:type="spellEnd"/>
            <w:r w:rsidRPr="00816959">
              <w:rPr>
                <w:rFonts w:eastAsia="Calibri"/>
                <w:bdr w:val="none" w:sz="0" w:space="0" w:color="auto"/>
                <w:lang w:val="lt-LT"/>
              </w:rPr>
              <w:t>) – biudžetas turi būti paremtas realiais p</w:t>
            </w:r>
            <w:r w:rsidRPr="00816959">
              <w:rPr>
                <w:rFonts w:eastAsia="Calibri"/>
                <w:bdr w:val="none" w:sz="0" w:space="0" w:color="auto"/>
                <w:lang w:val="lt-LT"/>
              </w:rPr>
              <w:t>o</w:t>
            </w:r>
            <w:r w:rsidRPr="00816959">
              <w:rPr>
                <w:rFonts w:eastAsia="Calibri"/>
                <w:bdr w:val="none" w:sz="0" w:space="0" w:color="auto"/>
                <w:lang w:val="lt-LT"/>
              </w:rPr>
              <w:t>reikiais, paliekant pakankamas maržas. Šis biudžetas turi užtikrinti, kad bus pakankamai resursų įgyvendinti tiek anksčiau prisiimtus, tiek naujos DFP įsipareigojimus. Pagrįstais atvejais galėtų būti naudojami specialieji instrumentai.</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
                <w:bdr w:val="none" w:sz="0" w:space="0" w:color="auto"/>
                <w:lang w:val="lt-LT"/>
              </w:rPr>
              <w:t xml:space="preserve"> Minimalus taisomųjų biudžetų </w:t>
            </w:r>
            <w:r w:rsidRPr="00816959">
              <w:rPr>
                <w:rFonts w:eastAsia="Calibri"/>
                <w:bdr w:val="none" w:sz="0" w:space="0" w:color="auto"/>
                <w:lang w:val="lt-LT"/>
              </w:rPr>
              <w:t xml:space="preserve">(angl. </w:t>
            </w:r>
            <w:proofErr w:type="spellStart"/>
            <w:r w:rsidRPr="00816959">
              <w:rPr>
                <w:rFonts w:eastAsia="Calibri"/>
                <w:i/>
                <w:bdr w:val="none" w:sz="0" w:space="0" w:color="auto"/>
                <w:lang w:val="lt-LT"/>
              </w:rPr>
              <w:t>amending</w:t>
            </w:r>
            <w:proofErr w:type="spellEnd"/>
            <w:r w:rsidRPr="00816959">
              <w:rPr>
                <w:rFonts w:eastAsia="Calibri"/>
                <w:i/>
                <w:bdr w:val="none" w:sz="0" w:space="0" w:color="auto"/>
                <w:lang w:val="lt-LT"/>
              </w:rPr>
              <w:t xml:space="preserve"> </w:t>
            </w:r>
            <w:proofErr w:type="spellStart"/>
            <w:r w:rsidRPr="00816959">
              <w:rPr>
                <w:rFonts w:eastAsia="Calibri"/>
                <w:i/>
                <w:bdr w:val="none" w:sz="0" w:space="0" w:color="auto"/>
                <w:lang w:val="lt-LT"/>
              </w:rPr>
              <w:t>budgets</w:t>
            </w:r>
            <w:proofErr w:type="spellEnd"/>
            <w:r w:rsidRPr="00816959">
              <w:rPr>
                <w:rFonts w:eastAsia="Calibri"/>
                <w:bdr w:val="none" w:sz="0" w:space="0" w:color="auto"/>
                <w:lang w:val="lt-LT"/>
              </w:rPr>
              <w:t>)</w:t>
            </w:r>
            <w:r w:rsidRPr="00816959">
              <w:rPr>
                <w:rFonts w:eastAsia="Calibri"/>
                <w:b/>
                <w:bdr w:val="none" w:sz="0" w:space="0" w:color="auto"/>
                <w:lang w:val="lt-LT"/>
              </w:rPr>
              <w:t xml:space="preserve"> skaičius</w:t>
            </w:r>
            <w:r w:rsidRPr="00816959">
              <w:rPr>
                <w:rFonts w:eastAsia="Calibri"/>
                <w:bdr w:val="none" w:sz="0" w:space="0" w:color="auto"/>
                <w:lang w:val="lt-LT"/>
              </w:rPr>
              <w:t>. Taisomieji biudž</w:t>
            </w:r>
            <w:r w:rsidRPr="00816959">
              <w:rPr>
                <w:rFonts w:eastAsia="Calibri"/>
                <w:bdr w:val="none" w:sz="0" w:space="0" w:color="auto"/>
                <w:lang w:val="lt-LT"/>
              </w:rPr>
              <w:t>e</w:t>
            </w:r>
            <w:r w:rsidRPr="00816959">
              <w:rPr>
                <w:rFonts w:eastAsia="Calibri"/>
                <w:bdr w:val="none" w:sz="0" w:space="0" w:color="auto"/>
                <w:lang w:val="lt-LT"/>
              </w:rPr>
              <w:t>tai turi būti pateikti taip, kad būtų pakankamai laiko juos išnagrinėti ir turėtų būti pi</w:t>
            </w:r>
            <w:r w:rsidRPr="00816959">
              <w:rPr>
                <w:rFonts w:eastAsia="Calibri"/>
                <w:bdr w:val="none" w:sz="0" w:space="0" w:color="auto"/>
                <w:lang w:val="lt-LT"/>
              </w:rPr>
              <w:t>r</w:t>
            </w:r>
            <w:r w:rsidRPr="00816959">
              <w:rPr>
                <w:rFonts w:eastAsia="Calibri"/>
                <w:bdr w:val="none" w:sz="0" w:space="0" w:color="auto"/>
                <w:lang w:val="lt-LT"/>
              </w:rPr>
              <w:t>miausia finansuojami perskirstant resursus. Taisomųjų biudžetų projektai, susiję su p</w:t>
            </w:r>
            <w:r w:rsidRPr="00816959">
              <w:rPr>
                <w:rFonts w:eastAsia="Calibri"/>
                <w:bdr w:val="none" w:sz="0" w:space="0" w:color="auto"/>
                <w:lang w:val="lt-LT"/>
              </w:rPr>
              <w:t>a</w:t>
            </w:r>
            <w:r w:rsidRPr="00816959">
              <w:rPr>
                <w:rFonts w:eastAsia="Calibri"/>
                <w:bdr w:val="none" w:sz="0" w:space="0" w:color="auto"/>
                <w:lang w:val="lt-LT"/>
              </w:rPr>
              <w:t xml:space="preserve">jamomis, turi būti teikiami atskirai ir kaip galima greičiau. </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dr w:val="none" w:sz="0" w:space="0" w:color="auto"/>
                <w:lang w:val="lt-LT"/>
              </w:rPr>
              <w:t>Aiškių, išsamių ir informatyvių dokumentų</w:t>
            </w:r>
            <w:r w:rsidRPr="00816959">
              <w:rPr>
                <w:rFonts w:eastAsia="Calibri"/>
                <w:b/>
                <w:bdr w:val="none" w:sz="0" w:space="0" w:color="auto"/>
                <w:lang w:val="lt-LT"/>
              </w:rPr>
              <w:t xml:space="preserve">, susijusių su ES biudžetu, </w:t>
            </w:r>
            <w:r w:rsidRPr="00816959">
              <w:rPr>
                <w:rFonts w:eastAsia="Calibri"/>
                <w:bdr w:val="none" w:sz="0" w:space="0" w:color="auto"/>
                <w:lang w:val="lt-LT"/>
              </w:rPr>
              <w:t>informacijos apie</w:t>
            </w:r>
            <w:r w:rsidRPr="00816959">
              <w:rPr>
                <w:rFonts w:eastAsia="Calibri"/>
                <w:b/>
                <w:bdr w:val="none" w:sz="0" w:space="0" w:color="auto"/>
                <w:lang w:val="lt-LT"/>
              </w:rPr>
              <w:t xml:space="preserve"> Europos Sąjungos ekonomikos gaivinimo priemonę </w:t>
            </w:r>
            <w:r w:rsidRPr="00816959">
              <w:rPr>
                <w:rFonts w:eastAsia="Calibri"/>
                <w:bdr w:val="none" w:sz="0" w:space="0" w:color="auto"/>
                <w:lang w:val="lt-LT"/>
              </w:rPr>
              <w:t>ir pajamas pateikimas Tarybai.</w:t>
            </w:r>
          </w:p>
          <w:p w:rsidR="00816959" w:rsidRPr="00816959" w:rsidRDefault="00816959" w:rsidP="00C201F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
                <w:bdr w:val="none" w:sz="0" w:space="0" w:color="auto"/>
                <w:lang w:val="lt-LT"/>
              </w:rPr>
              <w:t>Administravimui skirtų išlaidų efektyvumo didinimas</w:t>
            </w:r>
            <w:r w:rsidRPr="00816959">
              <w:rPr>
                <w:rFonts w:eastAsia="Calibri"/>
                <w:bdr w:val="none" w:sz="0" w:space="0" w:color="auto"/>
                <w:lang w:val="lt-LT"/>
              </w:rPr>
              <w:t xml:space="preserve"> visose ES institucijose (įska</w:t>
            </w:r>
            <w:r w:rsidRPr="00816959">
              <w:rPr>
                <w:rFonts w:eastAsia="Calibri"/>
                <w:bdr w:val="none" w:sz="0" w:space="0" w:color="auto"/>
                <w:lang w:val="lt-LT"/>
              </w:rPr>
              <w:t>i</w:t>
            </w:r>
            <w:r w:rsidRPr="00816959">
              <w:rPr>
                <w:rFonts w:eastAsia="Calibri"/>
                <w:bdr w:val="none" w:sz="0" w:space="0" w:color="auto"/>
                <w:lang w:val="lt-LT"/>
              </w:rPr>
              <w:t>tant agentūras) ir pagrįstas personalo darbuotojų skaičius.</w:t>
            </w:r>
          </w:p>
          <w:p w:rsidR="00816959" w:rsidRPr="00816959"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color w:val="000000"/>
                <w:bdr w:val="none" w:sz="0" w:space="0" w:color="auto"/>
                <w:lang w:val="lt-LT" w:eastAsia="lt-LT" w:bidi="lt-LT"/>
              </w:rPr>
            </w:pPr>
          </w:p>
          <w:p w:rsidR="00816959" w:rsidRPr="00816959"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
                <w:u w:val="single"/>
                <w:bdr w:val="none" w:sz="0" w:space="0" w:color="auto"/>
                <w:lang w:val="lt-LT"/>
              </w:rPr>
              <w:t>Lietuvos pozicija</w:t>
            </w:r>
            <w:r w:rsidRPr="00816959">
              <w:rPr>
                <w:rFonts w:eastAsia="Calibri"/>
                <w:bdr w:val="none" w:sz="0" w:space="0" w:color="auto"/>
                <w:lang w:val="lt-LT"/>
              </w:rPr>
              <w:t xml:space="preserve">: </w:t>
            </w:r>
            <w:r w:rsidRPr="00E47362">
              <w:rPr>
                <w:rFonts w:eastAsia="Calibri"/>
                <w:bdr w:val="none" w:sz="0" w:space="0" w:color="auto"/>
                <w:lang w:val="lt-LT"/>
              </w:rPr>
              <w:t xml:space="preserve">Pritariame Pirmininkaujančios šalies parengtam išvadų projektui. </w:t>
            </w:r>
            <w:r w:rsidRPr="00816959">
              <w:rPr>
                <w:rFonts w:eastAsia="Calibri"/>
                <w:bdr w:val="none" w:sz="0" w:space="0" w:color="auto"/>
                <w:lang w:val="lt-LT"/>
              </w:rPr>
              <w:t>Lietuva dėkinga Pirm. šaliai už atliktą darbą rengiant Tarybos išvadas dėl 2022 m. ES biudžeto gairių, kurios bus svarbus atspirties taškas būsimose derybose dėl ES biu</w:t>
            </w:r>
            <w:r w:rsidRPr="00E47362">
              <w:rPr>
                <w:rFonts w:eastAsia="Calibri"/>
                <w:bdr w:val="none" w:sz="0" w:space="0" w:color="auto"/>
                <w:lang w:val="lt-LT"/>
              </w:rPr>
              <w:t xml:space="preserve">džeto. </w:t>
            </w:r>
            <w:r w:rsidRPr="00816959">
              <w:rPr>
                <w:rFonts w:eastAsia="Calibri"/>
                <w:bdr w:val="none" w:sz="0" w:space="0" w:color="auto"/>
                <w:lang w:val="lt-LT"/>
              </w:rPr>
              <w:t>Manome, kad parengtas subalansuotas tekstas, tinkamai atspindintis valstybių narių požiūriu svarbiausius būsimos bi</w:t>
            </w:r>
            <w:r w:rsidRPr="00816959">
              <w:rPr>
                <w:rFonts w:eastAsia="Calibri"/>
                <w:bdr w:val="none" w:sz="0" w:space="0" w:color="auto"/>
                <w:lang w:val="lt-LT"/>
              </w:rPr>
              <w:t>u</w:t>
            </w:r>
            <w:r w:rsidRPr="00816959">
              <w:rPr>
                <w:rFonts w:eastAsia="Calibri"/>
                <w:bdr w:val="none" w:sz="0" w:space="0" w:color="auto"/>
                <w:lang w:val="lt-LT"/>
              </w:rPr>
              <w:t xml:space="preserve">džeto procedūros elementus. </w:t>
            </w:r>
          </w:p>
          <w:p w:rsidR="00E1240D" w:rsidRPr="00E47362" w:rsidRDefault="00816959" w:rsidP="0081695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16959">
              <w:rPr>
                <w:rFonts w:eastAsia="Calibri"/>
                <w:bdr w:val="none" w:sz="0" w:space="0" w:color="auto"/>
                <w:lang w:val="lt-LT"/>
              </w:rPr>
              <w:t>Lietuva pabrėžia, kad 2022 m. biudžete turi būti užtikrinti pakankami finansiniai resursai tiek pagal 2014-2020 m. DFP prisiimtiems įsipareigojimams padengti, tiek naujos DFP tikslams ir prioritetams įgyvendinti.</w:t>
            </w:r>
            <w:r w:rsidRPr="00E47362">
              <w:rPr>
                <w:rFonts w:eastAsia="Calibri"/>
                <w:bdr w:val="none" w:sz="0" w:space="0" w:color="auto"/>
                <w:lang w:val="lt-LT"/>
              </w:rPr>
              <w:t xml:space="preserve"> </w:t>
            </w:r>
          </w:p>
          <w:p w:rsidR="00E1240D" w:rsidRPr="00E47362" w:rsidRDefault="00E1240D" w:rsidP="00E1240D">
            <w:pPr>
              <w:pStyle w:val="BodyA"/>
              <w:jc w:val="both"/>
              <w:rPr>
                <w:lang w:val="lt-LT"/>
              </w:rPr>
            </w:pPr>
          </w:p>
          <w:p w:rsidR="004226F1" w:rsidRPr="00E47362" w:rsidRDefault="00E1240D" w:rsidP="004226F1">
            <w:pPr>
              <w:pStyle w:val="BodyA"/>
              <w:jc w:val="both"/>
              <w:rPr>
                <w:rFonts w:hAnsi="Times New Roman" w:cs="Times New Roman"/>
                <w:b/>
                <w:lang w:val="lt-LT"/>
              </w:rPr>
            </w:pPr>
            <w:r w:rsidRPr="00E47362">
              <w:rPr>
                <w:rFonts w:hAnsi="Times New Roman" w:cs="Times New Roman"/>
                <w:b/>
                <w:lang w:val="lt-LT"/>
              </w:rPr>
              <w:t xml:space="preserve">4. </w:t>
            </w:r>
            <w:r w:rsidR="00085F32" w:rsidRPr="00E47362">
              <w:rPr>
                <w:rFonts w:hAnsi="Times New Roman" w:cs="Times New Roman"/>
                <w:b/>
                <w:lang w:val="lt-LT"/>
              </w:rPr>
              <w:t>Tarptautiniai klausimai</w:t>
            </w:r>
          </w:p>
          <w:p w:rsidR="00085F32" w:rsidRPr="00E47362" w:rsidRDefault="00085F32" w:rsidP="004226F1">
            <w:pPr>
              <w:pStyle w:val="BodyA"/>
              <w:jc w:val="both"/>
              <w:rPr>
                <w:rFonts w:hAnsi="Times New Roman" w:cs="Times New Roman"/>
                <w:b/>
                <w:lang w:val="lt-LT"/>
              </w:rPr>
            </w:pPr>
            <w:r w:rsidRPr="00E47362">
              <w:rPr>
                <w:rFonts w:hAnsi="Times New Roman" w:cs="Times New Roman"/>
                <w:b/>
                <w:lang w:val="lt-LT"/>
              </w:rPr>
              <w:t>a) ES globalaus atsigavimo iniciatyva</w:t>
            </w:r>
          </w:p>
          <w:p w:rsidR="00E1240D" w:rsidRPr="00E47362" w:rsidRDefault="004226F1" w:rsidP="00E1240D">
            <w:pPr>
              <w:pStyle w:val="BodyA"/>
              <w:jc w:val="both"/>
              <w:rPr>
                <w:rFonts w:hAnsi="Times New Roman" w:cs="Times New Roman"/>
                <w:lang w:val="lt-LT"/>
              </w:rPr>
            </w:pPr>
            <w:r w:rsidRPr="00E47362">
              <w:rPr>
                <w:rFonts w:hAnsi="Times New Roman" w:cs="Times New Roman"/>
                <w:lang w:val="lt-LT"/>
              </w:rPr>
              <w:t>(</w:t>
            </w:r>
            <w:r w:rsidR="00085F32" w:rsidRPr="00E47362">
              <w:rPr>
                <w:rFonts w:hAnsi="Times New Roman" w:cs="Times New Roman"/>
                <w:i/>
                <w:lang w:val="lt-LT"/>
              </w:rPr>
              <w:t>Apsikeitimas nuomonėmis</w:t>
            </w:r>
            <w:r w:rsidR="00E1240D" w:rsidRPr="00E47362">
              <w:rPr>
                <w:rFonts w:hAnsi="Times New Roman" w:cs="Times New Roman"/>
                <w:lang w:val="lt-LT"/>
              </w:rPr>
              <w:t>)</w:t>
            </w:r>
          </w:p>
          <w:p w:rsidR="00E1240D" w:rsidRPr="00E47362" w:rsidRDefault="00E1240D" w:rsidP="00E1240D">
            <w:pPr>
              <w:pStyle w:val="BodyA"/>
              <w:jc w:val="both"/>
              <w:rPr>
                <w:rFonts w:hAnsi="Times New Roman" w:cs="Times New Roman"/>
                <w:lang w:val="lt-LT"/>
              </w:rPr>
            </w:pPr>
          </w:p>
          <w:p w:rsidR="004A3298" w:rsidRPr="00E47362" w:rsidRDefault="00E1240D" w:rsidP="004A3298">
            <w:pPr>
              <w:tabs>
                <w:tab w:val="left" w:pos="851"/>
              </w:tabs>
              <w:jc w:val="both"/>
              <w:rPr>
                <w:rFonts w:eastAsia="Times New Roman"/>
                <w:iCs/>
                <w:szCs w:val="20"/>
                <w:bdr w:val="none" w:sz="0" w:space="0" w:color="auto"/>
                <w:lang w:val="lt-LT" w:eastAsia="lt-LT"/>
              </w:rPr>
            </w:pPr>
            <w:r w:rsidRPr="00E47362">
              <w:rPr>
                <w:b/>
                <w:u w:val="single"/>
                <w:lang w:val="lt-LT"/>
              </w:rPr>
              <w:t>Klausimo esmė.</w:t>
            </w:r>
            <w:r w:rsidRPr="00E47362">
              <w:rPr>
                <w:b/>
                <w:lang w:val="lt-LT"/>
              </w:rPr>
              <w:t xml:space="preserve"> </w:t>
            </w:r>
            <w:r w:rsidR="004A3298" w:rsidRPr="00E47362">
              <w:rPr>
                <w:rFonts w:eastAsia="Times New Roman"/>
                <w:iCs/>
                <w:szCs w:val="20"/>
                <w:bdr w:val="none" w:sz="0" w:space="0" w:color="auto"/>
                <w:lang w:val="lt-LT" w:eastAsia="lt-LT"/>
              </w:rPr>
              <w:t>ECOFIN nariams siūloma pasidalinti nuomonėmis dėl būdų paskatinti ES Gl</w:t>
            </w:r>
            <w:r w:rsidR="004A3298" w:rsidRPr="00E47362">
              <w:rPr>
                <w:rFonts w:eastAsia="Times New Roman"/>
                <w:iCs/>
                <w:szCs w:val="20"/>
                <w:bdr w:val="none" w:sz="0" w:space="0" w:color="auto"/>
                <w:lang w:val="lt-LT" w:eastAsia="lt-LT"/>
              </w:rPr>
              <w:t>o</w:t>
            </w:r>
            <w:r w:rsidR="004A3298" w:rsidRPr="00E47362">
              <w:rPr>
                <w:rFonts w:eastAsia="Times New Roman"/>
                <w:iCs/>
                <w:szCs w:val="20"/>
                <w:bdr w:val="none" w:sz="0" w:space="0" w:color="auto"/>
                <w:lang w:val="lt-LT" w:eastAsia="lt-LT"/>
              </w:rPr>
              <w:t xml:space="preserve">balaus atsigavimo iniciatyvą (angl. </w:t>
            </w:r>
            <w:proofErr w:type="spellStart"/>
            <w:r w:rsidR="004A3298" w:rsidRPr="00E47362">
              <w:rPr>
                <w:rFonts w:eastAsia="Times New Roman"/>
                <w:i/>
                <w:iCs/>
                <w:szCs w:val="20"/>
                <w:bdr w:val="none" w:sz="0" w:space="0" w:color="auto"/>
                <w:lang w:val="lt-LT" w:eastAsia="lt-LT"/>
              </w:rPr>
              <w:t>Global</w:t>
            </w:r>
            <w:proofErr w:type="spellEnd"/>
            <w:r w:rsidR="004A3298" w:rsidRPr="00E47362">
              <w:rPr>
                <w:rFonts w:eastAsia="Times New Roman"/>
                <w:i/>
                <w:iCs/>
                <w:szCs w:val="20"/>
                <w:bdr w:val="none" w:sz="0" w:space="0" w:color="auto"/>
                <w:lang w:val="lt-LT" w:eastAsia="lt-LT"/>
              </w:rPr>
              <w:t xml:space="preserve"> </w:t>
            </w:r>
            <w:proofErr w:type="spellStart"/>
            <w:r w:rsidR="004A3298" w:rsidRPr="00E47362">
              <w:rPr>
                <w:rFonts w:eastAsia="Times New Roman"/>
                <w:i/>
                <w:iCs/>
                <w:szCs w:val="20"/>
                <w:bdr w:val="none" w:sz="0" w:space="0" w:color="auto"/>
                <w:lang w:val="lt-LT" w:eastAsia="lt-LT"/>
              </w:rPr>
              <w:t>Recovery</w:t>
            </w:r>
            <w:proofErr w:type="spellEnd"/>
            <w:r w:rsidR="004A3298" w:rsidRPr="00E47362">
              <w:rPr>
                <w:rFonts w:eastAsia="Times New Roman"/>
                <w:i/>
                <w:iCs/>
                <w:szCs w:val="20"/>
                <w:bdr w:val="none" w:sz="0" w:space="0" w:color="auto"/>
                <w:lang w:val="lt-LT" w:eastAsia="lt-LT"/>
              </w:rPr>
              <w:t xml:space="preserve"> </w:t>
            </w:r>
            <w:proofErr w:type="spellStart"/>
            <w:r w:rsidR="004A3298" w:rsidRPr="00E47362">
              <w:rPr>
                <w:rFonts w:eastAsia="Times New Roman"/>
                <w:i/>
                <w:iCs/>
                <w:szCs w:val="20"/>
                <w:bdr w:val="none" w:sz="0" w:space="0" w:color="auto"/>
                <w:lang w:val="lt-LT" w:eastAsia="lt-LT"/>
              </w:rPr>
              <w:t>Initiative</w:t>
            </w:r>
            <w:proofErr w:type="spellEnd"/>
            <w:r w:rsidR="004A3298" w:rsidRPr="00E47362">
              <w:rPr>
                <w:rFonts w:eastAsia="Times New Roman"/>
                <w:i/>
                <w:iCs/>
                <w:szCs w:val="20"/>
                <w:bdr w:val="none" w:sz="0" w:space="0" w:color="auto"/>
                <w:lang w:val="lt-LT" w:eastAsia="lt-LT"/>
              </w:rPr>
              <w:t xml:space="preserve">, </w:t>
            </w:r>
            <w:r w:rsidR="004A3298" w:rsidRPr="00E47362">
              <w:rPr>
                <w:rFonts w:eastAsia="Times New Roman"/>
                <w:iCs/>
                <w:szCs w:val="20"/>
                <w:bdr w:val="none" w:sz="0" w:space="0" w:color="auto"/>
                <w:lang w:val="lt-LT" w:eastAsia="lt-LT"/>
              </w:rPr>
              <w:t>GRI), atsižvelgiant į besivysta</w:t>
            </w:r>
            <w:r w:rsidR="004A3298" w:rsidRPr="00E47362">
              <w:rPr>
                <w:rFonts w:eastAsia="Times New Roman"/>
                <w:iCs/>
                <w:szCs w:val="20"/>
                <w:bdr w:val="none" w:sz="0" w:space="0" w:color="auto"/>
                <w:lang w:val="lt-LT" w:eastAsia="lt-LT"/>
              </w:rPr>
              <w:t>n</w:t>
            </w:r>
            <w:r w:rsidR="004A3298" w:rsidRPr="00E47362">
              <w:rPr>
                <w:rFonts w:eastAsia="Times New Roman"/>
                <w:iCs/>
                <w:szCs w:val="20"/>
                <w:bdr w:val="none" w:sz="0" w:space="0" w:color="auto"/>
                <w:lang w:val="lt-LT" w:eastAsia="lt-LT"/>
              </w:rPr>
              <w:t>čioms ir mažų pajamų valstybėms kylančius iššūkius finansuojant atsigavimą.</w:t>
            </w:r>
          </w:p>
          <w:p w:rsidR="004A3298" w:rsidRPr="004A3298" w:rsidRDefault="004A3298" w:rsidP="004A329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A3298">
              <w:rPr>
                <w:rFonts w:eastAsia="Times New Roman"/>
                <w:iCs/>
                <w:szCs w:val="20"/>
                <w:bdr w:val="none" w:sz="0" w:space="0" w:color="auto"/>
                <w:lang w:val="lt-LT" w:eastAsia="lt-LT"/>
              </w:rPr>
              <w:t xml:space="preserve">2020 m. gegužės mėn. Europos Komisijos pirmininkė </w:t>
            </w:r>
            <w:proofErr w:type="spellStart"/>
            <w:r w:rsidRPr="004A3298">
              <w:rPr>
                <w:rFonts w:eastAsia="Times New Roman"/>
                <w:iCs/>
                <w:szCs w:val="20"/>
                <w:bdr w:val="none" w:sz="0" w:space="0" w:color="auto"/>
                <w:lang w:val="lt-LT" w:eastAsia="lt-LT"/>
              </w:rPr>
              <w:t>Ursula</w:t>
            </w:r>
            <w:proofErr w:type="spellEnd"/>
            <w:r w:rsidRPr="004A3298">
              <w:rPr>
                <w:rFonts w:eastAsia="Times New Roman"/>
                <w:iCs/>
                <w:szCs w:val="20"/>
                <w:bdr w:val="none" w:sz="0" w:space="0" w:color="auto"/>
                <w:lang w:val="lt-LT" w:eastAsia="lt-LT"/>
              </w:rPr>
              <w:t xml:space="preserve"> </w:t>
            </w:r>
            <w:proofErr w:type="spellStart"/>
            <w:r w:rsidRPr="004A3298">
              <w:rPr>
                <w:rFonts w:eastAsia="Times New Roman"/>
                <w:iCs/>
                <w:szCs w:val="20"/>
                <w:bdr w:val="none" w:sz="0" w:space="0" w:color="auto"/>
                <w:lang w:val="lt-LT" w:eastAsia="lt-LT"/>
              </w:rPr>
              <w:t>von</w:t>
            </w:r>
            <w:proofErr w:type="spellEnd"/>
            <w:r w:rsidRPr="004A3298">
              <w:rPr>
                <w:rFonts w:eastAsia="Times New Roman"/>
                <w:iCs/>
                <w:szCs w:val="20"/>
                <w:bdr w:val="none" w:sz="0" w:space="0" w:color="auto"/>
                <w:lang w:val="lt-LT" w:eastAsia="lt-LT"/>
              </w:rPr>
              <w:t xml:space="preserve"> </w:t>
            </w:r>
            <w:proofErr w:type="spellStart"/>
            <w:r w:rsidRPr="004A3298">
              <w:rPr>
                <w:rFonts w:eastAsia="Times New Roman"/>
                <w:iCs/>
                <w:szCs w:val="20"/>
                <w:bdr w:val="none" w:sz="0" w:space="0" w:color="auto"/>
                <w:lang w:val="lt-LT" w:eastAsia="lt-LT"/>
              </w:rPr>
              <w:t>der</w:t>
            </w:r>
            <w:proofErr w:type="spellEnd"/>
            <w:r w:rsidRPr="004A3298">
              <w:rPr>
                <w:rFonts w:eastAsia="Times New Roman"/>
                <w:iCs/>
                <w:szCs w:val="20"/>
                <w:bdr w:val="none" w:sz="0" w:space="0" w:color="auto"/>
                <w:lang w:val="lt-LT" w:eastAsia="lt-LT"/>
              </w:rPr>
              <w:t xml:space="preserve"> </w:t>
            </w:r>
            <w:proofErr w:type="spellStart"/>
            <w:r w:rsidRPr="004A3298">
              <w:rPr>
                <w:rFonts w:eastAsia="Times New Roman"/>
                <w:iCs/>
                <w:szCs w:val="20"/>
                <w:bdr w:val="none" w:sz="0" w:space="0" w:color="auto"/>
                <w:lang w:val="lt-LT" w:eastAsia="lt-LT"/>
              </w:rPr>
              <w:t>Leyen</w:t>
            </w:r>
            <w:proofErr w:type="spellEnd"/>
            <w:r w:rsidRPr="004A3298">
              <w:rPr>
                <w:rFonts w:eastAsia="Times New Roman"/>
                <w:iCs/>
                <w:szCs w:val="20"/>
                <w:bdr w:val="none" w:sz="0" w:space="0" w:color="auto"/>
                <w:lang w:val="lt-LT" w:eastAsia="lt-LT"/>
              </w:rPr>
              <w:t xml:space="preserve"> pakvietė kurti GRI, kuria būtų susietos skolos mažinimo priemonės ir investicijos į tvaraus vystymosi tikslus (angl. </w:t>
            </w:r>
            <w:proofErr w:type="spellStart"/>
            <w:r w:rsidRPr="004A3298">
              <w:rPr>
                <w:rFonts w:eastAsia="Times New Roman"/>
                <w:i/>
                <w:iCs/>
                <w:szCs w:val="20"/>
                <w:bdr w:val="none" w:sz="0" w:space="0" w:color="auto"/>
                <w:lang w:val="lt-LT" w:eastAsia="lt-LT"/>
              </w:rPr>
              <w:t>sustainable</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development</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goals</w:t>
            </w:r>
            <w:proofErr w:type="spellEnd"/>
            <w:r w:rsidRPr="004A3298">
              <w:rPr>
                <w:rFonts w:eastAsia="Times New Roman"/>
                <w:i/>
                <w:iCs/>
                <w:szCs w:val="20"/>
                <w:bdr w:val="none" w:sz="0" w:space="0" w:color="auto"/>
                <w:lang w:val="lt-LT" w:eastAsia="lt-LT"/>
              </w:rPr>
              <w:t xml:space="preserve">, </w:t>
            </w:r>
            <w:r w:rsidRPr="004A3298">
              <w:rPr>
                <w:rFonts w:eastAsia="Times New Roman"/>
                <w:iCs/>
                <w:szCs w:val="20"/>
                <w:bdr w:val="none" w:sz="0" w:space="0" w:color="auto"/>
                <w:lang w:val="lt-LT" w:eastAsia="lt-LT"/>
              </w:rPr>
              <w:t>SDG), nes atsigavimo periodas sukuria galimybes atstatyti a</w:t>
            </w:r>
            <w:r w:rsidRPr="004A3298">
              <w:rPr>
                <w:rFonts w:eastAsia="Times New Roman"/>
                <w:iCs/>
                <w:szCs w:val="20"/>
                <w:bdr w:val="none" w:sz="0" w:space="0" w:color="auto"/>
                <w:lang w:val="lt-LT" w:eastAsia="lt-LT"/>
              </w:rPr>
              <w:t>t</w:t>
            </w:r>
            <w:r w:rsidRPr="004A3298">
              <w:rPr>
                <w:rFonts w:eastAsia="Times New Roman"/>
                <w:iCs/>
                <w:szCs w:val="20"/>
                <w:bdr w:val="none" w:sz="0" w:space="0" w:color="auto"/>
                <w:lang w:val="lt-LT" w:eastAsia="lt-LT"/>
              </w:rPr>
              <w:t xml:space="preserve">sparesnes, tvaresnes ir klimatui draugiškas ekonomikas bei bendruomenes. Be to, atsigavimo metu reikės mobilizuoti beprecedentes finansavimo sumas, todėl svarbu teisingai jas nukreipti. </w:t>
            </w:r>
          </w:p>
          <w:p w:rsidR="004A3298" w:rsidRPr="004A3298" w:rsidRDefault="004A3298" w:rsidP="004A329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A3298">
              <w:rPr>
                <w:rFonts w:eastAsia="Times New Roman"/>
                <w:iCs/>
                <w:szCs w:val="20"/>
                <w:bdr w:val="none" w:sz="0" w:space="0" w:color="auto"/>
                <w:lang w:val="lt-LT" w:eastAsia="lt-LT"/>
              </w:rPr>
              <w:t>GRI turėtų būti dvilypė ir apimti globalų bei valstybės lygmenis:</w:t>
            </w:r>
          </w:p>
          <w:p w:rsidR="004A3298" w:rsidRPr="004A3298" w:rsidRDefault="004A3298" w:rsidP="004A329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A3298">
              <w:rPr>
                <w:rFonts w:eastAsia="Times New Roman"/>
                <w:iCs/>
                <w:szCs w:val="20"/>
                <w:bdr w:val="none" w:sz="0" w:space="0" w:color="auto"/>
                <w:lang w:val="lt-LT" w:eastAsia="lt-LT"/>
              </w:rPr>
              <w:t>- Globaliu lygmeniu GRI susietų skirtingas iniciatyvas ir kurtų tarptautinę darbotvarkę pasina</w:t>
            </w:r>
            <w:r w:rsidRPr="004A3298">
              <w:rPr>
                <w:rFonts w:eastAsia="Times New Roman"/>
                <w:iCs/>
                <w:szCs w:val="20"/>
                <w:bdr w:val="none" w:sz="0" w:space="0" w:color="auto"/>
                <w:lang w:val="lt-LT" w:eastAsia="lt-LT"/>
              </w:rPr>
              <w:t>u</w:t>
            </w:r>
            <w:r w:rsidRPr="004A3298">
              <w:rPr>
                <w:rFonts w:eastAsia="Times New Roman"/>
                <w:iCs/>
                <w:szCs w:val="20"/>
                <w:bdr w:val="none" w:sz="0" w:space="0" w:color="auto"/>
                <w:lang w:val="lt-LT" w:eastAsia="lt-LT"/>
              </w:rPr>
              <w:t xml:space="preserve">dojant ES ir šalių narių lyderyste ir kartu sustiprinant jų rolę skolos mažinimo diskusijose. Šiam tikslui svarbu, kad ES ir toliau laikytųsi bendros pozicijos G7, G20 ir kituose daugiašaliuose formatuose. Šiame kontekste siūloma toliau skaidriai įgyvendinti G20 ir Paryžiaus klubo Skolos aptarnavimo mokėjimų sustabdymo iniciatyvą (angl. </w:t>
            </w:r>
            <w:proofErr w:type="spellStart"/>
            <w:r w:rsidRPr="004A3298">
              <w:rPr>
                <w:rFonts w:eastAsia="Times New Roman"/>
                <w:i/>
                <w:iCs/>
                <w:szCs w:val="20"/>
                <w:bdr w:val="none" w:sz="0" w:space="0" w:color="auto"/>
                <w:lang w:val="lt-LT" w:eastAsia="lt-LT"/>
              </w:rPr>
              <w:t>Debt</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Service</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Suspension</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Initiative</w:t>
            </w:r>
            <w:proofErr w:type="spellEnd"/>
            <w:r w:rsidRPr="004A3298">
              <w:rPr>
                <w:rFonts w:eastAsia="Times New Roman"/>
                <w:i/>
                <w:iCs/>
                <w:szCs w:val="20"/>
                <w:bdr w:val="none" w:sz="0" w:space="0" w:color="auto"/>
                <w:lang w:val="lt-LT" w:eastAsia="lt-LT"/>
              </w:rPr>
              <w:t>, DSSI</w:t>
            </w:r>
            <w:r w:rsidRPr="004A3298">
              <w:rPr>
                <w:rFonts w:eastAsia="Times New Roman"/>
                <w:iCs/>
                <w:szCs w:val="20"/>
                <w:bdr w:val="none" w:sz="0" w:space="0" w:color="auto"/>
                <w:lang w:val="lt-LT" w:eastAsia="lt-LT"/>
              </w:rPr>
              <w:t xml:space="preserve">) ir naująją Bendrą skolų traktavimo sistemą (angl. </w:t>
            </w:r>
            <w:proofErr w:type="spellStart"/>
            <w:r w:rsidRPr="004A3298">
              <w:rPr>
                <w:rFonts w:eastAsia="Times New Roman"/>
                <w:i/>
                <w:iCs/>
                <w:szCs w:val="20"/>
                <w:bdr w:val="none" w:sz="0" w:space="0" w:color="auto"/>
                <w:lang w:val="lt-LT" w:eastAsia="lt-LT"/>
              </w:rPr>
              <w:t>Common</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Framework</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for</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Debt</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Treatments</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b</w:t>
            </w:r>
            <w:r w:rsidRPr="004A3298">
              <w:rPr>
                <w:rFonts w:eastAsia="Times New Roman"/>
                <w:i/>
                <w:iCs/>
                <w:szCs w:val="20"/>
                <w:bdr w:val="none" w:sz="0" w:space="0" w:color="auto"/>
                <w:lang w:val="lt-LT" w:eastAsia="lt-LT"/>
              </w:rPr>
              <w:t>e</w:t>
            </w:r>
            <w:r w:rsidRPr="004A3298">
              <w:rPr>
                <w:rFonts w:eastAsia="Times New Roman"/>
                <w:i/>
                <w:iCs/>
                <w:szCs w:val="20"/>
                <w:bdr w:val="none" w:sz="0" w:space="0" w:color="auto"/>
                <w:lang w:val="lt-LT" w:eastAsia="lt-LT"/>
              </w:rPr>
              <w:t>yond</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the</w:t>
            </w:r>
            <w:proofErr w:type="spellEnd"/>
            <w:r w:rsidRPr="004A3298">
              <w:rPr>
                <w:rFonts w:eastAsia="Times New Roman"/>
                <w:i/>
                <w:iCs/>
                <w:szCs w:val="20"/>
                <w:bdr w:val="none" w:sz="0" w:space="0" w:color="auto"/>
                <w:lang w:val="lt-LT" w:eastAsia="lt-LT"/>
              </w:rPr>
              <w:t xml:space="preserve"> DSSI</w:t>
            </w:r>
            <w:r w:rsidRPr="004A3298">
              <w:rPr>
                <w:rFonts w:eastAsia="Times New Roman"/>
                <w:iCs/>
                <w:szCs w:val="20"/>
                <w:bdr w:val="none" w:sz="0" w:space="0" w:color="auto"/>
                <w:lang w:val="lt-LT" w:eastAsia="lt-LT"/>
              </w:rPr>
              <w:t>). ES taip pat skatinama kreiptis į TVF su prašymu dėl bendrojo Specialiųjų skol</w:t>
            </w:r>
            <w:r w:rsidRPr="004A3298">
              <w:rPr>
                <w:rFonts w:eastAsia="Times New Roman"/>
                <w:iCs/>
                <w:szCs w:val="20"/>
                <w:bdr w:val="none" w:sz="0" w:space="0" w:color="auto"/>
                <w:lang w:val="lt-LT" w:eastAsia="lt-LT"/>
              </w:rPr>
              <w:t>i</w:t>
            </w:r>
            <w:r w:rsidRPr="004A3298">
              <w:rPr>
                <w:rFonts w:eastAsia="Times New Roman"/>
                <w:iCs/>
                <w:szCs w:val="20"/>
                <w:bdr w:val="none" w:sz="0" w:space="0" w:color="auto"/>
                <w:lang w:val="lt-LT" w:eastAsia="lt-LT"/>
              </w:rPr>
              <w:t xml:space="preserve">nimosi teisių (angl. </w:t>
            </w:r>
            <w:proofErr w:type="spellStart"/>
            <w:r w:rsidRPr="004A3298">
              <w:rPr>
                <w:rFonts w:eastAsia="Times New Roman"/>
                <w:i/>
                <w:iCs/>
                <w:szCs w:val="20"/>
                <w:bdr w:val="none" w:sz="0" w:space="0" w:color="auto"/>
                <w:lang w:val="lt-LT" w:eastAsia="lt-LT"/>
              </w:rPr>
              <w:t>Special</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Drawing</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Rights</w:t>
            </w:r>
            <w:proofErr w:type="spellEnd"/>
            <w:r w:rsidRPr="004A3298">
              <w:rPr>
                <w:rFonts w:eastAsia="Times New Roman"/>
                <w:iCs/>
                <w:szCs w:val="20"/>
                <w:bdr w:val="none" w:sz="0" w:space="0" w:color="auto"/>
                <w:lang w:val="lt-LT" w:eastAsia="lt-LT"/>
              </w:rPr>
              <w:t xml:space="preserve">, SDR) paskirstymo ir paskolinti savo turimas SDR TVF Skurdo mažinimo ir augimo priemonei (angl. </w:t>
            </w:r>
            <w:proofErr w:type="spellStart"/>
            <w:r w:rsidRPr="004A3298">
              <w:rPr>
                <w:rFonts w:eastAsia="Times New Roman"/>
                <w:i/>
                <w:iCs/>
                <w:szCs w:val="20"/>
                <w:bdr w:val="none" w:sz="0" w:space="0" w:color="auto"/>
                <w:lang w:val="lt-LT" w:eastAsia="lt-LT"/>
              </w:rPr>
              <w:t>Poverty</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Reduction</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and</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Growth</w:t>
            </w:r>
            <w:proofErr w:type="spellEnd"/>
            <w:r w:rsidRPr="004A3298">
              <w:rPr>
                <w:rFonts w:eastAsia="Times New Roman"/>
                <w:i/>
                <w:iCs/>
                <w:szCs w:val="20"/>
                <w:bdr w:val="none" w:sz="0" w:space="0" w:color="auto"/>
                <w:lang w:val="lt-LT" w:eastAsia="lt-LT"/>
              </w:rPr>
              <w:t xml:space="preserve"> </w:t>
            </w:r>
            <w:proofErr w:type="spellStart"/>
            <w:r w:rsidRPr="004A3298">
              <w:rPr>
                <w:rFonts w:eastAsia="Times New Roman"/>
                <w:i/>
                <w:iCs/>
                <w:szCs w:val="20"/>
                <w:bdr w:val="none" w:sz="0" w:space="0" w:color="auto"/>
                <w:lang w:val="lt-LT" w:eastAsia="lt-LT"/>
              </w:rPr>
              <w:t>Trust</w:t>
            </w:r>
            <w:proofErr w:type="spellEnd"/>
            <w:r w:rsidRPr="004A3298">
              <w:rPr>
                <w:rFonts w:eastAsia="Times New Roman"/>
                <w:i/>
                <w:iCs/>
                <w:szCs w:val="20"/>
                <w:bdr w:val="none" w:sz="0" w:space="0" w:color="auto"/>
                <w:lang w:val="lt-LT" w:eastAsia="lt-LT"/>
              </w:rPr>
              <w:t xml:space="preserve">, </w:t>
            </w:r>
            <w:r w:rsidRPr="004A3298">
              <w:rPr>
                <w:rFonts w:eastAsia="Times New Roman"/>
                <w:iCs/>
                <w:szCs w:val="20"/>
                <w:bdr w:val="none" w:sz="0" w:space="0" w:color="auto"/>
                <w:lang w:val="lt-LT" w:eastAsia="lt-LT"/>
              </w:rPr>
              <w:t>PRGT), kuria TVF teikia lengvatines paskolas skurdžioms šalims.</w:t>
            </w:r>
          </w:p>
          <w:p w:rsidR="00195F60" w:rsidRPr="00E47362" w:rsidRDefault="004A3298" w:rsidP="004A3298">
            <w:pPr>
              <w:pStyle w:val="BodyA"/>
              <w:jc w:val="both"/>
              <w:rPr>
                <w:rFonts w:hAnsi="Times New Roman" w:cs="Times New Roman"/>
                <w:lang w:val="lt-LT"/>
              </w:rPr>
            </w:pPr>
            <w:r w:rsidRPr="00E47362">
              <w:rPr>
                <w:rFonts w:eastAsia="Times New Roman" w:hAnsi="Times New Roman" w:cs="Times New Roman"/>
                <w:iCs/>
                <w:color w:val="auto"/>
                <w:szCs w:val="20"/>
                <w:bdr w:val="none" w:sz="0" w:space="0" w:color="auto"/>
                <w:lang w:val="lt-LT" w:eastAsia="lt-LT"/>
              </w:rPr>
              <w:t xml:space="preserve">- Valstybės lygmeniu pagrindiniai elementai būtų šie: dialogas su šalimis partnerėmis vystant </w:t>
            </w:r>
            <w:proofErr w:type="spellStart"/>
            <w:r w:rsidRPr="00E47362">
              <w:rPr>
                <w:rFonts w:eastAsia="Times New Roman" w:hAnsi="Times New Roman" w:cs="Times New Roman"/>
                <w:iCs/>
                <w:color w:val="auto"/>
                <w:szCs w:val="20"/>
                <w:bdr w:val="none" w:sz="0" w:space="0" w:color="auto"/>
                <w:lang w:val="lt-LT" w:eastAsia="lt-LT"/>
              </w:rPr>
              <w:t>Covid-19</w:t>
            </w:r>
            <w:proofErr w:type="spellEnd"/>
            <w:r w:rsidRPr="00E47362">
              <w:rPr>
                <w:rFonts w:eastAsia="Times New Roman" w:hAnsi="Times New Roman" w:cs="Times New Roman"/>
                <w:iCs/>
                <w:color w:val="auto"/>
                <w:szCs w:val="20"/>
                <w:bdr w:val="none" w:sz="0" w:space="0" w:color="auto"/>
                <w:lang w:val="lt-LT" w:eastAsia="lt-LT"/>
              </w:rPr>
              <w:t xml:space="preserve"> atsigavimo strategijas ir atsižvelgiant į politinius įsipareigojimus įgyvendinti SDG ir Paryžiaus susitarimo tikslus; dialogas dėl tvaraus finansavimo strategijos atsigavimui finansuoti; finansinės ir techninės paramos teikimas.</w:t>
            </w:r>
          </w:p>
          <w:p w:rsidR="00335ED8" w:rsidRPr="00E47362" w:rsidRDefault="00335ED8" w:rsidP="00335ED8">
            <w:pPr>
              <w:pStyle w:val="BodyA"/>
              <w:jc w:val="both"/>
              <w:rPr>
                <w:rFonts w:eastAsia="Times New Roman Bold" w:hAnsi="Times New Roman" w:cs="Times New Roman"/>
                <w:highlight w:val="yellow"/>
                <w:u w:val="single"/>
                <w:lang w:val="lt-LT"/>
              </w:rPr>
            </w:pPr>
          </w:p>
          <w:p w:rsidR="00F6555B" w:rsidRPr="00E47362" w:rsidRDefault="00E1240D" w:rsidP="006E6FE9">
            <w:pPr>
              <w:pStyle w:val="BodyA"/>
              <w:rPr>
                <w:rFonts w:hAnsi="Times New Roman" w:cs="Times New Roman"/>
                <w:b/>
                <w:lang w:val="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4A3298" w:rsidRPr="00E47362">
              <w:rPr>
                <w:rFonts w:eastAsia="Calibri" w:hAnsi="Times New Roman" w:cs="Times New Roman"/>
                <w:bdr w:val="none" w:sz="0" w:space="0" w:color="auto"/>
                <w:lang w:val="lt-LT" w:eastAsia="lt-LT"/>
              </w:rPr>
              <w:t xml:space="preserve">Lietuva remia tarptautines pastangas padėti besivystančioms šalims siekiant užtikrinti, kad po </w:t>
            </w:r>
            <w:proofErr w:type="spellStart"/>
            <w:r w:rsidR="004A3298" w:rsidRPr="00E47362">
              <w:rPr>
                <w:rFonts w:eastAsia="Calibri" w:hAnsi="Times New Roman" w:cs="Times New Roman"/>
                <w:bdr w:val="none" w:sz="0" w:space="0" w:color="auto"/>
                <w:lang w:val="lt-LT" w:eastAsia="lt-LT"/>
              </w:rPr>
              <w:t>Covid-19</w:t>
            </w:r>
            <w:proofErr w:type="spellEnd"/>
            <w:r w:rsidR="004A3298" w:rsidRPr="00E47362">
              <w:rPr>
                <w:rFonts w:eastAsia="Calibri" w:hAnsi="Times New Roman" w:cs="Times New Roman"/>
                <w:bdr w:val="none" w:sz="0" w:space="0" w:color="auto"/>
                <w:lang w:val="lt-LT" w:eastAsia="lt-LT"/>
              </w:rPr>
              <w:t xml:space="preserve"> būtų </w:t>
            </w:r>
            <w:r w:rsidR="004A3298" w:rsidRPr="00E47362">
              <w:rPr>
                <w:rFonts w:eastAsia="Times New Roman" w:hAnsi="Times New Roman" w:cs="Times New Roman"/>
                <w:iCs/>
                <w:color w:val="auto"/>
                <w:szCs w:val="20"/>
                <w:bdr w:val="none" w:sz="0" w:space="0" w:color="auto"/>
                <w:lang w:val="lt-LT" w:eastAsia="lt-LT"/>
              </w:rPr>
              <w:t>atstatytos atsparesnės, tvaresnės ir klimatui draugiškos ekon</w:t>
            </w:r>
            <w:r w:rsidR="004A3298" w:rsidRPr="00E47362">
              <w:rPr>
                <w:rFonts w:eastAsia="Times New Roman" w:hAnsi="Times New Roman" w:cs="Times New Roman"/>
                <w:iCs/>
                <w:color w:val="auto"/>
                <w:szCs w:val="20"/>
                <w:bdr w:val="none" w:sz="0" w:space="0" w:color="auto"/>
                <w:lang w:val="lt-LT" w:eastAsia="lt-LT"/>
              </w:rPr>
              <w:t>o</w:t>
            </w:r>
            <w:r w:rsidR="004A3298" w:rsidRPr="00E47362">
              <w:rPr>
                <w:rFonts w:eastAsia="Times New Roman" w:hAnsi="Times New Roman" w:cs="Times New Roman"/>
                <w:iCs/>
                <w:color w:val="auto"/>
                <w:szCs w:val="20"/>
                <w:bdr w:val="none" w:sz="0" w:space="0" w:color="auto"/>
                <w:lang w:val="lt-LT" w:eastAsia="lt-LT"/>
              </w:rPr>
              <w:t xml:space="preserve">mikos. Taip pat remiame pastangas </w:t>
            </w:r>
            <w:r w:rsidR="004A3298" w:rsidRPr="00E47362">
              <w:rPr>
                <w:rFonts w:eastAsia="Calibri" w:hAnsi="Times New Roman" w:cs="Times New Roman"/>
                <w:bdr w:val="none" w:sz="0" w:space="0" w:color="auto"/>
                <w:lang w:val="lt-LT" w:eastAsia="lt-LT"/>
              </w:rPr>
              <w:t>sumažinti skolos naštą mažiausių pajamų valstybėms ats</w:t>
            </w:r>
            <w:r w:rsidR="004A3298" w:rsidRPr="00E47362">
              <w:rPr>
                <w:rFonts w:eastAsia="Calibri" w:hAnsi="Times New Roman" w:cs="Times New Roman"/>
                <w:bdr w:val="none" w:sz="0" w:space="0" w:color="auto"/>
                <w:lang w:val="lt-LT" w:eastAsia="lt-LT"/>
              </w:rPr>
              <w:t>i</w:t>
            </w:r>
            <w:r w:rsidR="004A3298" w:rsidRPr="00E47362">
              <w:rPr>
                <w:rFonts w:eastAsia="Calibri" w:hAnsi="Times New Roman" w:cs="Times New Roman"/>
                <w:bdr w:val="none" w:sz="0" w:space="0" w:color="auto"/>
                <w:lang w:val="lt-LT" w:eastAsia="lt-LT"/>
              </w:rPr>
              <w:t xml:space="preserve">žvelgiant į didėjantį tokių </w:t>
            </w:r>
            <w:r w:rsidR="004A3298" w:rsidRPr="00E47362">
              <w:rPr>
                <w:rFonts w:eastAsia="Calibri" w:hAnsi="Times New Roman" w:cs="Times New Roman"/>
                <w:color w:val="auto"/>
                <w:bdr w:val="none" w:sz="0" w:space="0" w:color="auto"/>
                <w:lang w:val="lt-LT" w:eastAsia="lt-LT"/>
              </w:rPr>
              <w:t>šalių pažeidžiamumą dėl COVID-19 pandemijos. Esame atviri disk</w:t>
            </w:r>
            <w:r w:rsidR="004A3298" w:rsidRPr="00E47362">
              <w:rPr>
                <w:rFonts w:eastAsia="Calibri" w:hAnsi="Times New Roman" w:cs="Times New Roman"/>
                <w:color w:val="auto"/>
                <w:bdr w:val="none" w:sz="0" w:space="0" w:color="auto"/>
                <w:lang w:val="lt-LT" w:eastAsia="lt-LT"/>
              </w:rPr>
              <w:t>u</w:t>
            </w:r>
            <w:r w:rsidR="004A3298" w:rsidRPr="00E47362">
              <w:rPr>
                <w:rFonts w:eastAsia="Calibri" w:hAnsi="Times New Roman" w:cs="Times New Roman"/>
                <w:color w:val="auto"/>
                <w:bdr w:val="none" w:sz="0" w:space="0" w:color="auto"/>
                <w:lang w:val="lt-LT" w:eastAsia="lt-LT"/>
              </w:rPr>
              <w:t>sijai dėl TVF SDR paskirstymo.</w:t>
            </w:r>
          </w:p>
          <w:p w:rsidR="00085F32" w:rsidRPr="00E47362" w:rsidRDefault="00085F32" w:rsidP="006E6FE9">
            <w:pPr>
              <w:pStyle w:val="BodyA"/>
              <w:rPr>
                <w:rFonts w:hAnsi="Times New Roman" w:cs="Times New Roman"/>
                <w:b/>
                <w:lang w:val="lt-LT"/>
              </w:rPr>
            </w:pPr>
          </w:p>
          <w:p w:rsidR="00085F32" w:rsidRPr="00E47362" w:rsidRDefault="00085F32" w:rsidP="006E6FE9">
            <w:pPr>
              <w:pStyle w:val="BodyA"/>
              <w:rPr>
                <w:rFonts w:hAnsi="Times New Roman" w:cs="Times New Roman"/>
                <w:lang w:val="lt-LT"/>
              </w:rPr>
            </w:pPr>
            <w:r w:rsidRPr="00E47362">
              <w:rPr>
                <w:rFonts w:hAnsi="Times New Roman" w:cs="Times New Roman"/>
                <w:b/>
                <w:lang w:val="lt-LT"/>
              </w:rPr>
              <w:t>b) Pasirengimas vasario 26 d. G-20 finansų ministrų ir centrinių bankų valdytojų susitik</w:t>
            </w:r>
            <w:r w:rsidRPr="00E47362">
              <w:rPr>
                <w:rFonts w:hAnsi="Times New Roman" w:cs="Times New Roman"/>
                <w:b/>
                <w:lang w:val="lt-LT"/>
              </w:rPr>
              <w:t>i</w:t>
            </w:r>
            <w:r w:rsidRPr="00E47362">
              <w:rPr>
                <w:rFonts w:hAnsi="Times New Roman" w:cs="Times New Roman"/>
                <w:b/>
                <w:lang w:val="lt-LT"/>
              </w:rPr>
              <w:t xml:space="preserve">mui </w:t>
            </w:r>
            <w:r w:rsidRPr="00E47362">
              <w:rPr>
                <w:rFonts w:hAnsi="Times New Roman" w:cs="Times New Roman"/>
                <w:i/>
                <w:lang w:val="lt-LT"/>
              </w:rPr>
              <w:t>(Pirmininkaujančios šalies informacija)</w:t>
            </w:r>
          </w:p>
          <w:p w:rsidR="00E1240D" w:rsidRPr="00E47362" w:rsidRDefault="00E1240D" w:rsidP="007D7FCE">
            <w:pPr>
              <w:pStyle w:val="BodyA"/>
              <w:jc w:val="both"/>
              <w:rPr>
                <w:lang w:val="lt-LT"/>
              </w:rPr>
            </w:pPr>
          </w:p>
          <w:p w:rsidR="00085F32" w:rsidRPr="00E47362" w:rsidRDefault="00E1240D" w:rsidP="006E6FE9">
            <w:pPr>
              <w:pStyle w:val="BodyA"/>
              <w:jc w:val="both"/>
              <w:rPr>
                <w:rFonts w:hAnsi="Times New Roman" w:cs="Times New Roman"/>
                <w:i/>
                <w:lang w:val="lt-LT"/>
              </w:rPr>
            </w:pPr>
            <w:r w:rsidRPr="00E47362">
              <w:rPr>
                <w:rFonts w:hAnsi="Times New Roman" w:cs="Times New Roman"/>
                <w:b/>
                <w:lang w:val="lt-LT"/>
              </w:rPr>
              <w:t xml:space="preserve">5. </w:t>
            </w:r>
            <w:r w:rsidR="00085F32" w:rsidRPr="00E47362">
              <w:rPr>
                <w:rFonts w:hAnsi="Times New Roman" w:cs="Times New Roman"/>
                <w:b/>
                <w:lang w:val="lt-LT"/>
              </w:rPr>
              <w:t xml:space="preserve">Išvados dėl ES nebendradarbiaujančių jurisdikcijų mokesčių tikslais sąrašo </w:t>
            </w:r>
            <w:r w:rsidR="00085F32" w:rsidRPr="00E47362">
              <w:rPr>
                <w:rFonts w:hAnsi="Times New Roman" w:cs="Times New Roman"/>
                <w:i/>
                <w:lang w:val="lt-LT"/>
              </w:rPr>
              <w:t>(Apsikeit</w:t>
            </w:r>
            <w:r w:rsidR="00085F32" w:rsidRPr="00E47362">
              <w:rPr>
                <w:rFonts w:hAnsi="Times New Roman" w:cs="Times New Roman"/>
                <w:i/>
                <w:lang w:val="lt-LT"/>
              </w:rPr>
              <w:t>i</w:t>
            </w:r>
            <w:r w:rsidR="00085F32" w:rsidRPr="00E47362">
              <w:rPr>
                <w:rFonts w:hAnsi="Times New Roman" w:cs="Times New Roman"/>
                <w:i/>
                <w:lang w:val="lt-LT"/>
              </w:rPr>
              <w:t>mas nuomonėmis)</w:t>
            </w:r>
          </w:p>
          <w:p w:rsidR="004A3298" w:rsidRPr="00E47362" w:rsidRDefault="00195F60" w:rsidP="004A3298">
            <w:pPr>
              <w:jc w:val="both"/>
              <w:rPr>
                <w:rFonts w:eastAsia="Calibri"/>
                <w:bdr w:val="none" w:sz="0" w:space="0" w:color="auto"/>
                <w:lang w:val="lt-LT"/>
              </w:rPr>
            </w:pPr>
            <w:r w:rsidRPr="00E47362">
              <w:rPr>
                <w:b/>
                <w:u w:val="single"/>
                <w:lang w:val="lt-LT"/>
              </w:rPr>
              <w:t>Klausimo esmė.</w:t>
            </w:r>
            <w:r w:rsidRPr="00E47362">
              <w:rPr>
                <w:lang w:val="lt-LT"/>
              </w:rPr>
              <w:t xml:space="preserve"> </w:t>
            </w:r>
            <w:r w:rsidR="004A3298" w:rsidRPr="00E47362">
              <w:rPr>
                <w:rFonts w:eastAsia="Calibri"/>
                <w:bdr w:val="none" w:sz="0" w:space="0" w:color="auto"/>
                <w:lang w:val="lt-LT"/>
              </w:rPr>
              <w:t>Siūloma pritarti Verslo elgesio kodekso grupės raporte pateiktiems siūlymams  atnaujinti ES nebendradarbiaujančių jurisdikcijų sąrašą mokesčių tikslais, atsižvelgiant į sąr</w:t>
            </w:r>
            <w:r w:rsidR="004A3298" w:rsidRPr="00E47362">
              <w:rPr>
                <w:rFonts w:eastAsia="Calibri"/>
                <w:bdr w:val="none" w:sz="0" w:space="0" w:color="auto"/>
                <w:lang w:val="lt-LT"/>
              </w:rPr>
              <w:t>a</w:t>
            </w:r>
            <w:r w:rsidR="004A3298" w:rsidRPr="00E47362">
              <w:rPr>
                <w:rFonts w:eastAsia="Calibri"/>
                <w:bdr w:val="none" w:sz="0" w:space="0" w:color="auto"/>
                <w:lang w:val="lt-LT"/>
              </w:rPr>
              <w:t>šuose esančių jurisdikcijų padarytą pažangą (pirmasis „ES sąrašas“ patvirtintas 2017 m. gru</w:t>
            </w:r>
            <w:r w:rsidR="004A3298" w:rsidRPr="00E47362">
              <w:rPr>
                <w:rFonts w:eastAsia="Calibri"/>
                <w:bdr w:val="none" w:sz="0" w:space="0" w:color="auto"/>
                <w:lang w:val="lt-LT"/>
              </w:rPr>
              <w:t>o</w:t>
            </w:r>
            <w:r w:rsidR="004A3298" w:rsidRPr="00E47362">
              <w:rPr>
                <w:rFonts w:eastAsia="Calibri"/>
                <w:bdr w:val="none" w:sz="0" w:space="0" w:color="auto"/>
                <w:lang w:val="lt-LT"/>
              </w:rPr>
              <w:t xml:space="preserve">džio 5 d.; dabar galiojanti sąrašo redakcija patvirtinta 2020 m. spalio 6 d.). </w:t>
            </w:r>
          </w:p>
          <w:p w:rsidR="004A3298" w:rsidRPr="004A3298" w:rsidRDefault="004A3298" w:rsidP="004A3298">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eastAsia="Calibri"/>
                <w:color w:val="000000"/>
                <w:bdr w:val="none" w:sz="0" w:space="0" w:color="auto"/>
                <w:lang w:val="lt-LT"/>
              </w:rPr>
            </w:pPr>
          </w:p>
          <w:p w:rsidR="004A3298" w:rsidRPr="004A3298" w:rsidRDefault="004A3298" w:rsidP="004A329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Calibri"/>
                <w:bdr w:val="none" w:sz="0" w:space="0" w:color="auto"/>
                <w:lang w:val="lt-LT"/>
              </w:rPr>
            </w:pPr>
            <w:r w:rsidRPr="004A3298">
              <w:rPr>
                <w:rFonts w:eastAsia="Calibri"/>
                <w:bdr w:val="none" w:sz="0" w:space="0" w:color="auto"/>
                <w:lang w:val="lt-LT"/>
              </w:rPr>
              <w:t xml:space="preserve">Taryba tvirtins du atnaujintus priedus: </w:t>
            </w:r>
          </w:p>
          <w:p w:rsidR="00E50056" w:rsidRPr="00E50056" w:rsidRDefault="004A3298" w:rsidP="00E5005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imes New Roman" w:hAnsi="Calibri"/>
                <w:color w:val="000000"/>
                <w:sz w:val="22"/>
                <w:szCs w:val="20"/>
                <w:bdr w:val="none" w:sz="0" w:space="0" w:color="auto"/>
                <w:lang w:val="lt-LT" w:eastAsia="lt-LT" w:bidi="lt-LT"/>
              </w:rPr>
            </w:pPr>
            <w:r w:rsidRPr="004A3298">
              <w:rPr>
                <w:rFonts w:eastAsia="Calibri" w:cs="Corbel"/>
                <w:b/>
                <w:bdr w:val="none" w:sz="0" w:space="0" w:color="auto"/>
                <w:lang w:val="lt-LT"/>
              </w:rPr>
              <w:t>I priedas</w:t>
            </w:r>
            <w:r w:rsidRPr="004A3298">
              <w:rPr>
                <w:rFonts w:eastAsia="Calibri" w:cs="Corbel"/>
                <w:bdr w:val="none" w:sz="0" w:space="0" w:color="auto"/>
                <w:lang w:val="lt-LT"/>
              </w:rPr>
              <w:t xml:space="preserve">, kuriame pateikiamas nebendradarbiaujančių jurisdikcijų sąrašas. </w:t>
            </w:r>
          </w:p>
          <w:p w:rsidR="00E50056" w:rsidRPr="00E50056" w:rsidRDefault="004A3298" w:rsidP="00E5005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u w:val="single"/>
                <w:lang w:val="lt-LT"/>
              </w:rPr>
            </w:pPr>
            <w:r w:rsidRPr="004A3298">
              <w:rPr>
                <w:rFonts w:eastAsia="Calibri"/>
                <w:b/>
                <w:bdr w:val="none" w:sz="0" w:space="0" w:color="auto"/>
                <w:lang w:val="lt-LT"/>
              </w:rPr>
              <w:t>II priedas</w:t>
            </w:r>
            <w:r w:rsidRPr="004A3298">
              <w:rPr>
                <w:rFonts w:eastAsia="Calibri"/>
                <w:bdr w:val="none" w:sz="0" w:space="0" w:color="auto"/>
                <w:lang w:val="lt-LT"/>
              </w:rPr>
              <w:t>, kuriame pateikiamas šiai dienai dar ne visus kriterijus atitinkančių, tačiau įsip</w:t>
            </w:r>
            <w:r w:rsidRPr="004A3298">
              <w:rPr>
                <w:rFonts w:eastAsia="Calibri"/>
                <w:bdr w:val="none" w:sz="0" w:space="0" w:color="auto"/>
                <w:lang w:val="lt-LT"/>
              </w:rPr>
              <w:t>a</w:t>
            </w:r>
            <w:r w:rsidRPr="004A3298">
              <w:rPr>
                <w:rFonts w:eastAsia="Calibri"/>
                <w:bdr w:val="none" w:sz="0" w:space="0" w:color="auto"/>
                <w:lang w:val="lt-LT"/>
              </w:rPr>
              <w:t>reigojusių  iki tam tikro termino imtis reikiamų veiksmų kriterijų įgyvendinimui, jurisdikcijų sąrašas</w:t>
            </w:r>
            <w:r w:rsidR="00E50056">
              <w:rPr>
                <w:rFonts w:eastAsia="Calibri"/>
                <w:bdr w:val="none" w:sz="0" w:space="0" w:color="auto"/>
                <w:lang w:val="lt-LT"/>
              </w:rPr>
              <w:t xml:space="preserve">. </w:t>
            </w:r>
          </w:p>
          <w:p w:rsidR="00195F60" w:rsidRPr="00E47362" w:rsidRDefault="00E50056" w:rsidP="00E5005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u w:val="single"/>
                <w:lang w:val="lt-LT"/>
              </w:rPr>
            </w:pPr>
            <w:r>
              <w:rPr>
                <w:rFonts w:eastAsia="Calibri"/>
                <w:bdr w:val="none" w:sz="0" w:space="0" w:color="auto"/>
                <w:lang w:val="lt-LT"/>
              </w:rPr>
              <w:t>Kol kas nėra pasiektas galutinis sutarimas dėl kai kurių šalių įtraukimo į minėtus sąrašus.</w:t>
            </w:r>
          </w:p>
          <w:p w:rsidR="001546C1" w:rsidRDefault="001546C1" w:rsidP="006E6FE9">
            <w:pPr>
              <w:pStyle w:val="BodyA"/>
              <w:jc w:val="both"/>
              <w:rPr>
                <w:rFonts w:hAnsi="Times New Roman" w:cs="Times New Roman"/>
                <w:b/>
                <w:u w:val="single"/>
                <w:lang w:val="lt-LT"/>
              </w:rPr>
            </w:pPr>
          </w:p>
          <w:p w:rsidR="0032625D" w:rsidRPr="00E47362" w:rsidRDefault="00795E46" w:rsidP="001546C1">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1546C1" w:rsidRPr="001546C1">
              <w:rPr>
                <w:rFonts w:hAnsi="Times New Roman" w:cs="Times New Roman"/>
                <w:lang w:val="lt-LT"/>
              </w:rPr>
              <w:t>Lietuva tradiciškai palaiko tokio pobūdžio sprendimus, tačiau pozicija gali būti tikslinama gavus su klausimu susijusius papildomus dokumentus (informaciją).</w:t>
            </w:r>
          </w:p>
        </w:tc>
      </w:tr>
    </w:tbl>
    <w:p w:rsidR="00501CE5" w:rsidRDefault="00501CE5">
      <w:pPr>
        <w:pStyle w:val="BodyA"/>
        <w:jc w:val="both"/>
        <w:rPr>
          <w:lang w:val="lt-LT"/>
        </w:rPr>
      </w:pPr>
    </w:p>
    <w:p w:rsidR="00AE4846" w:rsidRPr="00E47362" w:rsidRDefault="00AE4846">
      <w:pPr>
        <w:pStyle w:val="BodyA"/>
        <w:jc w:val="both"/>
        <w:rPr>
          <w:lang w:val="lt-LT"/>
        </w:rPr>
      </w:pPr>
    </w:p>
    <w:p w:rsidR="002F39D0" w:rsidRPr="00E47362" w:rsidRDefault="00790FF5" w:rsidP="005A71D9">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6E6FE9" w:rsidRPr="00E47362">
        <w:rPr>
          <w:rFonts w:eastAsia="Calibri"/>
          <w:b/>
          <w:lang w:val="lt-LT"/>
        </w:rPr>
        <w:t>M. VASARIO 15</w:t>
      </w:r>
      <w:r w:rsidR="00EE0A8F" w:rsidRPr="00E47362">
        <w:rPr>
          <w:rFonts w:eastAsia="Calibri"/>
          <w:b/>
          <w:lang w:val="lt-LT"/>
        </w:rPr>
        <w:t xml:space="preserve"> D. EURO GRUPĖS VAIZDO KONFERENCIJA</w:t>
      </w:r>
    </w:p>
    <w:p w:rsidR="005A71D9" w:rsidRPr="00E47362" w:rsidRDefault="005A71D9" w:rsidP="005A71D9">
      <w:pPr>
        <w:jc w:val="center"/>
        <w:rPr>
          <w:rFonts w:eastAsia="Calibri"/>
          <w:b/>
          <w:lang w:val="lt-LT"/>
        </w:rPr>
      </w:pPr>
    </w:p>
    <w:p w:rsidR="00530736" w:rsidRDefault="00530736" w:rsidP="00530736">
      <w:pPr>
        <w:pStyle w:val="Default"/>
      </w:pPr>
    </w:p>
    <w:p w:rsidR="00AE4846" w:rsidRPr="005A71D9" w:rsidRDefault="00AE4846" w:rsidP="00AE4846">
      <w:pPr>
        <w:pBdr>
          <w:top w:val="single" w:sz="4" w:space="1" w:color="auto"/>
          <w:left w:val="single" w:sz="4" w:space="4" w:color="auto"/>
          <w:bottom w:val="single" w:sz="4" w:space="1" w:color="auto"/>
          <w:right w:val="single" w:sz="4" w:space="4" w:color="auto"/>
          <w:between w:val="none" w:sz="0" w:space="0" w:color="auto"/>
          <w:bar w:val="none" w:sz="0" w:color="auto"/>
        </w:pBdr>
        <w:rPr>
          <w:b/>
          <w:bdr w:val="none" w:sz="0" w:space="0" w:color="auto"/>
          <w:lang w:val="lt-LT"/>
        </w:rPr>
      </w:pPr>
      <w:r w:rsidRPr="005A71D9">
        <w:rPr>
          <w:b/>
          <w:color w:val="202124"/>
          <w:bdr w:val="none" w:sz="0" w:space="0" w:color="auto"/>
          <w:lang w:val="lt-LT" w:eastAsia="lt-LT"/>
        </w:rPr>
        <w:t xml:space="preserve">1. </w:t>
      </w:r>
      <w:r w:rsidRPr="005A71D9">
        <w:rPr>
          <w:rFonts w:eastAsia="Times New Roman"/>
          <w:b/>
          <w:color w:val="202124"/>
          <w:bdr w:val="none" w:sz="0" w:space="0" w:color="auto"/>
          <w:lang w:val="lt-LT" w:eastAsia="lt-LT"/>
        </w:rPr>
        <w:t>Makroekonominiai pokyčiai ir politinės perspektyvos euro zonoje</w:t>
      </w:r>
    </w:p>
    <w:p w:rsidR="00AE4846" w:rsidRDefault="00AE4846" w:rsidP="00AE4846">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Pr>
          <w:bdr w:val="none" w:sz="0" w:space="0" w:color="auto"/>
          <w:lang w:val="lt-LT"/>
        </w:rPr>
        <w:t>Euro grupė reguliariai diskutuoja apie pagrindines fiskalinės, monetarinės ir struktūrinės politikos tendencijas siekiant labiau koordinuotos politikos euro zonoje. Dabartiniu laikotarpiu fiskalinės politikos koordinavimas yra sudėtingas dėl didelio neužtikrintumo bei nuolat besikeičiančios ekonominės aplinkos, tačiau tai tik padidina poreikį euro zonos šalims stebėti ek</w:t>
      </w:r>
      <w:r>
        <w:rPr>
          <w:bdr w:val="none" w:sz="0" w:space="0" w:color="auto"/>
          <w:lang w:val="lt-LT"/>
        </w:rPr>
        <w:t>o</w:t>
      </w:r>
      <w:r>
        <w:rPr>
          <w:bdr w:val="none" w:sz="0" w:space="0" w:color="auto"/>
          <w:lang w:val="lt-LT"/>
        </w:rPr>
        <w:t>nomines tendencijas ir keistis savo planais dėl kovos su pandemija priemonių ir bendrų politikos krypčių.</w:t>
      </w:r>
    </w:p>
    <w:p w:rsidR="00AE4846" w:rsidRDefault="00AE4846" w:rsidP="005A71D9">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
          <w:u w:val="single"/>
          <w:bdr w:val="none" w:sz="0" w:space="0" w:color="auto"/>
          <w:lang w:val="lt-LT"/>
        </w:rPr>
      </w:pP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AE4846">
        <w:rPr>
          <w:bdr w:val="none" w:sz="0" w:space="0" w:color="auto"/>
          <w:lang w:val="lt-LT" w:eastAsia="fr-BE"/>
        </w:rPr>
        <w:t>Pritariame, kad net ir esant dabartinėms didelio neužtikrintumo sąlygomis euro zonos šalys turėtų dalintis savo patirtimi bei koordinuoti atsako į pandemijos sukeltą krizę pri</w:t>
      </w:r>
      <w:r w:rsidR="00AE4846">
        <w:rPr>
          <w:bdr w:val="none" w:sz="0" w:space="0" w:color="auto"/>
          <w:lang w:val="lt-LT" w:eastAsia="fr-BE"/>
        </w:rPr>
        <w:t>e</w:t>
      </w:r>
      <w:r w:rsidR="00AE4846">
        <w:rPr>
          <w:bdr w:val="none" w:sz="0" w:space="0" w:color="auto"/>
          <w:lang w:val="lt-LT" w:eastAsia="fr-BE"/>
        </w:rPr>
        <w:t>mones.</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rFonts w:eastAsia="Calibri"/>
          <w:b/>
          <w:bdr w:val="none" w:sz="0" w:space="0" w:color="auto"/>
          <w:lang w:val="lt-LT"/>
        </w:rPr>
      </w:pP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5A71D9">
        <w:rPr>
          <w:b/>
          <w:color w:val="202124"/>
          <w:bdr w:val="none" w:sz="0" w:space="0" w:color="auto"/>
          <w:lang w:val="lt-LT"/>
        </w:rPr>
        <w:t>2. Tarptautinis euro vaidmuo</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iCs/>
          <w:color w:val="000000"/>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EG posėdyje EK pristatys </w:t>
      </w:r>
      <w:r w:rsidRPr="005A71D9">
        <w:rPr>
          <w:iCs/>
          <w:color w:val="000000"/>
          <w:bdr w:val="none" w:sz="0" w:space="0" w:color="auto"/>
          <w:lang w:val="lt-LT"/>
        </w:rPr>
        <w:t>2021 m. sausio 19 d. paskelbtą Europos ekonominės ir finansinės sistemos stiprinimo komunikatą, kuriame yra dalis, skirta tarptautinio euro vaidmens stiprinimui. Jame pažymima platesnio euro naudojimo nauda, tokia kaip: senjoražas, didesnė a</w:t>
      </w:r>
      <w:r w:rsidRPr="005A71D9">
        <w:rPr>
          <w:iCs/>
          <w:color w:val="000000"/>
          <w:bdr w:val="none" w:sz="0" w:space="0" w:color="auto"/>
          <w:lang w:val="lt-LT"/>
        </w:rPr>
        <w:t>u</w:t>
      </w:r>
      <w:r w:rsidRPr="005A71D9">
        <w:rPr>
          <w:iCs/>
          <w:color w:val="000000"/>
          <w:bdr w:val="none" w:sz="0" w:space="0" w:color="auto"/>
          <w:lang w:val="lt-LT"/>
        </w:rPr>
        <w:t>tonomija, stipresnis globalus pinigų politikos efektas bei kiti jau minėti privalumai. Taip pat p</w:t>
      </w:r>
      <w:r w:rsidRPr="005A71D9">
        <w:rPr>
          <w:iCs/>
          <w:color w:val="000000"/>
          <w:bdr w:val="none" w:sz="0" w:space="0" w:color="auto"/>
          <w:lang w:val="lt-LT"/>
        </w:rPr>
        <w:t>a</w:t>
      </w:r>
      <w:r w:rsidRPr="005A71D9">
        <w:rPr>
          <w:iCs/>
          <w:color w:val="000000"/>
          <w:bdr w:val="none" w:sz="0" w:space="0" w:color="auto"/>
          <w:lang w:val="lt-LT"/>
        </w:rPr>
        <w:t>žymėtos priemonės, kurių bus imamasi siekiant euro ir apskritai Europos ekonominės ir finansinės sistemos stiprinimo:</w:t>
      </w:r>
    </w:p>
    <w:p w:rsidR="005A71D9" w:rsidRPr="005A71D9" w:rsidRDefault="005A71D9" w:rsidP="00C201F5">
      <w:pPr>
        <w:numPr>
          <w:ilvl w:val="0"/>
          <w:numId w:val="17"/>
        </w:numPr>
        <w:pBdr>
          <w:top w:val="single" w:sz="4" w:space="1" w:color="auto"/>
          <w:left w:val="single" w:sz="4" w:space="4" w:color="auto"/>
          <w:bottom w:val="single" w:sz="4" w:space="1" w:color="auto"/>
          <w:right w:val="single" w:sz="4" w:space="4" w:color="auto"/>
          <w:between w:val="none" w:sz="0" w:space="0" w:color="auto"/>
          <w:bar w:val="none" w:sz="0" w:color="auto"/>
        </w:pBdr>
        <w:ind w:left="284" w:hanging="284"/>
        <w:jc w:val="both"/>
        <w:rPr>
          <w:rFonts w:eastAsia="Times New Roman"/>
          <w:iCs/>
          <w:color w:val="000000"/>
          <w:bdr w:val="none" w:sz="0" w:space="0" w:color="auto"/>
          <w:lang w:val="lt-LT" w:eastAsia="lt-LT"/>
        </w:rPr>
      </w:pPr>
      <w:r w:rsidRPr="005A71D9">
        <w:rPr>
          <w:rFonts w:eastAsia="Times New Roman"/>
          <w:iCs/>
          <w:color w:val="000000"/>
          <w:bdr w:val="none" w:sz="0" w:space="0" w:color="auto"/>
          <w:lang w:val="lt-LT" w:eastAsia="lt-LT"/>
        </w:rPr>
        <w:t xml:space="preserve">Bus siekiama užbaigti </w:t>
      </w:r>
      <w:r w:rsidRPr="005A71D9">
        <w:rPr>
          <w:rFonts w:eastAsia="Times New Roman"/>
          <w:bdr w:val="none" w:sz="0" w:space="0" w:color="auto"/>
          <w:lang w:val="lt-LT" w:eastAsia="lt-LT"/>
        </w:rPr>
        <w:t>Bankų sąjungą</w:t>
      </w:r>
      <w:r w:rsidRPr="005A71D9">
        <w:rPr>
          <w:rFonts w:eastAsia="Times New Roman"/>
          <w:iCs/>
          <w:color w:val="000000"/>
          <w:bdr w:val="none" w:sz="0" w:space="0" w:color="auto"/>
          <w:lang w:val="lt-LT" w:eastAsia="lt-LT"/>
        </w:rPr>
        <w:t xml:space="preserve"> ir padaryti reikšmingą pažangą </w:t>
      </w:r>
      <w:r w:rsidRPr="005A71D9">
        <w:rPr>
          <w:rFonts w:eastAsia="Times New Roman"/>
          <w:bdr w:val="none" w:sz="0" w:space="0" w:color="auto"/>
          <w:lang w:val="lt-LT" w:eastAsia="lt-LT"/>
        </w:rPr>
        <w:t>Kapitalo rinkų sąjungos</w:t>
      </w:r>
      <w:r w:rsidRPr="005A71D9">
        <w:rPr>
          <w:rFonts w:eastAsia="Times New Roman"/>
          <w:iCs/>
          <w:color w:val="000000"/>
          <w:bdr w:val="none" w:sz="0" w:space="0" w:color="auto"/>
          <w:lang w:val="lt-LT" w:eastAsia="lt-LT"/>
        </w:rPr>
        <w:t xml:space="preserve"> srityje.</w:t>
      </w:r>
    </w:p>
    <w:p w:rsidR="005A71D9" w:rsidRPr="005A71D9" w:rsidRDefault="005A71D9" w:rsidP="00C201F5">
      <w:pPr>
        <w:numPr>
          <w:ilvl w:val="0"/>
          <w:numId w:val="17"/>
        </w:numPr>
        <w:pBdr>
          <w:top w:val="single" w:sz="4" w:space="1" w:color="auto"/>
          <w:left w:val="single" w:sz="4" w:space="4" w:color="auto"/>
          <w:bottom w:val="single" w:sz="4" w:space="1" w:color="auto"/>
          <w:right w:val="single" w:sz="4" w:space="4" w:color="auto"/>
          <w:between w:val="none" w:sz="0" w:space="0" w:color="auto"/>
          <w:bar w:val="none" w:sz="0" w:color="auto"/>
        </w:pBdr>
        <w:ind w:left="284" w:hanging="284"/>
        <w:jc w:val="both"/>
        <w:rPr>
          <w:rFonts w:eastAsia="Times New Roman"/>
          <w:iCs/>
          <w:color w:val="000000"/>
          <w:bdr w:val="none" w:sz="0" w:space="0" w:color="auto"/>
          <w:lang w:val="lt-LT" w:eastAsia="lt-LT"/>
        </w:rPr>
      </w:pPr>
      <w:r w:rsidRPr="005A71D9">
        <w:rPr>
          <w:rFonts w:eastAsia="Times New Roman"/>
          <w:iCs/>
          <w:color w:val="000000"/>
          <w:bdr w:val="none" w:sz="0" w:space="0" w:color="auto"/>
          <w:lang w:val="lt-LT" w:eastAsia="lt-LT"/>
        </w:rPr>
        <w:t xml:space="preserve">EK ir toliau rems eurais denominuotų biržos prekių išvestinių finansinių priemonių (angl. </w:t>
      </w:r>
      <w:proofErr w:type="spellStart"/>
      <w:r w:rsidRPr="005A71D9">
        <w:rPr>
          <w:rFonts w:eastAsia="Times New Roman"/>
          <w:i/>
          <w:iCs/>
          <w:color w:val="000000"/>
          <w:bdr w:val="none" w:sz="0" w:space="0" w:color="auto"/>
          <w:lang w:val="lt-LT" w:eastAsia="lt-LT"/>
        </w:rPr>
        <w:t>commodity</w:t>
      </w:r>
      <w:proofErr w:type="spellEnd"/>
      <w:r w:rsidRPr="005A71D9">
        <w:rPr>
          <w:rFonts w:eastAsia="Times New Roman"/>
          <w:i/>
          <w:iCs/>
          <w:color w:val="000000"/>
          <w:bdr w:val="none" w:sz="0" w:space="0" w:color="auto"/>
          <w:lang w:val="lt-LT" w:eastAsia="lt-LT"/>
        </w:rPr>
        <w:t xml:space="preserve"> </w:t>
      </w:r>
      <w:proofErr w:type="spellStart"/>
      <w:r w:rsidRPr="005A71D9">
        <w:rPr>
          <w:rFonts w:eastAsia="Times New Roman"/>
          <w:i/>
          <w:iCs/>
          <w:color w:val="000000"/>
          <w:bdr w:val="none" w:sz="0" w:space="0" w:color="auto"/>
          <w:lang w:val="lt-LT" w:eastAsia="lt-LT"/>
        </w:rPr>
        <w:t>derivative</w:t>
      </w:r>
      <w:proofErr w:type="spellEnd"/>
      <w:r w:rsidRPr="005A71D9">
        <w:rPr>
          <w:rFonts w:eastAsia="Times New Roman"/>
          <w:iCs/>
          <w:color w:val="000000"/>
          <w:bdr w:val="none" w:sz="0" w:space="0" w:color="auto"/>
          <w:lang w:val="lt-LT" w:eastAsia="lt-LT"/>
        </w:rPr>
        <w:t>) plėtrą energijai ir žaliavoms bei skatins eurais denominuotų lyginamųjų indeksų ir prekybos vietų atsiradimą esminiuose sektoriuose.</w:t>
      </w:r>
    </w:p>
    <w:p w:rsidR="005A71D9" w:rsidRPr="005A71D9" w:rsidRDefault="005A71D9" w:rsidP="00C201F5">
      <w:pPr>
        <w:numPr>
          <w:ilvl w:val="0"/>
          <w:numId w:val="17"/>
        </w:numPr>
        <w:pBdr>
          <w:top w:val="single" w:sz="4" w:space="1" w:color="auto"/>
          <w:left w:val="single" w:sz="4" w:space="4" w:color="auto"/>
          <w:bottom w:val="single" w:sz="4" w:space="1" w:color="auto"/>
          <w:right w:val="single" w:sz="4" w:space="4" w:color="auto"/>
          <w:between w:val="none" w:sz="0" w:space="0" w:color="auto"/>
          <w:bar w:val="none" w:sz="0" w:color="auto"/>
        </w:pBdr>
        <w:ind w:left="284" w:hanging="284"/>
        <w:jc w:val="both"/>
        <w:rPr>
          <w:rFonts w:eastAsia="Times New Roman"/>
          <w:iCs/>
          <w:color w:val="000000"/>
          <w:bdr w:val="none" w:sz="0" w:space="0" w:color="auto"/>
          <w:lang w:val="lt-LT" w:eastAsia="lt-LT"/>
        </w:rPr>
      </w:pPr>
      <w:r w:rsidRPr="005A71D9">
        <w:rPr>
          <w:rFonts w:eastAsia="Times New Roman"/>
          <w:iCs/>
          <w:color w:val="000000"/>
          <w:bdr w:val="none" w:sz="0" w:space="0" w:color="auto"/>
          <w:lang w:val="lt-LT" w:eastAsia="lt-LT"/>
        </w:rPr>
        <w:t>EK pradės informavimo veiklą siekiant skatinti euru denominuotas investicijas ir palengvinti euro naudojimą sąskaitoms ir denominavimui. Tai bus daroma rengiant apklausas, dialogus, seminarus su viešuoju ir privačiu sektoriumi.</w:t>
      </w:r>
    </w:p>
    <w:p w:rsidR="005A71D9" w:rsidRPr="005A71D9" w:rsidRDefault="005A71D9" w:rsidP="00C201F5">
      <w:pPr>
        <w:numPr>
          <w:ilvl w:val="0"/>
          <w:numId w:val="17"/>
        </w:numPr>
        <w:pBdr>
          <w:top w:val="single" w:sz="4" w:space="1" w:color="auto"/>
          <w:left w:val="single" w:sz="4" w:space="4" w:color="auto"/>
          <w:bottom w:val="single" w:sz="4" w:space="1" w:color="auto"/>
          <w:right w:val="single" w:sz="4" w:space="4" w:color="auto"/>
          <w:between w:val="none" w:sz="0" w:space="0" w:color="auto"/>
          <w:bar w:val="none" w:sz="0" w:color="auto"/>
        </w:pBdr>
        <w:ind w:left="284" w:hanging="284"/>
        <w:jc w:val="both"/>
        <w:rPr>
          <w:rFonts w:eastAsia="Times New Roman"/>
          <w:iCs/>
          <w:color w:val="000000"/>
          <w:bdr w:val="none" w:sz="0" w:space="0" w:color="auto"/>
          <w:lang w:val="lt-LT" w:eastAsia="lt-LT"/>
        </w:rPr>
      </w:pPr>
      <w:r w:rsidRPr="005A71D9">
        <w:rPr>
          <w:rFonts w:eastAsia="Times New Roman"/>
          <w:iCs/>
          <w:color w:val="000000"/>
          <w:bdr w:val="none" w:sz="0" w:space="0" w:color="auto"/>
          <w:lang w:val="lt-LT" w:eastAsia="lt-LT"/>
        </w:rPr>
        <w:t>EK skatins žaliųjų obligacijų naudojimą siekiant pasiekti Europos žaliojo kurso tikslus. Planu</w:t>
      </w:r>
      <w:r w:rsidRPr="005A71D9">
        <w:rPr>
          <w:rFonts w:eastAsia="Times New Roman"/>
          <w:iCs/>
          <w:color w:val="000000"/>
          <w:bdr w:val="none" w:sz="0" w:space="0" w:color="auto"/>
          <w:lang w:val="lt-LT" w:eastAsia="lt-LT"/>
        </w:rPr>
        <w:t>o</w:t>
      </w:r>
      <w:r w:rsidRPr="005A71D9">
        <w:rPr>
          <w:rFonts w:eastAsia="Times New Roman"/>
          <w:iCs/>
          <w:color w:val="000000"/>
          <w:bdr w:val="none" w:sz="0" w:space="0" w:color="auto"/>
          <w:lang w:val="lt-LT" w:eastAsia="lt-LT"/>
        </w:rPr>
        <w:t xml:space="preserve">jama, kad </w:t>
      </w:r>
      <w:r w:rsidRPr="005A71D9">
        <w:rPr>
          <w:rFonts w:eastAsia="Times New Roman"/>
          <w:i/>
          <w:iCs/>
          <w:color w:val="000000"/>
          <w:bdr w:val="none" w:sz="0" w:space="0" w:color="auto"/>
          <w:lang w:val="lt-LT" w:eastAsia="lt-LT"/>
        </w:rPr>
        <w:t>Kitos kartos</w:t>
      </w:r>
      <w:r w:rsidRPr="005A71D9">
        <w:rPr>
          <w:rFonts w:eastAsia="Times New Roman"/>
          <w:iCs/>
          <w:color w:val="000000"/>
          <w:bdr w:val="none" w:sz="0" w:space="0" w:color="auto"/>
          <w:lang w:val="lt-LT" w:eastAsia="lt-LT"/>
        </w:rPr>
        <w:t xml:space="preserve"> ES rėmuose 30 proc. visų obligacijų bus žaliosios. Tikslas – padaryti e</w:t>
      </w:r>
      <w:r w:rsidRPr="005A71D9">
        <w:rPr>
          <w:rFonts w:eastAsia="Times New Roman"/>
          <w:iCs/>
          <w:color w:val="000000"/>
          <w:bdr w:val="none" w:sz="0" w:space="0" w:color="auto"/>
          <w:lang w:val="lt-LT" w:eastAsia="lt-LT"/>
        </w:rPr>
        <w:t>u</w:t>
      </w:r>
      <w:r w:rsidRPr="005A71D9">
        <w:rPr>
          <w:rFonts w:eastAsia="Times New Roman"/>
          <w:iCs/>
          <w:color w:val="000000"/>
          <w:bdr w:val="none" w:sz="0" w:space="0" w:color="auto"/>
          <w:lang w:val="lt-LT" w:eastAsia="lt-LT"/>
        </w:rPr>
        <w:t>rą pagrindine valiuta, skirta tvariems finansiniams produktams.</w:t>
      </w:r>
    </w:p>
    <w:p w:rsidR="005A71D9" w:rsidRPr="005A71D9" w:rsidRDefault="005A71D9" w:rsidP="00C201F5">
      <w:pPr>
        <w:numPr>
          <w:ilvl w:val="0"/>
          <w:numId w:val="17"/>
        </w:numPr>
        <w:pBdr>
          <w:top w:val="single" w:sz="4" w:space="1" w:color="auto"/>
          <w:left w:val="single" w:sz="4" w:space="4" w:color="auto"/>
          <w:bottom w:val="single" w:sz="4" w:space="1" w:color="auto"/>
          <w:right w:val="single" w:sz="4" w:space="4" w:color="auto"/>
          <w:between w:val="none" w:sz="0" w:space="0" w:color="auto"/>
          <w:bar w:val="none" w:sz="0" w:color="auto"/>
        </w:pBdr>
        <w:ind w:left="284" w:hanging="284"/>
        <w:jc w:val="both"/>
        <w:rPr>
          <w:rFonts w:eastAsia="Times New Roman"/>
          <w:iCs/>
          <w:color w:val="000000"/>
          <w:bdr w:val="none" w:sz="0" w:space="0" w:color="auto"/>
          <w:lang w:val="lt-LT" w:eastAsia="lt-LT"/>
        </w:rPr>
      </w:pPr>
      <w:r w:rsidRPr="005A71D9">
        <w:rPr>
          <w:rFonts w:eastAsia="Times New Roman"/>
          <w:iCs/>
          <w:color w:val="000000"/>
          <w:bdr w:val="none" w:sz="0" w:space="0" w:color="auto"/>
          <w:lang w:val="lt-LT" w:eastAsia="lt-LT"/>
        </w:rPr>
        <w:t>EK ieškos būdų plėsti ES apyvartinių taršos leidimų prekybos sistemą siekiant maksimizuoti poveikį aplinkai ir remti tolesnę prekybą apyvartiniais taršos leidimais ES. Tikslas – padaryti eurą pagrindine valiuta, skirta tvariems finansiniams produktams.</w:t>
      </w:r>
    </w:p>
    <w:p w:rsidR="005A71D9" w:rsidRPr="005A71D9" w:rsidRDefault="005A71D9" w:rsidP="00C201F5">
      <w:pPr>
        <w:numPr>
          <w:ilvl w:val="0"/>
          <w:numId w:val="17"/>
        </w:numPr>
        <w:pBdr>
          <w:top w:val="single" w:sz="4" w:space="1" w:color="auto"/>
          <w:left w:val="single" w:sz="4" w:space="4" w:color="auto"/>
          <w:bottom w:val="single" w:sz="4" w:space="1" w:color="auto"/>
          <w:right w:val="single" w:sz="4" w:space="4" w:color="auto"/>
          <w:between w:val="none" w:sz="0" w:space="0" w:color="auto"/>
          <w:bar w:val="none" w:sz="0" w:color="auto"/>
        </w:pBdr>
        <w:ind w:left="284" w:hanging="284"/>
        <w:jc w:val="both"/>
        <w:rPr>
          <w:rFonts w:eastAsia="Times New Roman"/>
          <w:iCs/>
          <w:color w:val="000000"/>
          <w:bdr w:val="none" w:sz="0" w:space="0" w:color="auto"/>
          <w:lang w:val="lt-LT" w:eastAsia="lt-LT"/>
        </w:rPr>
      </w:pPr>
      <w:r w:rsidRPr="005A71D9">
        <w:rPr>
          <w:rFonts w:eastAsia="Times New Roman"/>
          <w:iCs/>
          <w:color w:val="000000"/>
          <w:bdr w:val="none" w:sz="0" w:space="0" w:color="auto"/>
          <w:lang w:val="lt-LT" w:eastAsia="lt-LT"/>
        </w:rPr>
        <w:t>EK ir Europos centrinis bankas kartu peržiūrės platų priemonių ir teisinių bei techninių klaus</w:t>
      </w:r>
      <w:r w:rsidRPr="005A71D9">
        <w:rPr>
          <w:rFonts w:eastAsia="Times New Roman"/>
          <w:iCs/>
          <w:color w:val="000000"/>
          <w:bdr w:val="none" w:sz="0" w:space="0" w:color="auto"/>
          <w:lang w:val="lt-LT" w:eastAsia="lt-LT"/>
        </w:rPr>
        <w:t>i</w:t>
      </w:r>
      <w:r w:rsidRPr="005A71D9">
        <w:rPr>
          <w:rFonts w:eastAsia="Times New Roman"/>
          <w:iCs/>
          <w:color w:val="000000"/>
          <w:bdr w:val="none" w:sz="0" w:space="0" w:color="auto"/>
          <w:lang w:val="lt-LT" w:eastAsia="lt-LT"/>
        </w:rPr>
        <w:t>mų spektrą, susijusį su skaitmeninio euro įvedimu.</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
          <w:u w:val="single"/>
          <w:bdr w:val="none" w:sz="0" w:space="0" w:color="auto"/>
          <w:lang w:val="lt-LT"/>
        </w:rPr>
      </w:pPr>
    </w:p>
    <w:p w:rsidR="005A71D9" w:rsidRPr="0096658E"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rFonts w:eastAsia="Times New Roman"/>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EF39C4" w:rsidRPr="00EF39C4">
        <w:rPr>
          <w:lang w:val="lt-LT"/>
        </w:rPr>
        <w:t>Sutinkame, kad stipresnis tarptautinis euro vaidmuo prisidėtų prie ES ekon</w:t>
      </w:r>
      <w:r w:rsidR="00EF39C4" w:rsidRPr="00EF39C4">
        <w:rPr>
          <w:lang w:val="lt-LT"/>
        </w:rPr>
        <w:t>o</w:t>
      </w:r>
      <w:r w:rsidR="00EF39C4" w:rsidRPr="00EF39C4">
        <w:rPr>
          <w:lang w:val="lt-LT"/>
        </w:rPr>
        <w:t xml:space="preserve">minės ir finansų sistemos stabilumo ir atsparumo. </w:t>
      </w:r>
      <w:r w:rsidRPr="00EF39C4">
        <w:rPr>
          <w:bdr w:val="none" w:sz="0" w:space="0" w:color="auto"/>
          <w:lang w:val="lt-LT"/>
        </w:rPr>
        <w:t>Manome, kad esminė sąlyga tarptautiniam euro vaidmeniui stiprėti yra sklandus EZ ekonominės ir finansinės sistemos veikimas. Tam labai svarbu užbaigti Bankų sąjungą ir Kapitalo rinkų sąjungą.</w:t>
      </w:r>
      <w:r w:rsidRPr="00EF39C4">
        <w:rPr>
          <w:rFonts w:eastAsia="Calibri"/>
          <w:color w:val="000000"/>
          <w:bdr w:val="none" w:sz="0" w:space="0" w:color="auto"/>
          <w:lang w:val="lt-LT"/>
        </w:rPr>
        <w:t xml:space="preserve"> </w:t>
      </w:r>
      <w:r w:rsidR="00EF39C4" w:rsidRPr="00EF39C4">
        <w:rPr>
          <w:rFonts w:eastAsia="Times New Roman"/>
          <w:lang w:val="lt-LT" w:eastAsia="fr-BE"/>
        </w:rPr>
        <w:t>Pritariame tolimesnėms diskusijoms dėl skai</w:t>
      </w:r>
      <w:r w:rsidR="00EF39C4" w:rsidRPr="00EF39C4">
        <w:rPr>
          <w:rFonts w:eastAsia="Times New Roman"/>
          <w:lang w:val="lt-LT" w:eastAsia="fr-BE"/>
        </w:rPr>
        <w:t>t</w:t>
      </w:r>
      <w:r w:rsidR="00EF39C4" w:rsidRPr="00EF39C4">
        <w:rPr>
          <w:rFonts w:eastAsia="Times New Roman"/>
          <w:lang w:val="lt-LT" w:eastAsia="fr-BE"/>
        </w:rPr>
        <w:t>meninio euro</w:t>
      </w:r>
      <w:r w:rsidR="0096658E">
        <w:rPr>
          <w:rFonts w:eastAsia="Times New Roman"/>
          <w:lang w:val="lt-LT" w:eastAsia="fr-BE"/>
        </w:rPr>
        <w:t xml:space="preserve"> sukūrimo</w:t>
      </w:r>
      <w:r w:rsidR="00EF39C4" w:rsidRPr="00EF39C4">
        <w:rPr>
          <w:rFonts w:eastAsia="Times New Roman"/>
          <w:lang w:val="lt-LT" w:eastAsia="fr-BE"/>
        </w:rPr>
        <w:t xml:space="preserve">. Pasisakome už tai, kad </w:t>
      </w:r>
      <w:r w:rsidR="0096658E">
        <w:rPr>
          <w:rFonts w:eastAsia="Times New Roman"/>
          <w:lang w:val="lt-LT" w:eastAsia="fr-BE"/>
        </w:rPr>
        <w:t>sprendžiant</w:t>
      </w:r>
      <w:r w:rsidR="00EF39C4" w:rsidRPr="00EF39C4">
        <w:rPr>
          <w:rFonts w:eastAsia="Times New Roman"/>
          <w:lang w:val="lt-LT" w:eastAsia="fr-BE"/>
        </w:rPr>
        <w:t xml:space="preserve"> dėl skaitmeninio euro dizaino </w:t>
      </w:r>
      <w:r w:rsidR="0096658E">
        <w:rPr>
          <w:rFonts w:eastAsia="Times New Roman"/>
          <w:lang w:val="lt-LT" w:eastAsia="fr-BE"/>
        </w:rPr>
        <w:t>būtų nuodugniai įvertintos galimos rizikos</w:t>
      </w:r>
      <w:r w:rsidR="0096658E" w:rsidRPr="00EF39C4">
        <w:rPr>
          <w:rFonts w:eastAsia="Times New Roman"/>
          <w:lang w:val="lt-LT" w:eastAsia="fr-BE"/>
        </w:rPr>
        <w:t xml:space="preserve"> finansiniam stabilumui</w:t>
      </w:r>
      <w:r w:rsidR="0096658E">
        <w:rPr>
          <w:rFonts w:eastAsia="Times New Roman"/>
          <w:lang w:val="lt-LT" w:eastAsia="fr-BE"/>
        </w:rPr>
        <w:t>,</w:t>
      </w:r>
      <w:r w:rsidR="00EF39C4" w:rsidRPr="00EF39C4">
        <w:rPr>
          <w:rFonts w:eastAsia="Times New Roman"/>
          <w:lang w:val="lt-LT" w:eastAsia="fr-BE"/>
        </w:rPr>
        <w:t xml:space="preserve"> f</w:t>
      </w:r>
      <w:r w:rsidR="0096658E">
        <w:rPr>
          <w:rFonts w:eastAsia="Times New Roman"/>
          <w:lang w:val="lt-LT" w:eastAsia="fr-BE"/>
        </w:rPr>
        <w:t>inansų sistemos vientisumui</w:t>
      </w:r>
      <w:r w:rsidR="00EF39C4" w:rsidRPr="00EF39C4">
        <w:rPr>
          <w:rFonts w:eastAsia="Times New Roman"/>
          <w:lang w:val="lt-LT" w:eastAsia="fr-BE"/>
        </w:rPr>
        <w:t xml:space="preserve"> bei monetarinės politikos tiks</w:t>
      </w:r>
      <w:r w:rsidR="0096658E">
        <w:rPr>
          <w:rFonts w:eastAsia="Times New Roman"/>
          <w:lang w:val="lt-LT" w:eastAsia="fr-BE"/>
        </w:rPr>
        <w:t>lų įgyvendinimui</w:t>
      </w:r>
      <w:r w:rsidR="00EF39C4" w:rsidRPr="00EF39C4">
        <w:rPr>
          <w:rFonts w:eastAsia="Times New Roman"/>
          <w:lang w:val="lt-LT" w:eastAsia="fr-BE"/>
        </w:rPr>
        <w:t>.</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bdr w:val="none" w:sz="0" w:space="0" w:color="auto"/>
          <w:lang w:val="lt-LT"/>
        </w:rPr>
      </w:pP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5A71D9">
        <w:rPr>
          <w:b/>
          <w:color w:val="202124"/>
          <w:bdr w:val="none" w:sz="0" w:space="0" w:color="auto"/>
          <w:lang w:val="lt-LT"/>
        </w:rPr>
        <w:t>3. Įmonių mokumas – esama padėtis</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EG posėdyje bus diskutuojama </w:t>
      </w:r>
      <w:r w:rsidR="0096658E">
        <w:rPr>
          <w:rFonts w:eastAsia="Calibri"/>
          <w:bdr w:val="none" w:sz="0" w:space="0" w:color="auto"/>
          <w:lang w:val="lt-LT"/>
        </w:rPr>
        <w:t>į</w:t>
      </w:r>
      <w:r w:rsidRPr="005A71D9">
        <w:rPr>
          <w:rFonts w:eastAsia="Calibri"/>
          <w:bdr w:val="none" w:sz="0" w:space="0" w:color="auto"/>
          <w:lang w:val="lt-LT"/>
        </w:rPr>
        <w:t>monių mokumo klausimu.</w:t>
      </w:r>
      <w:r w:rsidRPr="005A71D9">
        <w:rPr>
          <w:rFonts w:eastAsia="Calibri"/>
          <w:b/>
          <w:bdr w:val="none" w:sz="0" w:space="0" w:color="auto"/>
          <w:lang w:val="lt-LT"/>
        </w:rPr>
        <w:t xml:space="preserve"> </w:t>
      </w:r>
      <w:r w:rsidRPr="005A71D9">
        <w:rPr>
          <w:bdr w:val="none" w:sz="0" w:space="0" w:color="auto"/>
          <w:lang w:val="lt-LT"/>
        </w:rPr>
        <w:t>COVID-19 krizė p</w:t>
      </w:r>
      <w:r w:rsidRPr="005A71D9">
        <w:rPr>
          <w:bdr w:val="none" w:sz="0" w:space="0" w:color="auto"/>
          <w:lang w:val="lt-LT"/>
        </w:rPr>
        <w:t>a</w:t>
      </w:r>
      <w:r w:rsidRPr="005A71D9">
        <w:rPr>
          <w:bdr w:val="none" w:sz="0" w:space="0" w:color="auto"/>
          <w:lang w:val="lt-LT"/>
        </w:rPr>
        <w:t>darė didelę įtaką visiems įmonių sektoriams, kurie susidūrė su likvidumo problemomis. EZ įm</w:t>
      </w:r>
      <w:r w:rsidRPr="005A71D9">
        <w:rPr>
          <w:bdr w:val="none" w:sz="0" w:space="0" w:color="auto"/>
          <w:lang w:val="lt-LT"/>
        </w:rPr>
        <w:t>o</w:t>
      </w:r>
      <w:r w:rsidRPr="005A71D9">
        <w:rPr>
          <w:bdr w:val="none" w:sz="0" w:space="0" w:color="auto"/>
          <w:lang w:val="lt-LT"/>
        </w:rPr>
        <w:t>nės likvidumo problemas sprendė naudodamos savo pinigų atsargas, taip pat skolinimosi ir v</w:t>
      </w:r>
      <w:r w:rsidRPr="005A71D9">
        <w:rPr>
          <w:bdr w:val="none" w:sz="0" w:space="0" w:color="auto"/>
          <w:lang w:val="lt-LT"/>
        </w:rPr>
        <w:t>y</w:t>
      </w:r>
      <w:r w:rsidRPr="005A71D9">
        <w:rPr>
          <w:bdr w:val="none" w:sz="0" w:space="0" w:color="auto"/>
          <w:lang w:val="lt-LT"/>
        </w:rPr>
        <w:t>riausybių paramos schemas. Pasibaigus valstybių taikomoms paramos priemonėms, tikėtina, pad</w:t>
      </w:r>
      <w:r w:rsidRPr="005A71D9">
        <w:rPr>
          <w:bdr w:val="none" w:sz="0" w:space="0" w:color="auto"/>
          <w:lang w:val="lt-LT"/>
        </w:rPr>
        <w:t>i</w:t>
      </w:r>
      <w:r w:rsidRPr="005A71D9">
        <w:rPr>
          <w:bdr w:val="none" w:sz="0" w:space="0" w:color="auto"/>
          <w:lang w:val="lt-LT"/>
        </w:rPr>
        <w:t xml:space="preserve">dės negrąžintų paskolų ir nemokumo atvejų. Visos EZ šalys įdiegė valstybės garantijų schemas ir beveik visos įgyvendino tam tikrą paskolų grąžinimo moratoriumą. Tačiau taikomas visuotinis įmonių rėmimas palaipsniui turėtų pereiti į tikslingesnius veiksmus, nukreipiančius finansavimą įmonėms, kurioms to reikia ir kurios yra </w:t>
      </w:r>
      <w:r w:rsidR="0096658E">
        <w:rPr>
          <w:bdr w:val="none" w:sz="0" w:space="0" w:color="auto"/>
          <w:lang w:val="lt-LT"/>
        </w:rPr>
        <w:t>gyvybingos</w:t>
      </w:r>
      <w:r w:rsidRPr="005A71D9">
        <w:rPr>
          <w:bdr w:val="none" w:sz="0" w:space="0" w:color="auto"/>
          <w:lang w:val="lt-LT"/>
        </w:rPr>
        <w:t>.</w:t>
      </w:r>
    </w:p>
    <w:p w:rsidR="005A71D9" w:rsidRPr="005A71D9" w:rsidRDefault="005A71D9" w:rsidP="005A71D9">
      <w:pPr>
        <w:widowControl w:val="0"/>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suppressAutoHyphens/>
        <w:autoSpaceDN w:val="0"/>
        <w:jc w:val="both"/>
        <w:textAlignment w:val="baseline"/>
        <w:rPr>
          <w:rFonts w:hAnsi="Arial Unicode MS" w:cs="Arial Unicode MS"/>
          <w:color w:val="000000"/>
          <w:u w:color="000000"/>
          <w:bdr w:val="none" w:sz="0" w:space="0" w:color="auto"/>
          <w:lang w:val="lt-LT"/>
        </w:rPr>
      </w:pPr>
      <w:r w:rsidRPr="005A71D9">
        <w:rPr>
          <w:rFonts w:hAnsi="Arial Unicode MS" w:cs="Arial Unicode MS"/>
          <w:color w:val="000000"/>
          <w:u w:color="000000"/>
          <w:bdr w:val="none" w:sz="0" w:space="0" w:color="auto"/>
          <w:lang w:val="lt-LT"/>
        </w:rPr>
        <w:t xml:space="preserve"> </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b/>
          <w:u w:val="single"/>
          <w:bdr w:val="none" w:sz="0" w:space="0" w:color="auto"/>
          <w:lang w:val="lt-LT"/>
        </w:rPr>
      </w:pPr>
      <w:r w:rsidRPr="005A71D9">
        <w:rPr>
          <w:b/>
          <w:u w:val="single"/>
          <w:bdr w:val="none" w:sz="0" w:space="0" w:color="auto"/>
          <w:lang w:val="lt-LT"/>
        </w:rPr>
        <w:t>Lietuvos pozicija.</w:t>
      </w:r>
      <w:r w:rsidRPr="005A71D9">
        <w:rPr>
          <w:b/>
          <w:bdr w:val="none" w:sz="0" w:space="0" w:color="auto"/>
          <w:lang w:val="lt-LT"/>
        </w:rPr>
        <w:t xml:space="preserve"> </w:t>
      </w:r>
      <w:r w:rsidRPr="005A71D9">
        <w:rPr>
          <w:bdr w:val="none" w:sz="0" w:space="0" w:color="auto"/>
          <w:lang w:val="lt-LT"/>
        </w:rPr>
        <w:t>Įmonių mokumo išsaugojimo klausimas turi būti sprendžiamas įvertinant V</w:t>
      </w:r>
      <w:r w:rsidRPr="005A71D9">
        <w:rPr>
          <w:bdr w:val="none" w:sz="0" w:space="0" w:color="auto"/>
          <w:lang w:val="lt-LT"/>
        </w:rPr>
        <w:t>y</w:t>
      </w:r>
      <w:r w:rsidRPr="005A71D9">
        <w:rPr>
          <w:bdr w:val="none" w:sz="0" w:space="0" w:color="auto"/>
          <w:lang w:val="lt-LT"/>
        </w:rPr>
        <w:t>riausybės taikomų pagalbos priemonių laipsnišką perėjimą prie tikslingesnių ir ilgalaikių, į gyv</w:t>
      </w:r>
      <w:r w:rsidRPr="005A71D9">
        <w:rPr>
          <w:bdr w:val="none" w:sz="0" w:space="0" w:color="auto"/>
          <w:lang w:val="lt-LT"/>
        </w:rPr>
        <w:t>y</w:t>
      </w:r>
      <w:r w:rsidRPr="005A71D9">
        <w:rPr>
          <w:bdr w:val="none" w:sz="0" w:space="0" w:color="auto"/>
          <w:lang w:val="lt-LT"/>
        </w:rPr>
        <w:t>bingas įmones orientuotų, priemonių taikymą. Lietuvoje neseniai įgyvendinta nemokumo reforma, kuri sudarė galimyb</w:t>
      </w:r>
      <w:r w:rsidR="0096658E">
        <w:rPr>
          <w:bdr w:val="none" w:sz="0" w:space="0" w:color="auto"/>
          <w:lang w:val="lt-LT"/>
        </w:rPr>
        <w:t>e</w:t>
      </w:r>
      <w:r w:rsidRPr="005A71D9">
        <w:rPr>
          <w:bdr w:val="none" w:sz="0" w:space="0" w:color="auto"/>
          <w:lang w:val="lt-LT"/>
        </w:rPr>
        <w:t>s efektyvioms nemokumo procedūroms ir padidin</w:t>
      </w:r>
      <w:r w:rsidR="0096658E">
        <w:rPr>
          <w:bdr w:val="none" w:sz="0" w:space="0" w:color="auto"/>
          <w:lang w:val="lt-LT"/>
        </w:rPr>
        <w:t>o</w:t>
      </w:r>
      <w:r w:rsidRPr="005A71D9">
        <w:rPr>
          <w:bdr w:val="none" w:sz="0" w:space="0" w:color="auto"/>
          <w:lang w:val="lt-LT"/>
        </w:rPr>
        <w:t xml:space="preserve"> galimyb</w:t>
      </w:r>
      <w:r w:rsidR="0096658E">
        <w:rPr>
          <w:bdr w:val="none" w:sz="0" w:space="0" w:color="auto"/>
          <w:lang w:val="lt-LT"/>
        </w:rPr>
        <w:t>e</w:t>
      </w:r>
      <w:r w:rsidRPr="005A71D9">
        <w:rPr>
          <w:bdr w:val="none" w:sz="0" w:space="0" w:color="auto"/>
          <w:lang w:val="lt-LT"/>
        </w:rPr>
        <w:t>s gyvybingoms įmonėms išsaugoti savo verslą</w:t>
      </w:r>
      <w:r w:rsidR="0096658E">
        <w:rPr>
          <w:color w:val="000000"/>
          <w:bdr w:val="none" w:sz="0" w:space="0" w:color="auto"/>
          <w:lang w:val="lt-LT"/>
        </w:rPr>
        <w:t>, tai</w:t>
      </w:r>
      <w:r w:rsidRPr="005A71D9">
        <w:rPr>
          <w:color w:val="000000"/>
          <w:bdr w:val="none" w:sz="0" w:space="0" w:color="auto"/>
          <w:lang w:val="lt-LT"/>
        </w:rPr>
        <w:t xml:space="preserve"> kaip tik atliepia COVID-19 krizės iššūkius</w:t>
      </w:r>
      <w:r w:rsidRPr="005A71D9">
        <w:rPr>
          <w:bdr w:val="none" w:sz="0" w:space="0" w:color="auto"/>
          <w:lang w:val="lt-LT"/>
        </w:rPr>
        <w:t>. Prie pagalbos įm</w:t>
      </w:r>
      <w:r w:rsidRPr="005A71D9">
        <w:rPr>
          <w:bdr w:val="none" w:sz="0" w:space="0" w:color="auto"/>
          <w:lang w:val="lt-LT"/>
        </w:rPr>
        <w:t>o</w:t>
      </w:r>
      <w:r w:rsidRPr="005A71D9">
        <w:rPr>
          <w:bdr w:val="none" w:sz="0" w:space="0" w:color="auto"/>
          <w:lang w:val="lt-LT"/>
        </w:rPr>
        <w:t xml:space="preserve">nėms galėtų būti prisidedama ir sukuriant ankstyvojo perspėjimo sistemas, skirtas su finansiniais sunkumais susiduriančiomis įmonėmis. Lietuvoje tokia sistema pradės veikti šių metų viduryje, o sistemos įgyvendinimui numatoma pasinaudoti </w:t>
      </w:r>
      <w:r w:rsidR="005107B8">
        <w:rPr>
          <w:bCs/>
          <w:bdr w:val="none" w:sz="0" w:space="0" w:color="auto"/>
          <w:lang w:val="lt-LT"/>
        </w:rPr>
        <w:t>RRF</w:t>
      </w:r>
      <w:r w:rsidRPr="005A71D9">
        <w:rPr>
          <w:bdr w:val="none" w:sz="0" w:space="0" w:color="auto"/>
          <w:lang w:val="lt-LT"/>
        </w:rPr>
        <w:t xml:space="preserve"> plano priemonėmis.</w:t>
      </w:r>
      <w:r w:rsidRPr="005A71D9">
        <w:rPr>
          <w:b/>
          <w:bdr w:val="none" w:sz="0" w:space="0" w:color="auto"/>
          <w:lang w:val="lt-LT"/>
        </w:rPr>
        <w:t xml:space="preserve"> </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color w:val="000000"/>
          <w:u w:color="000000"/>
          <w:bdr w:val="none" w:sz="0" w:space="0" w:color="auto"/>
          <w:lang w:val="lt-LT"/>
        </w:rPr>
        <w:t xml:space="preserve"> </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5A71D9">
        <w:rPr>
          <w:b/>
          <w:color w:val="202124"/>
          <w:bdr w:val="none" w:sz="0" w:space="0" w:color="auto"/>
          <w:lang w:val="lt-LT"/>
        </w:rPr>
        <w:t>4. Įvairūs klausimai:</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rFonts w:eastAsia="Times New Roman"/>
          <w:b/>
          <w:color w:val="202124"/>
          <w:bdr w:val="none" w:sz="0" w:space="0" w:color="auto"/>
          <w:lang w:val="lt-LT" w:eastAsia="lt-LT"/>
        </w:rPr>
      </w:pPr>
      <w:r w:rsidRPr="005A71D9">
        <w:rPr>
          <w:b/>
          <w:color w:val="202124"/>
          <w:bdr w:val="none" w:sz="0" w:space="0" w:color="auto"/>
          <w:lang w:val="lt-LT"/>
        </w:rPr>
        <w:t xml:space="preserve">a) </w:t>
      </w:r>
      <w:r w:rsidRPr="005A71D9">
        <w:rPr>
          <w:rFonts w:eastAsia="Times New Roman"/>
          <w:b/>
          <w:color w:val="202124"/>
          <w:bdr w:val="none" w:sz="0" w:space="0" w:color="auto"/>
          <w:lang w:val="lt-LT" w:eastAsia="lt-LT"/>
        </w:rPr>
        <w:t>Atnaujintas Lietuvos biudžeto projektas</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EG posėdyje bus pristatytas š. m. sausio 20 d. EK paskelbtas Lietuvos atnaujinto 2021 m. biudžeto projekto vertinimas. EK nuomone, Lietuva imasi tinkamų fiskalinių priemonių reaguodama į COVID-19 pandemijos raidos sukeliamą neigiamą poveikį šalies ekonomikai, žm</w:t>
      </w:r>
      <w:r w:rsidRPr="005A71D9">
        <w:rPr>
          <w:bdr w:val="none" w:sz="0" w:space="0" w:color="auto"/>
          <w:lang w:val="lt-LT"/>
        </w:rPr>
        <w:t>o</w:t>
      </w:r>
      <w:r w:rsidRPr="005A71D9">
        <w:rPr>
          <w:bdr w:val="none" w:sz="0" w:space="0" w:color="auto"/>
          <w:lang w:val="lt-LT"/>
        </w:rPr>
        <w:t>nėms, sveikatos apsaugos sistemai, o vykdoma fiskalinė politika atitinka dar 2020 m. liepos mėn. Tarybos paskelbtas rekomendacijas Lietuvai.</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dr w:val="none" w:sz="0" w:space="0" w:color="auto"/>
          <w:lang w:val="lt-LT"/>
        </w:rPr>
        <w:t>EK konstatuoja, kad Lietuva 2020 m. ėmėsi pagalbos priemonių, susijusių su COVID-19 pand</w:t>
      </w:r>
      <w:r w:rsidRPr="005A71D9">
        <w:rPr>
          <w:bdr w:val="none" w:sz="0" w:space="0" w:color="auto"/>
          <w:lang w:val="lt-LT"/>
        </w:rPr>
        <w:t>e</w:t>
      </w:r>
      <w:r w:rsidRPr="005A71D9">
        <w:rPr>
          <w:bdr w:val="none" w:sz="0" w:space="0" w:color="auto"/>
          <w:lang w:val="lt-LT"/>
        </w:rPr>
        <w:t>mijos suke</w:t>
      </w:r>
      <w:r w:rsidR="0096658E">
        <w:rPr>
          <w:bdr w:val="none" w:sz="0" w:space="0" w:color="auto"/>
          <w:lang w:val="lt-LT"/>
        </w:rPr>
        <w:t>l</w:t>
      </w:r>
      <w:r w:rsidRPr="005A71D9">
        <w:rPr>
          <w:bdr w:val="none" w:sz="0" w:space="0" w:color="auto"/>
          <w:lang w:val="lt-LT"/>
        </w:rPr>
        <w:t>ta krize, ir kitų, nesusijusių su COVID-19 pagalbos priemon</w:t>
      </w:r>
      <w:r w:rsidR="0096658E">
        <w:rPr>
          <w:bdr w:val="none" w:sz="0" w:space="0" w:color="auto"/>
          <w:lang w:val="lt-LT"/>
        </w:rPr>
        <w:t>ių</w:t>
      </w:r>
      <w:r w:rsidRPr="005A71D9">
        <w:rPr>
          <w:bdr w:val="none" w:sz="0" w:space="0" w:color="auto"/>
          <w:lang w:val="lt-LT"/>
        </w:rPr>
        <w:t>, už 6,8 proc. BVP (0,4 proc. BVP pajamų – diskrecinės priemonės; 6,4 proc. BVP – išlaidų diskrecinės priemonės). 2021 m. numatyta diskrecinių priemonių už 3,9 proc. BVP. Iš jų: 0,2 proc. BVP pajamų priemonės; 3,7 proc. BVP – išlaidų priemonės.</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5A71D9">
        <w:rPr>
          <w:bdr w:val="none" w:sz="0" w:space="0" w:color="auto"/>
          <w:lang w:val="lt-LT"/>
        </w:rPr>
        <w:t xml:space="preserve">EK atkreipia dėmesį, kad 2021 m. 1,8 proc. BVP priemonių nėra laikinos priemonės (socialinių išmokų, pensijų, viešojo sektoriaus atlyginimų, neapmokestinamųjų pajamų dydžio didinimas), kurios nėra atsvertos naujomis pajamų priemonėmis. </w:t>
      </w:r>
      <w:r w:rsidRPr="005A71D9">
        <w:rPr>
          <w:color w:val="000000"/>
          <w:bdr w:val="none" w:sz="0" w:space="0" w:color="auto"/>
          <w:lang w:val="lt-LT"/>
        </w:rPr>
        <w:t>Dėl to, anot EK, gali kilti rizika vidutinio ir ilgojo laikotarpių valdžios sektoriaus finansų ir skolos tvarumui.</w:t>
      </w:r>
    </w:p>
    <w:p w:rsidR="004450FB"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dr w:val="none" w:sz="0" w:space="0" w:color="auto"/>
          <w:lang w:val="lt-LT"/>
        </w:rPr>
        <w:t xml:space="preserve">2021 m. EK Lietuvai prognozuoja 7,2 proc. BVP valdžios sektoriaus deficitą. Finansų ministerijos (toliau – FM) projektuojamas valdžios sektoriaus deficitas 2021 m. sudarys 7 proc. BVP. FM ir EK valdžios sektoriaus skolos projekcijos 2021 m. esmingai nesiskiria. Pagal EK, 2021 m. skola </w:t>
      </w:r>
    </w:p>
    <w:p w:rsidR="00105437"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dr w:val="none" w:sz="0" w:space="0" w:color="auto"/>
          <w:lang w:val="lt-LT"/>
        </w:rPr>
        <w:t xml:space="preserve">sudarys 51,3 proc. BVP, o FM vertinimu – 51,9 proc. BVP. EK vertinimu, Lietuvos ekonomika </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bookmarkStart w:id="0" w:name="_GoBack"/>
      <w:bookmarkEnd w:id="0"/>
      <w:r w:rsidRPr="005A71D9">
        <w:rPr>
          <w:bdr w:val="none" w:sz="0" w:space="0" w:color="auto"/>
          <w:lang w:val="lt-LT"/>
        </w:rPr>
        <w:t xml:space="preserve">2021 m. augs 2,9 proc. </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dr w:val="none" w:sz="0" w:space="0" w:color="auto"/>
          <w:lang w:val="lt-LT"/>
        </w:rPr>
        <w:t>EK, vertindama atnaujintą Lietuvos 2021 m. biudžeto projektą, netaikė ES Stabilumo ir augimo pakte (SAP) nustatytų fiskalinės drausmės taisyklių. Šalims patiriant ekonominį nuosmukį dėl COVID-19 pandemijos, t. y. kilus ES, EZ ekonominei krizei, 2021 m. EK taiko bendrąją SAP lankstumo sąlygą.</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dr w:val="none" w:sz="0" w:space="0" w:color="auto"/>
          <w:lang w:val="lt-LT"/>
        </w:rPr>
        <w:t>EK ragina rimtą dėmesį skirti ekonomikos gaivinimo priemonėms, vengti greito priemonių n</w:t>
      </w:r>
      <w:r w:rsidRPr="005A71D9">
        <w:rPr>
          <w:bdr w:val="none" w:sz="0" w:space="0" w:color="auto"/>
          <w:lang w:val="lt-LT"/>
        </w:rPr>
        <w:t>u</w:t>
      </w:r>
      <w:r w:rsidRPr="005A71D9">
        <w:rPr>
          <w:bdr w:val="none" w:sz="0" w:space="0" w:color="auto"/>
          <w:lang w:val="lt-LT"/>
        </w:rPr>
        <w:t xml:space="preserve">traukimo, ypač kai </w:t>
      </w:r>
      <w:proofErr w:type="spellStart"/>
      <w:r w:rsidRPr="005A71D9">
        <w:rPr>
          <w:bdr w:val="none" w:sz="0" w:space="0" w:color="auto"/>
          <w:lang w:val="lt-LT"/>
        </w:rPr>
        <w:t>pandeminė</w:t>
      </w:r>
      <w:proofErr w:type="spellEnd"/>
      <w:r w:rsidRPr="005A71D9">
        <w:rPr>
          <w:bdr w:val="none" w:sz="0" w:space="0" w:color="auto"/>
          <w:lang w:val="lt-LT"/>
        </w:rPr>
        <w:t xml:space="preserve"> situacija bloga, kas gali turėti žalos atsigavimui. Tačiau pabrėžiama tvarumo svarba, skolos lygį išsaugant kiek galima tvaresnį</w:t>
      </w:r>
      <w:r w:rsidR="005721A0" w:rsidRPr="00E47362">
        <w:rPr>
          <w:bdr w:val="none" w:sz="0" w:space="0" w:color="auto"/>
          <w:lang w:val="lt-LT"/>
        </w:rPr>
        <w:t>.</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rFonts w:eastAsia="Calibri"/>
          <w:b/>
          <w:bdr w:val="none" w:sz="0" w:space="0" w:color="auto"/>
          <w:lang w:val="lt-LT"/>
        </w:rPr>
      </w:pP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b/>
          <w:color w:val="000000"/>
          <w:u w:val="single" w:color="000000"/>
          <w:bdr w:val="none" w:sz="0" w:space="0" w:color="auto"/>
          <w:lang w:val="lt-LT"/>
        </w:rPr>
        <w:t>Lietuvos pozicija.</w:t>
      </w:r>
      <w:r w:rsidRPr="005A71D9">
        <w:rPr>
          <w:color w:val="000000"/>
          <w:u w:color="000000"/>
          <w:bdr w:val="none" w:sz="0" w:space="0" w:color="auto"/>
          <w:lang w:val="lt-LT"/>
        </w:rPr>
        <w:t xml:space="preserve"> </w:t>
      </w:r>
      <w:r w:rsidRPr="005A71D9">
        <w:rPr>
          <w:bCs/>
          <w:color w:val="000000"/>
          <w:u w:color="000000"/>
          <w:bdr w:val="none" w:sz="0" w:space="0" w:color="auto"/>
          <w:lang w:val="lt-LT"/>
        </w:rPr>
        <w:t>Iš esmės pritariame EK vertinimui</w:t>
      </w:r>
      <w:r w:rsidRPr="005A71D9">
        <w:rPr>
          <w:color w:val="000000"/>
          <w:u w:color="000000"/>
          <w:bdr w:val="none" w:sz="0" w:space="0" w:color="auto"/>
          <w:lang w:val="lt-LT"/>
        </w:rPr>
        <w:t>.</w:t>
      </w:r>
      <w:r w:rsidR="00E17C1D" w:rsidRPr="009A0A41">
        <w:rPr>
          <w:lang w:val="fr-FR"/>
        </w:rPr>
        <w:t xml:space="preserve"> </w:t>
      </w:r>
      <w:r w:rsidR="006D395F" w:rsidRPr="00E50056">
        <w:rPr>
          <w:color w:val="000000"/>
          <w:u w:color="000000"/>
          <w:bdr w:val="none" w:sz="0" w:space="0" w:color="auto"/>
          <w:lang w:val="lt-LT"/>
        </w:rPr>
        <w:t>Lietuva didelį dėmesį skiria tam, kad bi</w:t>
      </w:r>
      <w:r w:rsidR="006D395F" w:rsidRPr="00E50056">
        <w:rPr>
          <w:color w:val="000000"/>
          <w:u w:color="000000"/>
          <w:bdr w:val="none" w:sz="0" w:space="0" w:color="auto"/>
          <w:lang w:val="lt-LT"/>
        </w:rPr>
        <w:t>u</w:t>
      </w:r>
      <w:r w:rsidR="006D395F" w:rsidRPr="00E50056">
        <w:rPr>
          <w:color w:val="000000"/>
          <w:u w:color="000000"/>
          <w:bdr w:val="none" w:sz="0" w:space="0" w:color="auto"/>
          <w:lang w:val="lt-LT"/>
        </w:rPr>
        <w:t xml:space="preserve">džete numatytos kovos COVID-19 priemonės būtų tikslinės ir efektyvios. </w:t>
      </w:r>
      <w:r w:rsidR="00E17C1D" w:rsidRPr="00E50056">
        <w:rPr>
          <w:color w:val="000000"/>
          <w:u w:color="000000"/>
          <w:bdr w:val="none" w:sz="0" w:space="0" w:color="auto"/>
          <w:lang w:val="lt-LT"/>
        </w:rPr>
        <w:t>Sutinkame, kad dalis 2021 m. biudžete  numatytų priemonių nėra laikinos (pensijų, socialinių išmokų, vaiko pinigų d</w:t>
      </w:r>
      <w:r w:rsidR="00E17C1D" w:rsidRPr="00E50056">
        <w:rPr>
          <w:color w:val="000000"/>
          <w:u w:color="000000"/>
          <w:bdr w:val="none" w:sz="0" w:space="0" w:color="auto"/>
          <w:lang w:val="lt-LT"/>
        </w:rPr>
        <w:t>i</w:t>
      </w:r>
      <w:r w:rsidR="00E17C1D" w:rsidRPr="00E50056">
        <w:rPr>
          <w:color w:val="000000"/>
          <w:u w:color="000000"/>
          <w:bdr w:val="none" w:sz="0" w:space="0" w:color="auto"/>
          <w:lang w:val="lt-LT"/>
        </w:rPr>
        <w:t xml:space="preserve">dinimas), tačiau jos yra susijusios su socialinių problemų, į kurias savo rekomendacijose dėmesį atkreipia ir EK, sprendimu. </w:t>
      </w:r>
      <w:r w:rsidR="006D395F" w:rsidRPr="00E50056">
        <w:rPr>
          <w:color w:val="000000"/>
          <w:u w:color="000000"/>
          <w:bdr w:val="none" w:sz="0" w:space="0" w:color="auto"/>
          <w:lang w:val="lt-LT"/>
        </w:rPr>
        <w:t>Ekonomikos atsigavimo skatinimas šiuo laikotarpiu itin aktualus, t</w:t>
      </w:r>
      <w:r w:rsidR="006D395F" w:rsidRPr="00E50056">
        <w:rPr>
          <w:color w:val="000000"/>
          <w:u w:color="000000"/>
          <w:bdr w:val="none" w:sz="0" w:space="0" w:color="auto"/>
          <w:lang w:val="lt-LT"/>
        </w:rPr>
        <w:t>a</w:t>
      </w:r>
      <w:r w:rsidR="006D395F" w:rsidRPr="00E50056">
        <w:rPr>
          <w:color w:val="000000"/>
          <w:u w:color="000000"/>
          <w:bdr w:val="none" w:sz="0" w:space="0" w:color="auto"/>
          <w:lang w:val="lt-LT"/>
        </w:rPr>
        <w:t>čiau taip  pat svarbu galvoti apie valstybės skolos valdymo strategiją bei tvarių fiskalinių rodiklių užtikrinimą ateityje</w:t>
      </w:r>
      <w:r w:rsidR="00E17C1D" w:rsidRPr="00E50056">
        <w:rPr>
          <w:color w:val="000000"/>
          <w:u w:color="000000"/>
          <w:bdr w:val="none" w:sz="0" w:space="0" w:color="auto"/>
          <w:lang w:val="lt-LT"/>
        </w:rPr>
        <w:t>.</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rPr>
          <w:bdr w:val="none" w:sz="0" w:space="0" w:color="auto"/>
          <w:lang w:val="lt-LT"/>
        </w:rPr>
      </w:pP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outlineLvl w:val="1"/>
        <w:rPr>
          <w:bdr w:val="none" w:sz="0" w:space="0" w:color="auto"/>
          <w:lang w:val="lt-LT"/>
        </w:rPr>
      </w:pPr>
      <w:r w:rsidRPr="005A71D9">
        <w:rPr>
          <w:rFonts w:eastAsia="Times New Roman"/>
          <w:b/>
          <w:color w:val="202124"/>
          <w:bdr w:val="none" w:sz="0" w:space="0" w:color="auto"/>
          <w:lang w:val="lt-LT" w:eastAsia="lt-LT"/>
        </w:rPr>
        <w:t>b) Naujosios Estijos vyriausybės politikos prioritetai</w:t>
      </w:r>
      <w:r w:rsidRPr="00E47362">
        <w:rPr>
          <w:rFonts w:eastAsia="Times New Roman"/>
          <w:color w:val="202124"/>
          <w:bdr w:val="none" w:sz="0" w:space="0" w:color="auto"/>
          <w:vertAlign w:val="superscript"/>
          <w:lang w:val="lt-LT" w:eastAsia="lt-LT"/>
        </w:rPr>
        <w:footnoteReference w:id="1"/>
      </w:r>
      <w:r w:rsidRPr="005A71D9">
        <w:rPr>
          <w:rFonts w:eastAsia="Times New Roman"/>
          <w:b/>
          <w:color w:val="202124"/>
          <w:bdr w:val="none" w:sz="0" w:space="0" w:color="auto"/>
          <w:lang w:val="lt-LT" w:eastAsia="lt-LT"/>
        </w:rPr>
        <w:t xml:space="preserve"> </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outlineLvl w:val="1"/>
        <w:rPr>
          <w:rFonts w:eastAsia="Times New Roman"/>
          <w:color w:val="0000FF"/>
          <w:u w:val="single"/>
          <w:bdr w:val="none" w:sz="0" w:space="0" w:color="auto"/>
          <w:lang w:val="lt-LT" w:eastAsia="lt-LT"/>
        </w:rPr>
      </w:pPr>
      <w:r w:rsidRPr="005A71D9">
        <w:rPr>
          <w:b/>
          <w:u w:val="single"/>
          <w:bdr w:val="none" w:sz="0" w:space="0" w:color="auto"/>
          <w:lang w:val="lt-LT"/>
        </w:rPr>
        <w:t>Klausimo esmė.</w:t>
      </w:r>
      <w:r w:rsidRPr="005A71D9">
        <w:rPr>
          <w:bdr w:val="none" w:sz="0" w:space="0" w:color="auto"/>
          <w:lang w:val="lt-LT"/>
        </w:rPr>
        <w:t xml:space="preserve"> </w:t>
      </w:r>
      <w:r w:rsidRPr="005A71D9">
        <w:rPr>
          <w:rFonts w:eastAsia="Times New Roman"/>
          <w:bdr w:val="none" w:sz="0" w:space="0" w:color="auto"/>
          <w:lang w:val="lt-LT" w:eastAsia="lt-LT"/>
        </w:rPr>
        <w:t xml:space="preserve">EG posėdyje taip pat bus pristatyti naujosios Estijos vyriausybės prioritetai. 2021 m. sausio 25 d. Estijos Reformų partijos pirmininkė </w:t>
      </w:r>
      <w:proofErr w:type="spellStart"/>
      <w:r w:rsidRPr="005A71D9">
        <w:rPr>
          <w:rFonts w:eastAsia="Times New Roman"/>
          <w:bdr w:val="none" w:sz="0" w:space="0" w:color="auto"/>
          <w:lang w:val="lt-LT" w:eastAsia="lt-LT"/>
        </w:rPr>
        <w:t>Kaja</w:t>
      </w:r>
      <w:proofErr w:type="spellEnd"/>
      <w:r w:rsidRPr="005A71D9">
        <w:rPr>
          <w:rFonts w:eastAsia="Times New Roman"/>
          <w:bdr w:val="none" w:sz="0" w:space="0" w:color="auto"/>
          <w:lang w:val="lt-LT" w:eastAsia="lt-LT"/>
        </w:rPr>
        <w:t xml:space="preserve"> </w:t>
      </w:r>
      <w:proofErr w:type="spellStart"/>
      <w:r w:rsidRPr="005A71D9">
        <w:rPr>
          <w:rFonts w:eastAsia="Times New Roman"/>
          <w:bdr w:val="none" w:sz="0" w:space="0" w:color="auto"/>
          <w:lang w:val="lt-LT" w:eastAsia="lt-LT"/>
        </w:rPr>
        <w:t>Kallas</w:t>
      </w:r>
      <w:proofErr w:type="spellEnd"/>
      <w:r w:rsidRPr="005A71D9">
        <w:rPr>
          <w:rFonts w:eastAsia="Times New Roman"/>
          <w:bdr w:val="none" w:sz="0" w:space="0" w:color="auto"/>
          <w:lang w:val="lt-LT" w:eastAsia="lt-LT"/>
        </w:rPr>
        <w:t xml:space="preserve"> ir Centro partijos pirmininkas </w:t>
      </w:r>
      <w:proofErr w:type="spellStart"/>
      <w:r w:rsidRPr="005A71D9">
        <w:rPr>
          <w:rFonts w:eastAsia="Times New Roman"/>
          <w:bdr w:val="none" w:sz="0" w:space="0" w:color="auto"/>
          <w:lang w:val="lt-LT" w:eastAsia="lt-LT"/>
        </w:rPr>
        <w:t>Jüri</w:t>
      </w:r>
      <w:proofErr w:type="spellEnd"/>
      <w:r w:rsidRPr="005A71D9">
        <w:rPr>
          <w:rFonts w:eastAsia="Times New Roman"/>
          <w:bdr w:val="none" w:sz="0" w:space="0" w:color="auto"/>
          <w:lang w:val="lt-LT" w:eastAsia="lt-LT"/>
        </w:rPr>
        <w:t xml:space="preserve"> Ratas pasirašė susitarimą dėl naujosios vyriausybės sudarymo. Susitarimą sudaro 6 skyriai:</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1. </w:t>
      </w:r>
      <w:r w:rsidRPr="005A71D9">
        <w:rPr>
          <w:rFonts w:eastAsia="Times New Roman"/>
          <w:b/>
          <w:bdr w:val="none" w:sz="0" w:space="0" w:color="auto"/>
          <w:lang w:val="lt-LT" w:eastAsia="lt-LT"/>
        </w:rPr>
        <w:t>Sveikimo po COVID-19 pandemijos principai:</w:t>
      </w:r>
      <w:r w:rsidRPr="005A71D9">
        <w:rPr>
          <w:rFonts w:eastAsia="Times New Roman"/>
          <w:bdr w:val="none" w:sz="0" w:space="0" w:color="auto"/>
          <w:lang w:val="lt-LT" w:eastAsia="lt-LT"/>
        </w:rPr>
        <w:t xml:space="preserve"> COVID-19 pandemijai suvaldyti reikalingi nuolatiniai ryžtingi veiksmai, siekiant užkirsti kelią ligos plitimui, taip pat skiepyti Estijos žm</w:t>
      </w:r>
      <w:r w:rsidRPr="005A71D9">
        <w:rPr>
          <w:rFonts w:eastAsia="Times New Roman"/>
          <w:bdr w:val="none" w:sz="0" w:space="0" w:color="auto"/>
          <w:lang w:val="lt-LT" w:eastAsia="lt-LT"/>
        </w:rPr>
        <w:t>o</w:t>
      </w:r>
      <w:r w:rsidRPr="005A71D9">
        <w:rPr>
          <w:rFonts w:eastAsia="Times New Roman"/>
          <w:bdr w:val="none" w:sz="0" w:space="0" w:color="auto"/>
          <w:lang w:val="lt-LT" w:eastAsia="lt-LT"/>
        </w:rPr>
        <w:t xml:space="preserve">nes, stiprinti sveikatos priežiūros sistemą, užtikrinti švietimą, visų piliečių pajamas ir remti </w:t>
      </w:r>
      <w:proofErr w:type="spellStart"/>
      <w:r w:rsidRPr="005A71D9">
        <w:rPr>
          <w:rFonts w:eastAsia="Times New Roman"/>
          <w:bdr w:val="none" w:sz="0" w:space="0" w:color="auto"/>
          <w:lang w:val="lt-LT" w:eastAsia="lt-LT"/>
        </w:rPr>
        <w:t>ver</w:t>
      </w:r>
      <w:r w:rsidRPr="005A71D9">
        <w:rPr>
          <w:rFonts w:eastAsia="Times New Roman"/>
          <w:bdr w:val="none" w:sz="0" w:space="0" w:color="auto"/>
          <w:lang w:val="lt-LT" w:eastAsia="lt-LT"/>
        </w:rPr>
        <w:t>s</w:t>
      </w:r>
      <w:r w:rsidRPr="005A71D9">
        <w:rPr>
          <w:rFonts w:eastAsia="Times New Roman"/>
          <w:bdr w:val="none" w:sz="0" w:space="0" w:color="auto"/>
          <w:lang w:val="lt-LT" w:eastAsia="lt-LT"/>
        </w:rPr>
        <w:t>lumą</w:t>
      </w:r>
      <w:proofErr w:type="spellEnd"/>
      <w:r w:rsidRPr="005A71D9">
        <w:rPr>
          <w:rFonts w:eastAsia="Times New Roman"/>
          <w:bdr w:val="none" w:sz="0" w:space="0" w:color="auto"/>
          <w:lang w:val="lt-LT" w:eastAsia="lt-LT"/>
        </w:rPr>
        <w:t>.</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2. </w:t>
      </w:r>
      <w:r w:rsidRPr="005A71D9">
        <w:rPr>
          <w:rFonts w:eastAsia="Times New Roman"/>
          <w:b/>
          <w:bdr w:val="none" w:sz="0" w:space="0" w:color="auto"/>
          <w:lang w:val="lt-LT" w:eastAsia="lt-LT"/>
        </w:rPr>
        <w:t>Sveiki ir patenkinti žmonės:</w:t>
      </w:r>
      <w:r w:rsidRPr="005A71D9">
        <w:rPr>
          <w:rFonts w:eastAsia="Times New Roman"/>
          <w:bdr w:val="none" w:sz="0" w:space="0" w:color="auto"/>
          <w:lang w:val="lt-LT" w:eastAsia="lt-LT"/>
        </w:rPr>
        <w:t xml:space="preserve"> sveikatos priežiūra ir socialinė apsauga.</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3. </w:t>
      </w:r>
      <w:r w:rsidRPr="005A71D9">
        <w:rPr>
          <w:rFonts w:eastAsia="Times New Roman"/>
          <w:b/>
          <w:bdr w:val="none" w:sz="0" w:space="0" w:color="auto"/>
          <w:lang w:val="lt-LT" w:eastAsia="lt-LT"/>
        </w:rPr>
        <w:t>Sumani ekonomika:</w:t>
      </w:r>
      <w:r w:rsidRPr="005A71D9">
        <w:rPr>
          <w:rFonts w:eastAsia="Times New Roman"/>
          <w:bdr w:val="none" w:sz="0" w:space="0" w:color="auto"/>
          <w:lang w:val="lt-LT" w:eastAsia="lt-LT"/>
        </w:rPr>
        <w:t xml:space="preserve"> moksliniai tyrimai, eksperimentinė plėtra ir inovacijos; infrastruktūra ir modernios jungtys; patraukli verslininkystė ir verslo aplinka; darbo jėga – aukštas užimtumo lygis, lankstūs darbo santykiai ir kontroliuojama migracija; nacionaliniai finansai ir mokesčių politika.</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4. </w:t>
      </w:r>
      <w:r w:rsidRPr="005A71D9">
        <w:rPr>
          <w:rFonts w:eastAsia="Times New Roman"/>
          <w:b/>
          <w:bdr w:val="none" w:sz="0" w:space="0" w:color="auto"/>
          <w:lang w:val="lt-LT" w:eastAsia="lt-LT"/>
        </w:rPr>
        <w:t>Žalioji Estija:</w:t>
      </w:r>
      <w:r w:rsidRPr="005A71D9">
        <w:rPr>
          <w:rFonts w:eastAsia="Times New Roman"/>
          <w:bdr w:val="none" w:sz="0" w:space="0" w:color="auto"/>
          <w:lang w:val="lt-LT" w:eastAsia="lt-LT"/>
        </w:rPr>
        <w:t xml:space="preserve"> gamta, klimato politika ir energetika.</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5. </w:t>
      </w:r>
      <w:r w:rsidRPr="005A71D9">
        <w:rPr>
          <w:rFonts w:eastAsia="Times New Roman"/>
          <w:b/>
          <w:bdr w:val="none" w:sz="0" w:space="0" w:color="auto"/>
          <w:lang w:val="lt-LT" w:eastAsia="lt-LT"/>
        </w:rPr>
        <w:t>Išsilavinę ir sumanūs žmonės:</w:t>
      </w:r>
      <w:r w:rsidRPr="005A71D9">
        <w:rPr>
          <w:rFonts w:eastAsia="Times New Roman"/>
          <w:bdr w:val="none" w:sz="0" w:space="0" w:color="auto"/>
          <w:lang w:val="lt-LT" w:eastAsia="lt-LT"/>
        </w:rPr>
        <w:t xml:space="preserve"> išsilavinimas ir moksliniai tyrimai; populiacija ir šeimos polit</w:t>
      </w:r>
      <w:r w:rsidRPr="005A71D9">
        <w:rPr>
          <w:rFonts w:eastAsia="Times New Roman"/>
          <w:bdr w:val="none" w:sz="0" w:space="0" w:color="auto"/>
          <w:lang w:val="lt-LT" w:eastAsia="lt-LT"/>
        </w:rPr>
        <w:t>i</w:t>
      </w:r>
      <w:r w:rsidRPr="005A71D9">
        <w:rPr>
          <w:rFonts w:eastAsia="Times New Roman"/>
          <w:bdr w:val="none" w:sz="0" w:space="0" w:color="auto"/>
          <w:lang w:val="lt-LT" w:eastAsia="lt-LT"/>
        </w:rPr>
        <w:t>ka; kultūra ir sportas.</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6. </w:t>
      </w:r>
      <w:r w:rsidRPr="005A71D9">
        <w:rPr>
          <w:rFonts w:eastAsia="Times New Roman"/>
          <w:b/>
          <w:bdr w:val="none" w:sz="0" w:space="0" w:color="auto"/>
          <w:lang w:val="lt-LT" w:eastAsia="lt-LT"/>
        </w:rPr>
        <w:t>Aktyvi ir saugi Estija:</w:t>
      </w:r>
      <w:r w:rsidRPr="005A71D9">
        <w:rPr>
          <w:rFonts w:eastAsia="Times New Roman"/>
          <w:bdr w:val="none" w:sz="0" w:space="0" w:color="auto"/>
          <w:lang w:val="lt-LT" w:eastAsia="lt-LT"/>
        </w:rPr>
        <w:t xml:space="preserve"> užsienio politika; Europos Sąjunga; nacionalinė gynyba.</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7. </w:t>
      </w:r>
      <w:r w:rsidRPr="005A71D9">
        <w:rPr>
          <w:rFonts w:eastAsia="Times New Roman"/>
          <w:b/>
          <w:bdr w:val="none" w:sz="0" w:space="0" w:color="auto"/>
          <w:lang w:val="lt-LT" w:eastAsia="lt-LT"/>
        </w:rPr>
        <w:t>Subalansuota Estija:</w:t>
      </w:r>
      <w:r w:rsidRPr="005A71D9">
        <w:rPr>
          <w:rFonts w:eastAsia="Times New Roman"/>
          <w:bdr w:val="none" w:sz="0" w:space="0" w:color="auto"/>
          <w:lang w:val="lt-LT" w:eastAsia="lt-LT"/>
        </w:rPr>
        <w:t xml:space="preserve"> kaimo gyvenimas; ekologinis ūkininkavimas ir parama.</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Fonts w:eastAsia="Times New Roman"/>
          <w:bdr w:val="none" w:sz="0" w:space="0" w:color="auto"/>
          <w:lang w:val="lt-LT" w:eastAsia="lt-LT"/>
        </w:rPr>
      </w:pPr>
      <w:r w:rsidRPr="005A71D9">
        <w:rPr>
          <w:rFonts w:eastAsia="Times New Roman"/>
          <w:bdr w:val="none" w:sz="0" w:space="0" w:color="auto"/>
          <w:lang w:val="lt-LT" w:eastAsia="lt-LT"/>
        </w:rPr>
        <w:t xml:space="preserve">8. </w:t>
      </w:r>
      <w:r w:rsidRPr="005A71D9">
        <w:rPr>
          <w:rFonts w:eastAsia="Times New Roman"/>
          <w:b/>
          <w:bdr w:val="none" w:sz="0" w:space="0" w:color="auto"/>
          <w:lang w:val="lt-LT" w:eastAsia="lt-LT"/>
        </w:rPr>
        <w:t>Patikima ir saugi teisinė valstybė:</w:t>
      </w:r>
      <w:r w:rsidRPr="005A71D9">
        <w:rPr>
          <w:rFonts w:eastAsia="Times New Roman"/>
          <w:bdr w:val="none" w:sz="0" w:space="0" w:color="auto"/>
          <w:lang w:val="lt-LT" w:eastAsia="lt-LT"/>
        </w:rPr>
        <w:t xml:space="preserve"> skaitmeninė ir elektroninė šalis; vidaus saugumas; kova su korupcija; veiksmingas ir įtraukus valdymas.</w:t>
      </w: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color="000000"/>
          <w:bdr w:val="none" w:sz="0" w:space="0" w:color="auto"/>
          <w:lang w:val="lt-LT"/>
        </w:rPr>
      </w:pPr>
    </w:p>
    <w:p w:rsidR="005A71D9" w:rsidRPr="005A71D9" w:rsidRDefault="005A71D9" w:rsidP="005A71D9">
      <w:pPr>
        <w:pBdr>
          <w:top w:val="single" w:sz="4" w:space="1" w:color="auto"/>
          <w:left w:val="single" w:sz="4" w:space="4" w:color="auto"/>
          <w:bottom w:val="single" w:sz="4" w:space="1" w:color="auto"/>
          <w:right w:val="single" w:sz="4" w:space="4" w:color="auto"/>
          <w:between w:val="none" w:sz="0" w:space="0" w:color="auto"/>
          <w:bar w:val="none" w:sz="0" w:color="auto"/>
        </w:pBdr>
        <w:jc w:val="both"/>
        <w:rPr>
          <w:u w:color="000000"/>
          <w:bdr w:val="none" w:sz="0" w:space="0" w:color="auto"/>
          <w:lang w:val="lt-LT"/>
        </w:rPr>
      </w:pPr>
      <w:r w:rsidRPr="005A71D9">
        <w:rPr>
          <w:b/>
          <w:u w:val="single" w:color="000000"/>
          <w:bdr w:val="none" w:sz="0" w:space="0" w:color="auto"/>
          <w:lang w:val="lt-LT"/>
        </w:rPr>
        <w:t>Lietuvos pozicija.</w:t>
      </w:r>
      <w:r w:rsidRPr="005A71D9">
        <w:rPr>
          <w:u w:color="000000"/>
          <w:bdr w:val="none" w:sz="0" w:space="0" w:color="auto"/>
          <w:lang w:val="lt-LT"/>
        </w:rPr>
        <w:t xml:space="preserve"> </w:t>
      </w:r>
      <w:r w:rsidRPr="005A71D9">
        <w:rPr>
          <w:spacing w:val="2"/>
          <w:u w:color="000000"/>
          <w:bdr w:val="none" w:sz="0" w:space="0" w:color="auto"/>
          <w:shd w:val="clear" w:color="auto" w:fill="FFFFFF"/>
          <w:lang w:val="lt-LT"/>
        </w:rPr>
        <w:t xml:space="preserve">Sveikiname </w:t>
      </w:r>
      <w:r w:rsidR="00E47362" w:rsidRPr="00E47362">
        <w:rPr>
          <w:spacing w:val="2"/>
          <w:u w:color="000000"/>
          <w:bdr w:val="none" w:sz="0" w:space="0" w:color="auto"/>
          <w:shd w:val="clear" w:color="auto" w:fill="FFFFFF"/>
          <w:lang w:val="lt-LT"/>
        </w:rPr>
        <w:t xml:space="preserve">naują </w:t>
      </w:r>
      <w:r w:rsidRPr="005A71D9">
        <w:rPr>
          <w:spacing w:val="2"/>
          <w:u w:color="000000"/>
          <w:bdr w:val="none" w:sz="0" w:space="0" w:color="auto"/>
          <w:shd w:val="clear" w:color="auto" w:fill="FFFFFF"/>
          <w:lang w:val="lt-LT"/>
        </w:rPr>
        <w:t>vyriausy</w:t>
      </w:r>
      <w:r w:rsidR="00E47362" w:rsidRPr="00E47362">
        <w:rPr>
          <w:spacing w:val="2"/>
          <w:u w:color="000000"/>
          <w:bdr w:val="none" w:sz="0" w:space="0" w:color="auto"/>
          <w:shd w:val="clear" w:color="auto" w:fill="FFFFFF"/>
          <w:lang w:val="lt-LT"/>
        </w:rPr>
        <w:t>bę.</w:t>
      </w:r>
      <w:r w:rsidRPr="005A71D9">
        <w:rPr>
          <w:spacing w:val="2"/>
          <w:u w:color="000000"/>
          <w:bdr w:val="none" w:sz="0" w:space="0" w:color="auto"/>
          <w:shd w:val="clear" w:color="auto" w:fill="FFFFFF"/>
          <w:lang w:val="lt-LT"/>
        </w:rPr>
        <w:t xml:space="preserve"> Tikimės tolesnio dvišalių santykių stiprinimo ir bendradarbiavimo įvairiose tarptautinėse organizacijose bei forumuose tęstinumo, įskaitant mūsų koordin</w:t>
      </w:r>
      <w:r w:rsidR="00E47362" w:rsidRPr="00E47362">
        <w:rPr>
          <w:spacing w:val="2"/>
          <w:u w:color="000000"/>
          <w:bdr w:val="none" w:sz="0" w:space="0" w:color="auto"/>
          <w:shd w:val="clear" w:color="auto" w:fill="FFFFFF"/>
          <w:lang w:val="lt-LT"/>
        </w:rPr>
        <w:t>uotą atsaką COVID-19 pandemijai</w:t>
      </w:r>
      <w:r w:rsidRPr="005A71D9">
        <w:rPr>
          <w:spacing w:val="2"/>
          <w:u w:color="000000"/>
          <w:bdr w:val="none" w:sz="0" w:space="0" w:color="auto"/>
          <w:shd w:val="clear" w:color="auto" w:fill="FFFFFF"/>
          <w:lang w:val="lt-LT"/>
        </w:rPr>
        <w:t>.</w:t>
      </w:r>
    </w:p>
    <w:p w:rsidR="005A71D9" w:rsidRPr="005A71D9" w:rsidRDefault="005A71D9" w:rsidP="005A71D9">
      <w:pPr>
        <w:jc w:val="center"/>
        <w:rPr>
          <w:rFonts w:eastAsia="Calibri"/>
          <w:b/>
          <w:lang w:val="lt-LT"/>
        </w:rPr>
      </w:pPr>
    </w:p>
    <w:sectPr w:rsidR="005A71D9" w:rsidRPr="005A71D9"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92A" w:rsidRDefault="0051792A">
      <w:r>
        <w:separator/>
      </w:r>
    </w:p>
  </w:endnote>
  <w:endnote w:type="continuationSeparator" w:id="0">
    <w:p w:rsidR="0051792A" w:rsidRDefault="0051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orbel">
    <w:panose1 w:val="020B0503020204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F1429B" w:rsidRDefault="00F1429B">
        <w:pPr>
          <w:pStyle w:val="Porat"/>
          <w:jc w:val="right"/>
        </w:pPr>
        <w:r>
          <w:fldChar w:fldCharType="begin"/>
        </w:r>
        <w:r>
          <w:instrText>PAGE   \* MERGEFORMAT</w:instrText>
        </w:r>
        <w:r>
          <w:fldChar w:fldCharType="separate"/>
        </w:r>
        <w:r w:rsidR="00105437" w:rsidRPr="00105437">
          <w:rPr>
            <w:noProof/>
            <w:lang w:val="lt-LT"/>
          </w:rPr>
          <w:t>2</w:t>
        </w:r>
        <w:r>
          <w:fldChar w:fldCharType="end"/>
        </w:r>
      </w:p>
    </w:sdtContent>
  </w:sdt>
  <w:p w:rsidR="004B217F"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92A" w:rsidRDefault="0051792A">
      <w:r>
        <w:separator/>
      </w:r>
    </w:p>
  </w:footnote>
  <w:footnote w:type="continuationSeparator" w:id="0">
    <w:p w:rsidR="0051792A" w:rsidRDefault="0051792A">
      <w:r>
        <w:continuationSeparator/>
      </w:r>
    </w:p>
  </w:footnote>
  <w:footnote w:id="1">
    <w:p w:rsidR="005A71D9" w:rsidRPr="00E011BC" w:rsidRDefault="005A71D9" w:rsidP="005A71D9">
      <w:pPr>
        <w:shd w:val="clear" w:color="auto" w:fill="FFFFFF"/>
        <w:spacing w:after="100" w:afterAutospacing="1"/>
        <w:jc w:val="both"/>
        <w:outlineLvl w:val="1"/>
        <w:rPr>
          <w:rStyle w:val="Hipersaitas"/>
          <w:rFonts w:eastAsia="Times New Roman"/>
          <w:sz w:val="18"/>
          <w:szCs w:val="18"/>
          <w:lang w:val="lt-LT" w:eastAsia="lt-LT"/>
        </w:rPr>
      </w:pPr>
      <w:r>
        <w:rPr>
          <w:rStyle w:val="Puslapioinaosnuoroda"/>
        </w:rPr>
        <w:footnoteRef/>
      </w:r>
      <w:r>
        <w:t xml:space="preserve"> </w:t>
      </w:r>
      <w:hyperlink r:id="rId1" w:history="1">
        <w:r w:rsidRPr="004E3B9E">
          <w:rPr>
            <w:rStyle w:val="Hipersaitas"/>
            <w:rFonts w:eastAsia="Times New Roman"/>
            <w:sz w:val="18"/>
            <w:szCs w:val="18"/>
            <w:lang w:val="lt-LT" w:eastAsia="lt-LT"/>
          </w:rPr>
          <w:t>https://valitsus.ee/en/governance-agreement-2021-2023</w:t>
        </w:r>
      </w:hyperlink>
    </w:p>
    <w:p w:rsidR="005A71D9" w:rsidRPr="000343C9" w:rsidRDefault="005A71D9" w:rsidP="005A71D9">
      <w:pPr>
        <w:pStyle w:val="Puslapioinaostekstas"/>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7F" w:rsidRDefault="004B217F"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F3" w:rsidRPr="0032625D" w:rsidRDefault="0032625D"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2677AA" w:rsidRPr="002677AA" w:rsidRDefault="006E6FE9" w:rsidP="00B03FB8">
    <w:pPr>
      <w:pStyle w:val="BodyA"/>
      <w:tabs>
        <w:tab w:val="center" w:pos="4153"/>
        <w:tab w:val="right" w:pos="8306"/>
      </w:tabs>
      <w:jc w:val="right"/>
      <w:rPr>
        <w:rFonts w:hAnsi="Times New Roman" w:cs="Times New Roman"/>
        <w:i/>
        <w:iCs/>
      </w:rPr>
    </w:pPr>
    <w:r>
      <w:rPr>
        <w:rFonts w:hAnsi="Times New Roman" w:cs="Times New Roman"/>
        <w:i/>
        <w:iCs/>
      </w:rPr>
      <w:t>2021-02-08</w:t>
    </w:r>
  </w:p>
  <w:p w:rsidR="00EF0DF3" w:rsidRDefault="00EF0DF3"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8">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9">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3">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4">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7"/>
  </w:num>
  <w:num w:numId="2">
    <w:abstractNumId w:val="10"/>
  </w:num>
  <w:num w:numId="3">
    <w:abstractNumId w:val="11"/>
  </w:num>
  <w:num w:numId="4">
    <w:abstractNumId w:val="13"/>
  </w:num>
  <w:num w:numId="5">
    <w:abstractNumId w:val="16"/>
  </w:num>
  <w:num w:numId="6">
    <w:abstractNumId w:val="17"/>
  </w:num>
  <w:num w:numId="7">
    <w:abstractNumId w:val="5"/>
  </w:num>
  <w:num w:numId="8">
    <w:abstractNumId w:val="1"/>
  </w:num>
  <w:num w:numId="9">
    <w:abstractNumId w:val="2"/>
  </w:num>
  <w:num w:numId="10">
    <w:abstractNumId w:val="12"/>
  </w:num>
  <w:num w:numId="11">
    <w:abstractNumId w:val="9"/>
  </w:num>
  <w:num w:numId="12">
    <w:abstractNumId w:val="19"/>
  </w:num>
  <w:num w:numId="13">
    <w:abstractNumId w:val="8"/>
  </w:num>
  <w:num w:numId="14">
    <w:abstractNumId w:val="14"/>
  </w:num>
  <w:num w:numId="15">
    <w:abstractNumId w:val="18"/>
  </w:num>
  <w:num w:numId="16">
    <w:abstractNumId w:val="0"/>
  </w:num>
  <w:num w:numId="17">
    <w:abstractNumId w:val="4"/>
  </w:num>
  <w:num w:numId="18">
    <w:abstractNumId w:val="6"/>
  </w:num>
  <w:num w:numId="19">
    <w:abstractNumId w:val="3"/>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autoHyphenation/>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355E8"/>
    <w:rsid w:val="000372A7"/>
    <w:rsid w:val="0007211E"/>
    <w:rsid w:val="00072EDE"/>
    <w:rsid w:val="000742B3"/>
    <w:rsid w:val="00085F32"/>
    <w:rsid w:val="000B653F"/>
    <w:rsid w:val="00103D35"/>
    <w:rsid w:val="00105437"/>
    <w:rsid w:val="001546C1"/>
    <w:rsid w:val="00155D7C"/>
    <w:rsid w:val="00162D47"/>
    <w:rsid w:val="0018542E"/>
    <w:rsid w:val="00195F60"/>
    <w:rsid w:val="001B387D"/>
    <w:rsid w:val="001C48BB"/>
    <w:rsid w:val="001D4843"/>
    <w:rsid w:val="001D54D3"/>
    <w:rsid w:val="00206969"/>
    <w:rsid w:val="00230167"/>
    <w:rsid w:val="00231801"/>
    <w:rsid w:val="00265A54"/>
    <w:rsid w:val="002677AA"/>
    <w:rsid w:val="0027305F"/>
    <w:rsid w:val="00274F66"/>
    <w:rsid w:val="00296AC0"/>
    <w:rsid w:val="002A7046"/>
    <w:rsid w:val="002B4A83"/>
    <w:rsid w:val="002C15B7"/>
    <w:rsid w:val="002F39D0"/>
    <w:rsid w:val="00312DD1"/>
    <w:rsid w:val="0031328A"/>
    <w:rsid w:val="00314CC7"/>
    <w:rsid w:val="0032625D"/>
    <w:rsid w:val="00326924"/>
    <w:rsid w:val="003339B9"/>
    <w:rsid w:val="00335ED8"/>
    <w:rsid w:val="00357286"/>
    <w:rsid w:val="00371E7A"/>
    <w:rsid w:val="0039254C"/>
    <w:rsid w:val="00395A7A"/>
    <w:rsid w:val="003A3602"/>
    <w:rsid w:val="003B616C"/>
    <w:rsid w:val="003C6810"/>
    <w:rsid w:val="003E2F37"/>
    <w:rsid w:val="003F3A8E"/>
    <w:rsid w:val="003F58E0"/>
    <w:rsid w:val="004053CB"/>
    <w:rsid w:val="00406FB1"/>
    <w:rsid w:val="004226F1"/>
    <w:rsid w:val="004339F6"/>
    <w:rsid w:val="004450FB"/>
    <w:rsid w:val="00452B2A"/>
    <w:rsid w:val="00487239"/>
    <w:rsid w:val="004900E0"/>
    <w:rsid w:val="0049509B"/>
    <w:rsid w:val="00495B70"/>
    <w:rsid w:val="004A3298"/>
    <w:rsid w:val="004B217F"/>
    <w:rsid w:val="004C1051"/>
    <w:rsid w:val="004F4076"/>
    <w:rsid w:val="00500E5C"/>
    <w:rsid w:val="00501CE5"/>
    <w:rsid w:val="005107B8"/>
    <w:rsid w:val="0051792A"/>
    <w:rsid w:val="00530736"/>
    <w:rsid w:val="00557D5B"/>
    <w:rsid w:val="005721A0"/>
    <w:rsid w:val="00585312"/>
    <w:rsid w:val="00587B54"/>
    <w:rsid w:val="00592806"/>
    <w:rsid w:val="0059354C"/>
    <w:rsid w:val="005A71D9"/>
    <w:rsid w:val="005E2479"/>
    <w:rsid w:val="005F2600"/>
    <w:rsid w:val="005F59B2"/>
    <w:rsid w:val="00604E4D"/>
    <w:rsid w:val="00614DBA"/>
    <w:rsid w:val="0062431D"/>
    <w:rsid w:val="00633882"/>
    <w:rsid w:val="006404C7"/>
    <w:rsid w:val="0064515B"/>
    <w:rsid w:val="0064611F"/>
    <w:rsid w:val="00646F02"/>
    <w:rsid w:val="0064735F"/>
    <w:rsid w:val="00682188"/>
    <w:rsid w:val="0069629B"/>
    <w:rsid w:val="006A44FA"/>
    <w:rsid w:val="006D395F"/>
    <w:rsid w:val="006E6FE9"/>
    <w:rsid w:val="007043A1"/>
    <w:rsid w:val="00704C38"/>
    <w:rsid w:val="00710ADC"/>
    <w:rsid w:val="00724748"/>
    <w:rsid w:val="00790FF5"/>
    <w:rsid w:val="00795E46"/>
    <w:rsid w:val="007A0061"/>
    <w:rsid w:val="007B6B80"/>
    <w:rsid w:val="007B6FDE"/>
    <w:rsid w:val="007C752A"/>
    <w:rsid w:val="007D2553"/>
    <w:rsid w:val="007D7FCE"/>
    <w:rsid w:val="007F27FA"/>
    <w:rsid w:val="0081679C"/>
    <w:rsid w:val="00816959"/>
    <w:rsid w:val="0082066C"/>
    <w:rsid w:val="008251D0"/>
    <w:rsid w:val="00827730"/>
    <w:rsid w:val="00830485"/>
    <w:rsid w:val="00843EAA"/>
    <w:rsid w:val="0085129B"/>
    <w:rsid w:val="00862572"/>
    <w:rsid w:val="00864AF3"/>
    <w:rsid w:val="00872C2A"/>
    <w:rsid w:val="00897D86"/>
    <w:rsid w:val="008B6A7B"/>
    <w:rsid w:val="008C07C3"/>
    <w:rsid w:val="008C2331"/>
    <w:rsid w:val="008C3531"/>
    <w:rsid w:val="008E4ECC"/>
    <w:rsid w:val="008E5A20"/>
    <w:rsid w:val="008F726D"/>
    <w:rsid w:val="00902CF9"/>
    <w:rsid w:val="0091393B"/>
    <w:rsid w:val="009469ED"/>
    <w:rsid w:val="00956D02"/>
    <w:rsid w:val="0096658E"/>
    <w:rsid w:val="00997764"/>
    <w:rsid w:val="009A0A41"/>
    <w:rsid w:val="009A1AD9"/>
    <w:rsid w:val="009A66CC"/>
    <w:rsid w:val="009A7FD0"/>
    <w:rsid w:val="009B0378"/>
    <w:rsid w:val="009B2048"/>
    <w:rsid w:val="009D446E"/>
    <w:rsid w:val="009E6C26"/>
    <w:rsid w:val="009F1D77"/>
    <w:rsid w:val="00A0588B"/>
    <w:rsid w:val="00A06580"/>
    <w:rsid w:val="00A15DF7"/>
    <w:rsid w:val="00A33567"/>
    <w:rsid w:val="00A45218"/>
    <w:rsid w:val="00A46E6E"/>
    <w:rsid w:val="00A600FE"/>
    <w:rsid w:val="00A61189"/>
    <w:rsid w:val="00A63AD0"/>
    <w:rsid w:val="00A84354"/>
    <w:rsid w:val="00AD7E3A"/>
    <w:rsid w:val="00AE4846"/>
    <w:rsid w:val="00AF16A9"/>
    <w:rsid w:val="00AF7A2A"/>
    <w:rsid w:val="00B03FB8"/>
    <w:rsid w:val="00B260BC"/>
    <w:rsid w:val="00B51EE3"/>
    <w:rsid w:val="00B54308"/>
    <w:rsid w:val="00B67F14"/>
    <w:rsid w:val="00B70894"/>
    <w:rsid w:val="00B841E3"/>
    <w:rsid w:val="00B869E8"/>
    <w:rsid w:val="00B94E3A"/>
    <w:rsid w:val="00BA186A"/>
    <w:rsid w:val="00BB73F2"/>
    <w:rsid w:val="00BD2968"/>
    <w:rsid w:val="00BE299C"/>
    <w:rsid w:val="00BF4A3E"/>
    <w:rsid w:val="00BF701E"/>
    <w:rsid w:val="00C201F5"/>
    <w:rsid w:val="00C22532"/>
    <w:rsid w:val="00C23CD5"/>
    <w:rsid w:val="00C24B3F"/>
    <w:rsid w:val="00C31389"/>
    <w:rsid w:val="00C56B43"/>
    <w:rsid w:val="00C648AF"/>
    <w:rsid w:val="00C842BA"/>
    <w:rsid w:val="00CA1F7E"/>
    <w:rsid w:val="00CC7175"/>
    <w:rsid w:val="00CD6507"/>
    <w:rsid w:val="00CF2346"/>
    <w:rsid w:val="00D33BCF"/>
    <w:rsid w:val="00D34348"/>
    <w:rsid w:val="00D65D3A"/>
    <w:rsid w:val="00D8006B"/>
    <w:rsid w:val="00D80DED"/>
    <w:rsid w:val="00DB4E6F"/>
    <w:rsid w:val="00DC6502"/>
    <w:rsid w:val="00DF2CDB"/>
    <w:rsid w:val="00E0474B"/>
    <w:rsid w:val="00E1240D"/>
    <w:rsid w:val="00E17C1D"/>
    <w:rsid w:val="00E47362"/>
    <w:rsid w:val="00E50056"/>
    <w:rsid w:val="00E612E0"/>
    <w:rsid w:val="00EB5F90"/>
    <w:rsid w:val="00ED523A"/>
    <w:rsid w:val="00EE0782"/>
    <w:rsid w:val="00EE0A8F"/>
    <w:rsid w:val="00EE1216"/>
    <w:rsid w:val="00EF0DF3"/>
    <w:rsid w:val="00EF39C4"/>
    <w:rsid w:val="00F1429B"/>
    <w:rsid w:val="00F1580F"/>
    <w:rsid w:val="00F225D5"/>
    <w:rsid w:val="00F631C4"/>
    <w:rsid w:val="00F6555B"/>
    <w:rsid w:val="00F95313"/>
    <w:rsid w:val="00F97DFD"/>
    <w:rsid w:val="00FB5FC9"/>
    <w:rsid w:val="00FC00D9"/>
    <w:rsid w:val="00FC3B44"/>
    <w:rsid w:val="00FC6C35"/>
    <w:rsid w:val="00FD34ED"/>
    <w:rsid w:val="00FE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alitsus.ee/en/governance-agreement-2021-202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C75E-1CFB-4A9B-8D18-5195ED49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17981</Words>
  <Characters>10250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Rita Šniukienė</cp:lastModifiedBy>
  <cp:revision>5</cp:revision>
  <dcterms:created xsi:type="dcterms:W3CDTF">2021-02-08T13:57:00Z</dcterms:created>
  <dcterms:modified xsi:type="dcterms:W3CDTF">2021-02-08T14:40:00Z</dcterms:modified>
</cp:coreProperties>
</file>