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package.relationships+xml" PartName="/customXml/_rels/item1.xml.rels"/>
  <Override ContentType="application/xml" PartName="/customXml/item1.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
   <Relationship Id="rId1" Target="docProps/core.xml"
                 Type="http://schemas.openxmlformats.org/package/2006/relationships/metadata/core-properties"/>
   <Relationship Id="rId2" Target="docProps/app.xml"
                 Type="http://schemas.openxmlformats.org/officeDocument/2006/relationships/extended-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59"/>
        <w:rPr>
          <w:sz w:val="22"/>
          <w:szCs w:val="22"/>
        </w:rPr>
      </w:pPr>
      <w:r>
        <w:rPr>
          <w:sz w:val="22"/>
          <w:szCs w:val="22"/>
        </w:rPr>
      </w:r>
    </w:p>
    <w:p>
      <w:pPr>
        <w:pStyle w:val="Normal"/>
        <w:rPr>
          <w:sz w:val="14"/>
          <w:szCs w:val="14"/>
        </w:rPr>
      </w:pPr>
      <w:r>
        <w:rPr>
          <w:sz w:val="14"/>
          <w:szCs w:val="14"/>
        </w:rPr>
      </w:r>
    </w:p>
    <w:p>
      <w:pPr>
        <w:pStyle w:val="Normal"/>
        <w:ind w:left="3888" w:firstLine="1296"/>
        <w:jc w:val="center"/>
        <w:rPr>
          <w:b/>
          <w:b/>
          <w:szCs w:val="24"/>
        </w:rPr>
      </w:pPr>
      <w:r>
        <w:rPr>
          <w:b/>
          <w:szCs w:val="24"/>
        </w:rPr>
        <w:t xml:space="preserve">      </w:t>
      </w:r>
      <w:r>
        <w:rPr>
          <w:b/>
          <w:szCs w:val="24"/>
        </w:rPr>
        <w:t>Projekto</w:t>
      </w:r>
    </w:p>
    <w:p>
      <w:pPr>
        <w:pStyle w:val="Normal"/>
        <w:jc w:val="right"/>
        <w:rPr>
          <w:b/>
          <w:b/>
          <w:szCs w:val="24"/>
        </w:rPr>
      </w:pPr>
      <w:r>
        <w:rPr>
          <w:b/>
          <w:szCs w:val="24"/>
        </w:rPr>
        <w:t>lyginamasis variantas</w:t>
      </w:r>
    </w:p>
    <w:p>
      <w:pPr>
        <w:pStyle w:val="Normal"/>
        <w:jc w:val="center"/>
        <w:rPr>
          <w:b/>
          <w:b/>
          <w:szCs w:val="24"/>
        </w:rPr>
      </w:pPr>
      <w:r>
        <w:rPr>
          <w:b/>
          <w:szCs w:val="24"/>
        </w:rPr>
      </w:r>
    </w:p>
    <w:p>
      <w:pPr>
        <w:pStyle w:val="Normal"/>
        <w:jc w:val="center"/>
        <w:rPr>
          <w:b/>
          <w:b/>
          <w:szCs w:val="24"/>
        </w:rPr>
      </w:pPr>
      <w:r>
        <w:rPr>
          <w:b/>
          <w:szCs w:val="24"/>
        </w:rPr>
        <w:t>LIETUVOS RESPUBLIKOS VYRIAUSYBĖ</w:t>
      </w:r>
    </w:p>
    <w:p>
      <w:pPr>
        <w:pStyle w:val="Normal"/>
        <w:jc w:val="center"/>
        <w:rPr>
          <w:b/>
          <w:b/>
          <w:szCs w:val="24"/>
        </w:rPr>
      </w:pPr>
      <w:r>
        <w:rPr>
          <w:b/>
          <w:szCs w:val="24"/>
        </w:rPr>
      </w:r>
    </w:p>
    <w:p>
      <w:pPr>
        <w:pStyle w:val="Normal"/>
        <w:jc w:val="center"/>
        <w:rPr>
          <w:b/>
          <w:b/>
          <w:szCs w:val="24"/>
        </w:rPr>
      </w:pPr>
      <w:r>
        <w:rPr>
          <w:b/>
          <w:szCs w:val="24"/>
        </w:rPr>
        <w:t>NUTARIMAS</w:t>
      </w:r>
    </w:p>
    <w:p>
      <w:pPr>
        <w:pStyle w:val="Normal"/>
        <w:jc w:val="center"/>
        <w:rPr>
          <w:b/>
          <w:b/>
          <w:szCs w:val="24"/>
        </w:rPr>
      </w:pPr>
      <w:r>
        <w:rPr>
          <w:b/>
          <w:szCs w:val="24"/>
        </w:rPr>
        <w:t>DĖL LIETUVOS RESPUBLIKOS VYRIAUSYBĖS 1994 M. RUGPJŪČIO 11 D. NUTARIMO NR. 728 „DĖL LIETUVOS RESPUBLIKOS VYRIAUSYBĖS DARBO REGLAMENTO PATVIRTINIMO“ PAKEITIMO</w:t>
      </w:r>
    </w:p>
    <w:p>
      <w:pPr>
        <w:pStyle w:val="Normal"/>
        <w:jc w:val="center"/>
        <w:rPr>
          <w:szCs w:val="24"/>
        </w:rPr>
      </w:pPr>
      <w:r>
        <w:rPr>
          <w:szCs w:val="24"/>
        </w:rPr>
      </w:r>
    </w:p>
    <w:p>
      <w:pPr>
        <w:pStyle w:val="Normal"/>
        <w:jc w:val="center"/>
        <w:rPr>
          <w:szCs w:val="24"/>
        </w:rPr>
      </w:pPr>
      <w:r>
        <w:rPr>
          <w:szCs w:val="24"/>
        </w:rPr>
        <w:t>2020 m.</w:t>
        <w:tab/>
        <w:tab/>
        <w:t>d. Nr.</w:t>
      </w:r>
    </w:p>
    <w:p>
      <w:pPr>
        <w:pStyle w:val="Normal"/>
        <w:jc w:val="center"/>
        <w:rPr>
          <w:szCs w:val="24"/>
        </w:rPr>
      </w:pPr>
      <w:r>
        <w:rPr>
          <w:szCs w:val="24"/>
        </w:rPr>
        <w:t>Vilnius</w:t>
      </w:r>
    </w:p>
    <w:p>
      <w:pPr>
        <w:pStyle w:val="Normal"/>
        <w:ind w:firstLine="540"/>
        <w:jc w:val="both"/>
        <w:rPr>
          <w:szCs w:val="24"/>
        </w:rPr>
      </w:pPr>
      <w:r>
        <w:rPr>
          <w:szCs w:val="24"/>
        </w:rPr>
      </w:r>
    </w:p>
    <w:p>
      <w:pPr>
        <w:pStyle w:val="Normal"/>
        <w:spacing w:lineRule="atLeast" w:line="340"/>
        <w:ind w:firstLine="709"/>
        <w:jc w:val="both"/>
        <w:rPr/>
      </w:pPr>
      <w:r>
        <w:rPr>
          <w:szCs w:val="24"/>
        </w:rPr>
        <w:t xml:space="preserve">Lietuvos Respublikos Vyriausybė </w:t>
      </w:r>
      <w:r>
        <w:rPr>
          <w:spacing w:val="70"/>
          <w:szCs w:val="24"/>
          <w:lang w:eastAsia="lt-LT"/>
        </w:rPr>
        <w:t>nutaria</w:t>
      </w:r>
      <w:r>
        <w:rPr>
          <w:szCs w:val="24"/>
        </w:rPr>
        <w:t>:</w:t>
      </w:r>
    </w:p>
    <w:p>
      <w:pPr>
        <w:pStyle w:val="Normal"/>
        <w:spacing w:lineRule="atLeast" w:line="340"/>
        <w:ind w:firstLine="709"/>
        <w:jc w:val="both"/>
        <w:rPr>
          <w:szCs w:val="24"/>
        </w:rPr>
      </w:pPr>
      <w:r>
        <w:rPr>
          <w:szCs w:val="24"/>
        </w:rPr>
        <w:t>1. Pakeisti Lietuvos Respublikos Vyriausybės darbo reglamentą, patvirtintą Lietuvos Respublikos Vyriausybės 1994 m. rugpjūčio 11 d. nutarimu Nr. 728 „Dėl Lietuvos Respublikos Vyriausybės darbo reglamento patvirtinimo“, ir jį papildyti 18</w:t>
      </w:r>
      <w:r>
        <w:rPr>
          <w:szCs w:val="24"/>
          <w:vertAlign w:val="superscript"/>
        </w:rPr>
        <w:t>1</w:t>
      </w:r>
      <w:r>
        <w:rPr>
          <w:szCs w:val="24"/>
        </w:rPr>
        <w:t xml:space="preserve"> punktu:</w:t>
      </w:r>
    </w:p>
    <w:p>
      <w:pPr>
        <w:pStyle w:val="Normal"/>
        <w:spacing w:lineRule="atLeast" w:line="340"/>
        <w:ind w:firstLine="709"/>
        <w:jc w:val="both"/>
        <w:rPr/>
      </w:pPr>
      <w:r>
        <w:rPr>
          <w:szCs w:val="24"/>
        </w:rPr>
        <w:t>„</w:t>
      </w:r>
      <w:r>
        <w:rPr>
          <w:b/>
          <w:szCs w:val="24"/>
        </w:rPr>
        <w:t>18</w:t>
      </w:r>
      <w:r>
        <w:rPr>
          <w:b/>
          <w:szCs w:val="24"/>
          <w:vertAlign w:val="superscript"/>
        </w:rPr>
        <w:t>1</w:t>
      </w:r>
      <w:r>
        <w:rPr>
          <w:b/>
          <w:szCs w:val="24"/>
        </w:rPr>
        <w:t xml:space="preserve">. Informacija apie parengtus ir TAIS skelbiamus teisės aktų projektus (išskyrus teisės aktų, kuriuose yra valstybės ar tarnybos paslaptį sudarančios informacijos, ir teisės taikymo aktų, kuriuose yra komercinę paslaptį sudarančios informacijos, projektus) teikiama </w:t>
      </w:r>
      <w:bookmarkStart w:id="0" w:name="__DdeLink__1604_4217088650"/>
      <w:r>
        <w:rPr>
          <w:b/>
          <w:szCs w:val="24"/>
        </w:rPr>
        <w:t>asmenims, įrašytiems į lobistų sąrašą ar asmenų, darančių įtaką teisėkūrai, sąrašą</w:t>
      </w:r>
      <w:bookmarkEnd w:id="0"/>
      <w:r>
        <w:rPr>
          <w:b/>
          <w:szCs w:val="24"/>
        </w:rPr>
        <w:t>, jų nurodytais rengėjui kontaktais, kai šie teisės aktų projektai patenka į asmens prašyme įrašyti</w:t>
      </w:r>
      <w:r>
        <w:rPr>
          <w:b/>
        </w:rPr>
        <w:t xml:space="preserve"> </w:t>
      </w:r>
      <w:r>
        <w:rPr>
          <w:b/>
          <w:szCs w:val="24"/>
        </w:rPr>
        <w:t>jį į lobistų sąrašą ar asmens prašyme įrašyti jį į asmenų, darančių įtaką teisėkūrai, sąrašą nurodytas teisinio reguliavimo sritis, kurios išviešintos Lietuvos Respublikos lobistinės veiklos įstatymo ir Teisėkūros pagrindų įstatymo nustatyta tvarka. Šiame punkte nurodyta informacija asmenims, įrašytiems į lobistų sąrašą ar asmenų, darančių įtaką teisėkūrai, sąrašą, teikiama nedelsiant, bet ne vėliau kaip per 2 darbo dienas nuo teisės aktų projektų paskelbimo TAIS.</w:t>
      </w:r>
    </w:p>
    <w:p>
      <w:pPr>
        <w:pStyle w:val="Normal"/>
        <w:spacing w:lineRule="atLeast" w:line="340"/>
        <w:ind w:firstLine="709"/>
        <w:jc w:val="both"/>
        <w:rPr/>
      </w:pPr>
      <w:r>
        <w:rPr>
          <w:b/>
          <w:szCs w:val="24"/>
        </w:rPr>
        <w:t>Šiame punkte nurodyti asmenys dėl teisės aktų projektų gali teikti pastabas ir pasiūlymus per Reglamento 27, 27</w:t>
      </w:r>
      <w:r>
        <w:rPr>
          <w:b/>
          <w:szCs w:val="24"/>
          <w:vertAlign w:val="superscript"/>
        </w:rPr>
        <w:t>1</w:t>
      </w:r>
      <w:r>
        <w:rPr>
          <w:b/>
          <w:szCs w:val="24"/>
        </w:rPr>
        <w:t xml:space="preserve"> ir 28 punktuose nustatytus terminus, skaičiuojant nuo kitos </w:t>
      </w:r>
      <w:r>
        <w:rPr>
          <w:b/>
          <w:szCs w:val="24"/>
        </w:rPr>
        <w:t xml:space="preserve">darbo </w:t>
      </w:r>
      <w:r>
        <w:rPr>
          <w:b/>
          <w:szCs w:val="24"/>
        </w:rPr>
        <w:t>dienos, kai jiems pateikiama pirmiau nurodyta informacija.</w:t>
      </w:r>
      <w:r>
        <w:rPr>
          <w:szCs w:val="24"/>
        </w:rPr>
        <w:t xml:space="preserve">“ </w:t>
      </w:r>
    </w:p>
    <w:p>
      <w:pPr>
        <w:pStyle w:val="Normal"/>
        <w:spacing w:lineRule="atLeast" w:line="340"/>
        <w:ind w:firstLine="709"/>
        <w:jc w:val="both"/>
        <w:rPr>
          <w:szCs w:val="24"/>
        </w:rPr>
      </w:pPr>
      <w:r>
        <w:rPr>
          <w:szCs w:val="24"/>
        </w:rPr>
        <w:t>2. Nustatyti, kad teisės aktų projektams, pateiktiems derinti suinteresuotoms institucijoms iki šio nutarimo įsigaliojimo, taip pat teisės aktų projektams, pateiktiems Lietuvos Respublikos Vyriausybei iki šio nutarimo įsigaliojimo, taikomi iki šio nutarimo įsigaliojimo nustatyti Lietuvos Respublikos Vyriausybės darbo reglamento reikalavimai.</w:t>
      </w:r>
    </w:p>
    <w:p>
      <w:pPr>
        <w:pStyle w:val="Normal"/>
        <w:spacing w:lineRule="atLeast" w:line="340"/>
        <w:ind w:firstLine="709"/>
        <w:jc w:val="both"/>
        <w:rPr/>
      </w:pPr>
      <w:r>
        <w:rPr>
          <w:szCs w:val="24"/>
        </w:rPr>
        <w:t>3. Šis nutarimas įsigalioja 2021 m. sausio 1 d.</w:t>
      </w:r>
    </w:p>
    <w:p>
      <w:pPr>
        <w:pStyle w:val="Normal"/>
        <w:numPr>
          <w:ilvl w:val="0"/>
          <w:numId w:val="0"/>
        </w:numPr>
        <w:tabs>
          <w:tab w:val="clear" w:pos="1296"/>
          <w:tab w:val="left" w:pos="993" w:leader="none"/>
        </w:tabs>
        <w:spacing w:lineRule="atLeast" w:line="340"/>
        <w:jc w:val="both"/>
        <w:outlineLvl w:val="6"/>
        <w:rPr>
          <w:szCs w:val="24"/>
        </w:rPr>
      </w:pPr>
      <w:r>
        <w:rPr>
          <w:szCs w:val="24"/>
        </w:rPr>
      </w:r>
      <w:bookmarkStart w:id="1" w:name="_GoBack"/>
      <w:bookmarkStart w:id="2" w:name="_GoBack"/>
      <w:bookmarkEnd w:id="2"/>
    </w:p>
    <w:p>
      <w:pPr>
        <w:pStyle w:val="Normal"/>
        <w:numPr>
          <w:ilvl w:val="0"/>
          <w:numId w:val="0"/>
        </w:numPr>
        <w:tabs>
          <w:tab w:val="clear" w:pos="1296"/>
          <w:tab w:val="left" w:pos="993" w:leader="none"/>
        </w:tabs>
        <w:spacing w:lineRule="atLeast" w:line="340"/>
        <w:jc w:val="both"/>
        <w:outlineLvl w:val="6"/>
        <w:rPr>
          <w:szCs w:val="24"/>
        </w:rPr>
      </w:pPr>
      <w:r>
        <w:rPr>
          <w:szCs w:val="24"/>
        </w:rPr>
      </w:r>
    </w:p>
    <w:p>
      <w:pPr>
        <w:pStyle w:val="Normal"/>
        <w:numPr>
          <w:ilvl w:val="0"/>
          <w:numId w:val="0"/>
        </w:numPr>
        <w:spacing w:lineRule="atLeast" w:line="340"/>
        <w:outlineLvl w:val="6"/>
        <w:rPr>
          <w:szCs w:val="24"/>
        </w:rPr>
      </w:pPr>
      <w:r>
        <w:rPr>
          <w:szCs w:val="24"/>
        </w:rPr>
        <w:t>Ministras Pirmininkas</w:t>
      </w:r>
    </w:p>
    <w:p>
      <w:pPr>
        <w:pStyle w:val="Normal"/>
        <w:spacing w:lineRule="atLeast" w:line="340"/>
        <w:rPr>
          <w:szCs w:val="24"/>
        </w:rPr>
      </w:pPr>
      <w:r>
        <w:rPr>
          <w:szCs w:val="24"/>
        </w:rPr>
      </w:r>
    </w:p>
    <w:p>
      <w:pPr>
        <w:pStyle w:val="Normal"/>
        <w:spacing w:lineRule="atLeast" w:line="340"/>
        <w:rPr>
          <w:szCs w:val="24"/>
        </w:rPr>
      </w:pPr>
      <w:r>
        <w:rPr>
          <w:szCs w:val="24"/>
        </w:rPr>
      </w:r>
    </w:p>
    <w:p>
      <w:pPr>
        <w:pStyle w:val="Normal"/>
        <w:numPr>
          <w:ilvl w:val="0"/>
          <w:numId w:val="0"/>
        </w:numPr>
        <w:spacing w:lineRule="atLeast" w:line="340"/>
        <w:outlineLvl w:val="6"/>
        <w:rPr/>
      </w:pPr>
      <w:r>
        <w:rPr>
          <w:szCs w:val="24"/>
        </w:rPr>
        <w:t>Vidaus reikalų ministras</w:t>
      </w:r>
    </w:p>
    <w:sectPr>
      <w:headerReference w:type="default" r:id="rId2"/>
      <w:headerReference w:type="first" r:id="rId3"/>
      <w:footerReference w:type="default" r:id="rId4"/>
      <w:footerReference w:type="first" r:id="rId5"/>
      <w:type w:val="nextPage"/>
      <w:pgSz w:w="11906" w:h="16838"/>
      <w:pgMar w:left="1701" w:right="1134" w:header="567" w:top="1134" w:footer="567"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Segoe UI">
    <w:charset w:val="ba"/>
    <w:family w:val="roman"/>
    <w:pitch w:val="variable"/>
  </w:font>
  <w:font w:name="Liberation Sans">
    <w:altName w:val="Arial"/>
    <w:charset w:val="ba"/>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1296"/>
        <w:tab w:val="center" w:pos="4819" w:leader="none"/>
        <w:tab w:val="right" w:pos="9638" w:leader="none"/>
      </w:tabs>
      <w:rPr>
        <w:sz w:val="22"/>
        <w:szCs w:val="22"/>
      </w:rPr>
    </w:pPr>
    <w:r>
      <w:rPr>
        <w:sz w:val="22"/>
        <w:szCs w:val="2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1296"/>
        <w:tab w:val="center" w:pos="4819" w:leader="none"/>
        <w:tab w:val="right" w:pos="9638" w:leader="none"/>
      </w:tabs>
      <w:rPr>
        <w:sz w:val="22"/>
        <w:szCs w:val="22"/>
      </w:rPr>
    </w:pPr>
    <w:r>
      <w:rPr>
        <w:sz w:val="22"/>
        <w:szCs w:val="2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1296"/>
        <w:tab w:val="left" w:pos="3660" w:leader="none"/>
        <w:tab w:val="center" w:pos="4819" w:leader="none"/>
        <w:tab w:val="right" w:pos="9638" w:leader="none"/>
      </w:tabs>
      <w:rPr>
        <w:sz w:val="22"/>
        <w:szCs w:val="22"/>
      </w:rPr>
    </w:pPr>
    <w:r>
      <mc:AlternateContent>
        <mc:Choice Requires="wps">
          <w:drawing>
            <wp:anchor behindDoc="1" distT="0" distB="0" distL="0" distR="0" simplePos="0" locked="0" layoutInCell="1" allowOverlap="1" relativeHeight="2" wp14:anchorId="1F1E4F1F">
              <wp:simplePos x="0" y="0"/>
              <wp:positionH relativeFrom="page">
                <wp:posOffset>0</wp:posOffset>
              </wp:positionH>
              <wp:positionV relativeFrom="paragraph">
                <wp:posOffset>635</wp:posOffset>
              </wp:positionV>
              <wp:extent cx="17145" cy="176530"/>
              <wp:effectExtent l="0" t="0" r="0" b="0"/>
              <wp:wrapSquare wrapText="largest"/>
              <wp:docPr id="1" name="Kadras1"/>
              <a:graphic xmlns:a="http://schemas.openxmlformats.org/drawingml/2006/main">
                <a:graphicData uri="http://schemas.microsoft.com/office/word/2010/wordprocessingShape">
                  <wps:wsp>
                    <wps:cNvSpPr/>
                    <wps:spPr>
                      <a:xfrm>
                        <a:off x="0" y="0"/>
                        <a:ext cx="16560" cy="176040"/>
                      </a:xfrm>
                      <a:prstGeom prst="rect">
                        <a:avLst/>
                      </a:prstGeom>
                      <a:noFill/>
                      <a:ln>
                        <a:noFill/>
                      </a:ln>
                    </wps:spPr>
                    <wps:style>
                      <a:lnRef idx="0"/>
                      <a:fillRef idx="0"/>
                      <a:effectRef idx="0"/>
                      <a:fontRef idx="minor"/>
                    </wps:style>
                    <wps:txbx>
                      <w:txbxContent>
                        <w:p>
                          <w:pPr>
                            <w:pStyle w:val="Kadroturinys"/>
                            <w:tabs>
                              <w:tab w:val="clear" w:pos="1296"/>
                              <w:tab w:val="center" w:pos="4819" w:leader="none"/>
                              <w:tab w:val="right" w:pos="9638" w:leader="none"/>
                            </w:tabs>
                            <w:rPr>
                              <w:color w:val="000000"/>
                            </w:rPr>
                          </w:pPr>
                          <w:r>
                            <w:rPr>
                              <w:color w:val="000000"/>
                              <w:szCs w:val="24"/>
                            </w:rPr>
                            <w:fldChar w:fldCharType="begin"/>
                          </w:r>
                          <w:r>
                            <w:rPr>
                              <w:szCs w:val="24"/>
                            </w:rPr>
                            <w:instrText> PAGE </w:instrText>
                          </w:r>
                          <w:r>
                            <w:rPr>
                              <w:szCs w:val="24"/>
                            </w:rPr>
                            <w:fldChar w:fldCharType="separate"/>
                          </w:r>
                          <w:r>
                            <w:rPr>
                              <w:szCs w:val="24"/>
                            </w:rPr>
                            <w:t>0</w:t>
                          </w:r>
                          <w:r>
                            <w:rPr>
                              <w:szCs w:val="24"/>
                            </w:rPr>
                            <w:fldChar w:fldCharType="end"/>
                          </w:r>
                        </w:p>
                      </w:txbxContent>
                    </wps:txbx>
                    <wps:bodyPr lIns="0" rIns="0" tIns="0" bIns="0">
                      <a:spAutoFit/>
                    </wps:bodyPr>
                  </wps:wsp>
                </a:graphicData>
              </a:graphic>
            </wp:anchor>
          </w:drawing>
        </mc:Choice>
        <mc:Fallback>
          <w:pict>
            <v:rect id="shape_0" ID="Kadras1" stroked="f" style="position:absolute;margin-left:0pt;margin-top:0.05pt;width:1.25pt;height:13.8pt;mso-position-horizontal-relative:page" wp14:anchorId="1F1E4F1F">
              <w10:wrap type="square"/>
              <v:fill o:detectmouseclick="t" on="false"/>
              <v:stroke color="#3465a4" joinstyle="round" endcap="flat"/>
              <v:textbox>
                <w:txbxContent>
                  <w:p>
                    <w:pPr>
                      <w:pStyle w:val="Kadroturinys"/>
                      <w:tabs>
                        <w:tab w:val="clear" w:pos="1296"/>
                        <w:tab w:val="center" w:pos="4819" w:leader="none"/>
                        <w:tab w:val="right" w:pos="9638" w:leader="none"/>
                      </w:tabs>
                      <w:rPr>
                        <w:color w:val="000000"/>
                      </w:rPr>
                    </w:pPr>
                    <w:r>
                      <w:rPr>
                        <w:color w:val="000000"/>
                        <w:szCs w:val="24"/>
                      </w:rPr>
                      <w:fldChar w:fldCharType="begin"/>
                    </w:r>
                    <w:r>
                      <w:rPr>
                        <w:szCs w:val="24"/>
                      </w:rPr>
                      <w:instrText> PAGE </w:instrText>
                    </w:r>
                    <w:r>
                      <w:rPr>
                        <w:szCs w:val="24"/>
                      </w:rPr>
                      <w:fldChar w:fldCharType="separate"/>
                    </w:r>
                    <w:r>
                      <w:rPr>
                        <w:szCs w:val="24"/>
                      </w:rPr>
                      <w:t>0</w:t>
                    </w:r>
                    <w:r>
                      <w:rPr>
                        <w:szCs w:val="24"/>
                      </w:rPr>
                      <w:fldChar w:fldCharType="end"/>
                    </w:r>
                  </w:p>
                </w:txbxContent>
              </v:textbox>
            </v:rect>
          </w:pict>
        </mc:Fallback>
      </mc:AlternateContent>
    </w:r>
    <w:r>
      <w:rPr>
        <w:sz w:val="22"/>
        <w:szCs w:val="22"/>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1296"/>
        <w:tab w:val="center" w:pos="4819" w:leader="none"/>
        <w:tab w:val="right" w:pos="9638" w:leader="none"/>
      </w:tabs>
      <w:rPr>
        <w:sz w:val="22"/>
        <w:szCs w:val="22"/>
      </w:rPr>
    </w:pPr>
    <w:r>
      <w:rPr>
        <w:sz w:val="22"/>
        <w:szCs w:val="22"/>
      </w:rPr>
    </w:r>
  </w:p>
</w:hdr>
</file>

<file path=word/settings.xml><?xml version="1.0" encoding="utf-8"?>
<w:settings xmlns:w="http://schemas.openxmlformats.org/wordprocessingml/2006/main">
  <w:zoom w:percent="100"/>
  <w:defaultTabStop w:val="1296"/>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396"/>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lt-LT" w:eastAsia="en-US" w:bidi="ar-SA"/>
      </w:rPr>
    </w:rPrDefault>
    <w:pPrDefault>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0"/>
      <w:lang w:val="lt-LT"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semiHidden/>
    <w:unhideWhenUsed/>
    <w:qFormat/>
    <w:rsid w:val="00855e4d"/>
    <w:rPr>
      <w:sz w:val="16"/>
      <w:szCs w:val="16"/>
    </w:rPr>
  </w:style>
  <w:style w:type="character" w:styleId="CommentTextChar" w:customStyle="1">
    <w:name w:val="Comment Text Char"/>
    <w:basedOn w:val="DefaultParagraphFont"/>
    <w:link w:val="CommentText"/>
    <w:semiHidden/>
    <w:qFormat/>
    <w:rsid w:val="00855e4d"/>
    <w:rPr>
      <w:sz w:val="20"/>
    </w:rPr>
  </w:style>
  <w:style w:type="character" w:styleId="CommentSubjectChar" w:customStyle="1">
    <w:name w:val="Comment Subject Char"/>
    <w:basedOn w:val="CommentTextChar"/>
    <w:link w:val="CommentSubject"/>
    <w:semiHidden/>
    <w:qFormat/>
    <w:rsid w:val="00855e4d"/>
    <w:rPr>
      <w:b/>
      <w:bCs/>
      <w:sz w:val="20"/>
    </w:rPr>
  </w:style>
  <w:style w:type="character" w:styleId="BalloonTextChar" w:customStyle="1">
    <w:name w:val="Balloon Text Char"/>
    <w:basedOn w:val="DefaultParagraphFont"/>
    <w:link w:val="BalloonText"/>
    <w:semiHidden/>
    <w:qFormat/>
    <w:rsid w:val="00855e4d"/>
    <w:rPr>
      <w:rFonts w:ascii="Segoe UI" w:hAnsi="Segoe UI" w:cs="Segoe UI"/>
      <w:sz w:val="18"/>
      <w:szCs w:val="18"/>
    </w:rPr>
  </w:style>
  <w:style w:type="paragraph" w:styleId="Antrat" w:customStyle="1">
    <w:name w:val="Antraštė"/>
    <w:basedOn w:val="Normal"/>
    <w:next w:val="Pagrindinistekstas"/>
    <w:qFormat/>
    <w:pPr>
      <w:keepNext w:val="true"/>
      <w:spacing w:before="240" w:after="120"/>
    </w:pPr>
    <w:rPr>
      <w:rFonts w:ascii="Liberation Sans" w:hAnsi="Liberation Sans" w:eastAsia="Microsoft YaHei" w:cs="Lucida Sans"/>
      <w:sz w:val="28"/>
      <w:szCs w:val="28"/>
    </w:rPr>
  </w:style>
  <w:style w:type="paragraph" w:styleId="Pagrindinistekstas">
    <w:name w:val="Body Text"/>
    <w:basedOn w:val="Normal"/>
    <w:pPr>
      <w:spacing w:lineRule="auto" w:line="276" w:before="0" w:after="140"/>
    </w:pPr>
    <w:rPr/>
  </w:style>
  <w:style w:type="paragraph" w:styleId="Sraas">
    <w:name w:val="List"/>
    <w:basedOn w:val="Pagrindinistekstas"/>
    <w:pPr/>
    <w:rPr>
      <w:rFonts w:cs="Lucida Sans"/>
    </w:rPr>
  </w:style>
  <w:style w:type="paragraph" w:styleId="Pavadinimas">
    <w:name w:val="Caption"/>
    <w:basedOn w:val="Normal"/>
    <w:qFormat/>
    <w:pPr>
      <w:suppressLineNumbers/>
      <w:spacing w:before="120" w:after="120"/>
    </w:pPr>
    <w:rPr>
      <w:rFonts w:cs="Lucida Sans"/>
      <w:i/>
      <w:iCs/>
      <w:sz w:val="24"/>
      <w:szCs w:val="24"/>
    </w:rPr>
  </w:style>
  <w:style w:type="paragraph" w:styleId="Rodykl" w:customStyle="1">
    <w:name w:val="Rodyklė"/>
    <w:basedOn w:val="Normal"/>
    <w:qFormat/>
    <w:pPr>
      <w:suppressLineNumbers/>
    </w:pPr>
    <w:rPr>
      <w:rFonts w:cs="Lucida Sans"/>
    </w:rPr>
  </w:style>
  <w:style w:type="paragraph" w:styleId="Caption">
    <w:name w:val="caption"/>
    <w:basedOn w:val="Normal"/>
    <w:next w:val="Pagrindinistekstas"/>
    <w:qFormat/>
    <w:pPr>
      <w:suppressLineNumbers/>
      <w:spacing w:before="120" w:after="120"/>
    </w:pPr>
    <w:rPr>
      <w:rFonts w:cs="Lucida Sans"/>
      <w:i/>
      <w:iCs/>
      <w:szCs w:val="24"/>
    </w:rPr>
  </w:style>
  <w:style w:type="paragraph" w:styleId="ListParagraph">
    <w:name w:val="List Paragraph"/>
    <w:basedOn w:val="Normal"/>
    <w:qFormat/>
    <w:rsid w:val="00a22097"/>
    <w:pPr>
      <w:spacing w:before="0" w:after="0"/>
      <w:ind w:left="720" w:hanging="0"/>
      <w:contextualSpacing/>
    </w:pPr>
    <w:rPr/>
  </w:style>
  <w:style w:type="paragraph" w:styleId="Annotationtext">
    <w:name w:val="annotation text"/>
    <w:basedOn w:val="Normal"/>
    <w:link w:val="CommentTextChar"/>
    <w:semiHidden/>
    <w:unhideWhenUsed/>
    <w:qFormat/>
    <w:rsid w:val="00855e4d"/>
    <w:pPr/>
    <w:rPr>
      <w:sz w:val="20"/>
    </w:rPr>
  </w:style>
  <w:style w:type="paragraph" w:styleId="Annotationsubject">
    <w:name w:val="annotation subject"/>
    <w:basedOn w:val="Annotationtext"/>
    <w:next w:val="Annotationtext"/>
    <w:link w:val="CommentSubjectChar"/>
    <w:semiHidden/>
    <w:unhideWhenUsed/>
    <w:qFormat/>
    <w:rsid w:val="00855e4d"/>
    <w:pPr/>
    <w:rPr>
      <w:b/>
      <w:bCs/>
    </w:rPr>
  </w:style>
  <w:style w:type="paragraph" w:styleId="BalloonText">
    <w:name w:val="Balloon Text"/>
    <w:basedOn w:val="Normal"/>
    <w:link w:val="BalloonTextChar"/>
    <w:semiHidden/>
    <w:unhideWhenUsed/>
    <w:qFormat/>
    <w:rsid w:val="00855e4d"/>
    <w:pPr/>
    <w:rPr>
      <w:rFonts w:ascii="Segoe UI" w:hAnsi="Segoe UI" w:cs="Segoe UI"/>
      <w:sz w:val="18"/>
      <w:szCs w:val="18"/>
    </w:rPr>
  </w:style>
  <w:style w:type="paragraph" w:styleId="Revision">
    <w:name w:val="Revision"/>
    <w:semiHidden/>
    <w:qFormat/>
    <w:rsid w:val="005504ce"/>
    <w:pPr>
      <w:widowControl/>
      <w:bidi w:val="0"/>
      <w:spacing w:before="0" w:after="0"/>
      <w:jc w:val="left"/>
    </w:pPr>
    <w:rPr>
      <w:rFonts w:ascii="Times New Roman" w:hAnsi="Times New Roman" w:eastAsia="Times New Roman" w:cs="Times New Roman"/>
      <w:color w:val="auto"/>
      <w:kern w:val="0"/>
      <w:sz w:val="24"/>
      <w:szCs w:val="20"/>
      <w:lang w:val="lt-LT" w:eastAsia="en-US" w:bidi="ar-SA"/>
    </w:rPr>
  </w:style>
  <w:style w:type="paragraph" w:styleId="Puslapinantratirporat" w:customStyle="1">
    <w:name w:val="Puslapinė antraštė ir poraštė"/>
    <w:basedOn w:val="Normal"/>
    <w:qFormat/>
    <w:pPr/>
    <w:rPr/>
  </w:style>
  <w:style w:type="paragraph" w:styleId="Puslapinantrat">
    <w:name w:val="Header"/>
    <w:basedOn w:val="Puslapinantratirporat"/>
    <w:pPr/>
    <w:rPr/>
  </w:style>
  <w:style w:type="paragraph" w:styleId="Kadroturinys" w:customStyle="1">
    <w:name w:val="Kadro turinys"/>
    <w:basedOn w:val="Normal"/>
    <w:qFormat/>
    <w:pPr/>
    <w:rPr/>
  </w:style>
  <w:style w:type="paragraph" w:styleId="Puslapinporat">
    <w:name w:val="Footer"/>
    <w:basedOn w:val="Puslapinantratirpor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header1.xml"
                 Type="http://schemas.openxmlformats.org/officeDocument/2006/relationships/header"/>
   <Relationship Id="rId3" Target="header2.xml"
                 Type="http://schemas.openxmlformats.org/officeDocument/2006/relationships/header"/>
   <Relationship Id="rId4" Target="footer1.xml"
                 Type="http://schemas.openxmlformats.org/officeDocument/2006/relationships/footer"/>
   <Relationship Id="rId5" Target="footer2.xml"
                 Type="http://schemas.openxmlformats.org/officeDocument/2006/relationships/footer"/>
   <Relationship Id="rId6" Target="fontTable.xml"
                 Type="http://schemas.openxmlformats.org/officeDocument/2006/relationships/fontTable"/>
   <Relationship Id="rId7" Target="settings.xml"
                 Type="http://schemas.openxmlformats.org/officeDocument/2006/relationships/settings"/>
   <Relationship Id="rId8" Target="theme/theme1.xml"
                 Type="http://schemas.openxmlformats.org/officeDocument/2006/relationships/theme"/>
   <Relationship Id="rId9" Target="../customXml/item1.xml"
                 Type="http://schemas.openxmlformats.org/officeDocument/2006/relationships/custom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4E5818-75B2-4AD2-B34E-B784EB06E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LibreOffice/6.3.6.2$Windows_X86_64 LibreOffice_project/2196df99b074d8a661f4036fca8fa0cbfa33a497</Application>
  <Pages>1</Pages>
  <Words>275</Words>
  <Characters>1866</Characters>
  <CharactersWithSpaces>2134</CharactersWithSpaces>
  <Paragraphs>17</Paragraphs>
  <Company>Student</Company>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2020-11-07T13:51:00Z</dcterms:created>
  <dc:creator>Tautginas Mickevičius</dc:creator>
  <dc:language>lt-LT</dc:language>
  <cp:lastPrinted>2019-11-21T11:35:00Z</cp:lastPrinted>
  <dcterms:modified xsi:type="dcterms:W3CDTF">2020-11-09T09:59:45Z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Student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