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60058" w:rsidRPr="006E289B" w:rsidRDefault="00E60058" w:rsidP="00E60058">
            <w:permStart w:id="1477518376" w:edGrp="everyone"/>
            <w:r w:rsidRPr="006E289B">
              <w:lastRenderedPageBreak/>
              <w:t>Europos Komisijos</w:t>
            </w:r>
          </w:p>
          <w:p w:rsidR="00E60058" w:rsidRPr="006E289B" w:rsidRDefault="00E60058" w:rsidP="00E60058">
            <w:r>
              <w:t>g</w:t>
            </w:r>
            <w:r w:rsidRPr="006E289B">
              <w:t>eneraliniam sekretoriatui</w:t>
            </w:r>
          </w:p>
          <w:p w:rsidR="00E60058" w:rsidRPr="006E289B" w:rsidRDefault="00E60058" w:rsidP="00E60058">
            <w:pPr>
              <w:rPr>
                <w:sz w:val="10"/>
                <w:szCs w:val="10"/>
              </w:rPr>
            </w:pPr>
          </w:p>
          <w:p w:rsidR="00E60058" w:rsidRPr="006E289B" w:rsidRDefault="00E60058" w:rsidP="00E60058">
            <w:r w:rsidRPr="006E289B">
              <w:t>B-1049 Briuselis</w:t>
            </w:r>
          </w:p>
          <w:p w:rsidR="00E60058" w:rsidRPr="006E289B" w:rsidRDefault="00E60058" w:rsidP="00E60058">
            <w:r w:rsidRPr="006E289B">
              <w:t xml:space="preserve">Belgija </w:t>
            </w:r>
          </w:p>
          <w:p w:rsidR="00E17BB9" w:rsidRDefault="00E17BB9" w:rsidP="007D5FBF"/>
          <w:p w:rsidR="00715C76" w:rsidRPr="00E17BB9" w:rsidRDefault="00715C76" w:rsidP="007D5FBF"/>
        </w:tc>
        <w:tc>
          <w:tcPr>
            <w:tcW w:w="4820" w:type="dxa"/>
          </w:tcPr>
          <w:p w:rsidR="00E60058" w:rsidRDefault="00E60058" w:rsidP="00E60058"/>
          <w:p w:rsidR="00E60058" w:rsidRDefault="00E60058" w:rsidP="00E60058"/>
          <w:p w:rsidR="00E60058" w:rsidRPr="006E289B" w:rsidRDefault="00E60058" w:rsidP="00E60058">
            <w:r w:rsidRPr="006E289B">
              <w:t>Į 2021-07-15 Nr. SG-</w:t>
            </w:r>
            <w:proofErr w:type="spellStart"/>
            <w:r w:rsidRPr="006E289B">
              <w:t>Greffe</w:t>
            </w:r>
            <w:proofErr w:type="spellEnd"/>
            <w:r w:rsidRPr="006E289B">
              <w:t xml:space="preserve"> (2016)D/6887</w:t>
            </w:r>
          </w:p>
          <w:p w:rsidR="00E17BB9" w:rsidRPr="00E17BB9" w:rsidRDefault="00E17BB9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E17BB9" w:rsidRDefault="00E60058" w:rsidP="00715C76">
            <w:pPr>
              <w:jc w:val="both"/>
              <w:rPr>
                <w:b/>
              </w:rPr>
            </w:pPr>
            <w:r w:rsidRPr="006E289B">
              <w:rPr>
                <w:b/>
              </w:rPr>
              <w:t>DĖL ATSAKYMO Į EUROPOS KOMISIJOS PAGRĮSTĄ NUOMONĘ (EUROPOS SĄJUNGOS TEISĖS PAŽEIDIM</w:t>
            </w:r>
            <w:bookmarkStart w:id="0" w:name="_GoBack"/>
            <w:bookmarkEnd w:id="0"/>
            <w:r w:rsidRPr="006E289B">
              <w:rPr>
                <w:b/>
              </w:rPr>
              <w:t>O PROCEDŪRA NR. INFR(2021)0062) DĖL DIREKTYVOS (ES) 2019/879 TERMINO PRATĘSIMO</w:t>
            </w:r>
          </w:p>
        </w:tc>
      </w:tr>
    </w:tbl>
    <w:p w:rsidR="00E60058" w:rsidRDefault="00E60058" w:rsidP="00284B0B">
      <w:pPr>
        <w:ind w:firstLine="709"/>
      </w:pPr>
    </w:p>
    <w:p w:rsidR="00E60058" w:rsidRPr="006E289B" w:rsidRDefault="00E60058" w:rsidP="00E60058">
      <w:pPr>
        <w:ind w:firstLine="720"/>
        <w:jc w:val="both"/>
        <w:rPr>
          <w:szCs w:val="24"/>
        </w:rPr>
      </w:pPr>
      <w:r w:rsidRPr="006E289B">
        <w:rPr>
          <w:szCs w:val="24"/>
        </w:rPr>
        <w:t>Lietuvos Respublikos finansų ministerija gavo Europos Komisijos pranešimą dėl</w:t>
      </w:r>
      <w:r w:rsidRPr="006E289B">
        <w:rPr>
          <w:szCs w:val="24"/>
          <w:lang w:eastAsia="ar-SA"/>
        </w:rPr>
        <w:t xml:space="preserve"> </w:t>
      </w:r>
      <w:r w:rsidRPr="006E289B">
        <w:rPr>
          <w:szCs w:val="24"/>
        </w:rPr>
        <w:t xml:space="preserve">Europos Komisijos pagrįstos nuomonės (Europos Sąjungos teisės pažeidimo procedūra Nr. INFR(2021)0062) dėl 2019 m. liepos 15 d. Europos Parlamento ir Tarybos direktyvos (ES) 2019/879, kuria dėl kredito įstaigų ir investicinių įmonių nuostolių padengimo ir </w:t>
      </w:r>
      <w:proofErr w:type="spellStart"/>
      <w:r w:rsidRPr="006E289B">
        <w:rPr>
          <w:szCs w:val="24"/>
        </w:rPr>
        <w:t>rekapitalizavimo</w:t>
      </w:r>
      <w:proofErr w:type="spellEnd"/>
      <w:r w:rsidRPr="006E289B">
        <w:rPr>
          <w:szCs w:val="24"/>
        </w:rPr>
        <w:t xml:space="preserve"> pajėgumo iš dalies keičiama Direktyva 2014/59/ES ir iš dalies keičiama Direktyva 98/26/EB </w:t>
      </w:r>
      <w:r w:rsidRPr="006E289B">
        <w:rPr>
          <w:bCs/>
          <w:szCs w:val="24"/>
        </w:rPr>
        <w:t>(toliau – Direktyva)</w:t>
      </w:r>
      <w:r>
        <w:rPr>
          <w:bCs/>
          <w:szCs w:val="24"/>
        </w:rPr>
        <w:t>,</w:t>
      </w:r>
      <w:r w:rsidRPr="006E289B">
        <w:rPr>
          <w:bCs/>
          <w:szCs w:val="24"/>
        </w:rPr>
        <w:t xml:space="preserve"> neperkėlimo ir informuoja, kad, </w:t>
      </w:r>
      <w:r w:rsidRPr="006E289B">
        <w:rPr>
          <w:szCs w:val="24"/>
        </w:rPr>
        <w:t>siekiant visiškai ir tinkamai perkelti Direktyvos nuostatas, parengti: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szCs w:val="24"/>
          <w:lang w:val="en-US"/>
        </w:rPr>
        <w:t>1.</w:t>
      </w:r>
      <w:r w:rsidRPr="006E289B">
        <w:rPr>
          <w:szCs w:val="24"/>
        </w:rPr>
        <w:t xml:space="preserve"> Lietuvos </w:t>
      </w:r>
      <w:r w:rsidRPr="006E289B">
        <w:rPr>
          <w:bCs/>
          <w:szCs w:val="24"/>
        </w:rPr>
        <w:t xml:space="preserve">Respublikos finansinio tvarumo įstatymo </w:t>
      </w:r>
      <w:r w:rsidRPr="006E289B">
        <w:rPr>
          <w:szCs w:val="24"/>
        </w:rPr>
        <w:t xml:space="preserve">Nr. XI-393 </w:t>
      </w:r>
      <w:r w:rsidRPr="006E289B">
        <w:rPr>
          <w:bCs/>
          <w:szCs w:val="24"/>
        </w:rPr>
        <w:t xml:space="preserve">1, 2, 3, 12, 13, 16, 18, 19, 21, 22, 23, 24, 25, 26, 28, 42, 46, 48, 50, 51, 52, 53, 54, 55, 58, 59, 60, 66, 77, 78, 80, 81, 82, 87, 98, 107, 108, 113, 116 straipsnių, III skyriaus ketvirtojo skirsnio pavadinimo, priedo pakeitimo ir Įstatymo papildymo </w:t>
      </w:r>
      <w:r w:rsidRPr="006E289B">
        <w:rPr>
          <w:bCs/>
          <w:szCs w:val="24"/>
          <w:lang w:val="en-US"/>
        </w:rPr>
        <w:t>21</w:t>
      </w:r>
      <w:r w:rsidRPr="006E289B">
        <w:rPr>
          <w:bCs/>
          <w:szCs w:val="24"/>
          <w:vertAlign w:val="superscript"/>
          <w:lang w:val="en-US"/>
        </w:rPr>
        <w:t>1</w:t>
      </w:r>
      <w:r w:rsidRPr="006E289B">
        <w:rPr>
          <w:bCs/>
          <w:szCs w:val="24"/>
          <w:lang w:val="en-US"/>
        </w:rPr>
        <w:t xml:space="preserve">, </w:t>
      </w:r>
      <w:r w:rsidRPr="006E289B">
        <w:rPr>
          <w:bCs/>
          <w:szCs w:val="24"/>
        </w:rPr>
        <w:t>25</w:t>
      </w:r>
      <w:r w:rsidRPr="006E289B">
        <w:rPr>
          <w:bCs/>
          <w:szCs w:val="24"/>
          <w:vertAlign w:val="superscript"/>
        </w:rPr>
        <w:t>1</w:t>
      </w:r>
      <w:r w:rsidRPr="006E289B">
        <w:rPr>
          <w:bCs/>
          <w:szCs w:val="24"/>
        </w:rPr>
        <w:t>, 25</w:t>
      </w:r>
      <w:r w:rsidRPr="006E289B">
        <w:rPr>
          <w:bCs/>
          <w:szCs w:val="24"/>
          <w:vertAlign w:val="superscript"/>
        </w:rPr>
        <w:t>2</w:t>
      </w:r>
      <w:r w:rsidRPr="006E289B">
        <w:rPr>
          <w:bCs/>
          <w:szCs w:val="24"/>
        </w:rPr>
        <w:t>, 25</w:t>
      </w:r>
      <w:r w:rsidRPr="006E289B">
        <w:rPr>
          <w:bCs/>
          <w:szCs w:val="24"/>
          <w:vertAlign w:val="superscript"/>
        </w:rPr>
        <w:t>3</w:t>
      </w:r>
      <w:r w:rsidRPr="006E289B">
        <w:rPr>
          <w:bCs/>
          <w:szCs w:val="24"/>
        </w:rPr>
        <w:t>, 25</w:t>
      </w:r>
      <w:r w:rsidRPr="006E289B">
        <w:rPr>
          <w:bCs/>
          <w:szCs w:val="24"/>
          <w:vertAlign w:val="superscript"/>
        </w:rPr>
        <w:t>4</w:t>
      </w:r>
      <w:r w:rsidRPr="006E289B">
        <w:rPr>
          <w:bCs/>
          <w:szCs w:val="24"/>
        </w:rPr>
        <w:t>, 26</w:t>
      </w:r>
      <w:r w:rsidRPr="006E289B">
        <w:rPr>
          <w:bCs/>
          <w:szCs w:val="24"/>
          <w:vertAlign w:val="superscript"/>
        </w:rPr>
        <w:t>1</w:t>
      </w:r>
      <w:r w:rsidRPr="006E289B">
        <w:rPr>
          <w:bCs/>
          <w:szCs w:val="24"/>
        </w:rPr>
        <w:t>, 26</w:t>
      </w:r>
      <w:r w:rsidRPr="006E289B">
        <w:rPr>
          <w:bCs/>
          <w:szCs w:val="24"/>
          <w:vertAlign w:val="superscript"/>
        </w:rPr>
        <w:t>2</w:t>
      </w:r>
      <w:r w:rsidRPr="006E289B">
        <w:rPr>
          <w:bCs/>
          <w:szCs w:val="24"/>
        </w:rPr>
        <w:t>, 26</w:t>
      </w:r>
      <w:r w:rsidRPr="006E289B">
        <w:rPr>
          <w:bCs/>
          <w:szCs w:val="24"/>
          <w:vertAlign w:val="superscript"/>
        </w:rPr>
        <w:t>3</w:t>
      </w:r>
      <w:r w:rsidRPr="006E289B">
        <w:rPr>
          <w:bCs/>
          <w:szCs w:val="24"/>
        </w:rPr>
        <w:t>, 26</w:t>
      </w:r>
      <w:r w:rsidRPr="006E289B">
        <w:rPr>
          <w:bCs/>
          <w:szCs w:val="24"/>
          <w:vertAlign w:val="superscript"/>
        </w:rPr>
        <w:t>4</w:t>
      </w:r>
      <w:r w:rsidRPr="006E289B">
        <w:rPr>
          <w:bCs/>
          <w:szCs w:val="24"/>
        </w:rPr>
        <w:t>, 26</w:t>
      </w:r>
      <w:r w:rsidRPr="006E289B">
        <w:rPr>
          <w:bCs/>
          <w:szCs w:val="24"/>
          <w:vertAlign w:val="superscript"/>
        </w:rPr>
        <w:t>5</w:t>
      </w:r>
      <w:r w:rsidRPr="006E289B">
        <w:rPr>
          <w:bCs/>
          <w:szCs w:val="24"/>
        </w:rPr>
        <w:t>, 26</w:t>
      </w:r>
      <w:r w:rsidRPr="006E289B">
        <w:rPr>
          <w:bCs/>
          <w:szCs w:val="24"/>
          <w:vertAlign w:val="superscript"/>
        </w:rPr>
        <w:t>6</w:t>
      </w:r>
      <w:r w:rsidRPr="006E289B">
        <w:rPr>
          <w:bCs/>
          <w:szCs w:val="24"/>
        </w:rPr>
        <w:t>, 49</w:t>
      </w:r>
      <w:r w:rsidRPr="006E289B">
        <w:rPr>
          <w:bCs/>
          <w:szCs w:val="24"/>
          <w:vertAlign w:val="superscript"/>
        </w:rPr>
        <w:t xml:space="preserve">1 </w:t>
      </w:r>
      <w:r w:rsidRPr="006E289B">
        <w:rPr>
          <w:bCs/>
          <w:szCs w:val="24"/>
        </w:rPr>
        <w:t>, 52</w:t>
      </w:r>
      <w:r w:rsidRPr="006E289B">
        <w:rPr>
          <w:bCs/>
          <w:szCs w:val="24"/>
          <w:vertAlign w:val="superscript"/>
        </w:rPr>
        <w:t>1</w:t>
      </w:r>
      <w:r w:rsidRPr="006E289B">
        <w:rPr>
          <w:szCs w:val="24"/>
        </w:rPr>
        <w:t xml:space="preserve"> ir 101</w:t>
      </w:r>
      <w:r w:rsidRPr="006E289B">
        <w:rPr>
          <w:szCs w:val="24"/>
          <w:vertAlign w:val="superscript"/>
        </w:rPr>
        <w:t>1</w:t>
      </w:r>
      <w:r w:rsidRPr="006E289B">
        <w:rPr>
          <w:szCs w:val="24"/>
        </w:rPr>
        <w:t xml:space="preserve"> straipsniais ir</w:t>
      </w:r>
      <w:r w:rsidRPr="006E289B">
        <w:rPr>
          <w:bCs/>
          <w:szCs w:val="24"/>
        </w:rPr>
        <w:t xml:space="preserve"> 27 straipsnio pripažinimo netekusiu galios</w:t>
      </w:r>
      <w:r w:rsidRPr="006E289B">
        <w:rPr>
          <w:szCs w:val="24"/>
        </w:rPr>
        <w:t xml:space="preserve"> įstatymo projektas</w:t>
      </w:r>
      <w:r w:rsidRPr="006E289B">
        <w:rPr>
          <w:bCs/>
          <w:szCs w:val="24"/>
        </w:rPr>
        <w:t>;</w:t>
      </w:r>
    </w:p>
    <w:p w:rsidR="00E60058" w:rsidRPr="006E289B" w:rsidRDefault="00E60058" w:rsidP="00E60058">
      <w:pPr>
        <w:ind w:firstLine="720"/>
        <w:jc w:val="both"/>
        <w:rPr>
          <w:szCs w:val="24"/>
        </w:rPr>
      </w:pPr>
      <w:r w:rsidRPr="006E289B">
        <w:rPr>
          <w:bCs/>
          <w:szCs w:val="24"/>
        </w:rPr>
        <w:t xml:space="preserve">2. </w:t>
      </w:r>
      <w:r w:rsidRPr="006E289B">
        <w:rPr>
          <w:szCs w:val="24"/>
        </w:rPr>
        <w:t>Lietuvos Respublikos atsiskaitymų baigtinumo mokėjimo ir vertybinių popierių atsiskaitymo sistemose įstatymo Nr. XI-1428 2 straipsnio ir priedo pakeitimo įstatymo projektas;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szCs w:val="24"/>
        </w:rPr>
        <w:t>3. Lietuvos Respublikos centrinių kredito unijų įstatymo Nr. VIII-1682 1, 2, 8, 15. 34, 49, 70 straipsnių ir priedo pakeitimo įstatymo projektas</w:t>
      </w:r>
      <w:r w:rsidRPr="006E289B">
        <w:rPr>
          <w:bCs/>
          <w:szCs w:val="24"/>
        </w:rPr>
        <w:t>;</w:t>
      </w:r>
    </w:p>
    <w:p w:rsidR="00E60058" w:rsidRPr="006E289B" w:rsidRDefault="00E60058" w:rsidP="00E60058">
      <w:pPr>
        <w:ind w:firstLine="720"/>
        <w:jc w:val="both"/>
        <w:rPr>
          <w:szCs w:val="24"/>
        </w:rPr>
      </w:pPr>
      <w:r w:rsidRPr="006E289B">
        <w:rPr>
          <w:bCs/>
          <w:szCs w:val="24"/>
        </w:rPr>
        <w:t xml:space="preserve">4. </w:t>
      </w:r>
      <w:r w:rsidRPr="006E289B">
        <w:rPr>
          <w:szCs w:val="24"/>
        </w:rPr>
        <w:t xml:space="preserve">Lietuvos Respublikos bankų įstatymo Nr. XI-2085 2, </w:t>
      </w:r>
      <w:r w:rsidRPr="006E289B">
        <w:rPr>
          <w:bCs/>
          <w:szCs w:val="24"/>
        </w:rPr>
        <w:t>9, 16, 48, 52, 57, 59, 67, 70</w:t>
      </w:r>
      <w:r w:rsidRPr="006E289B">
        <w:rPr>
          <w:bCs/>
          <w:szCs w:val="24"/>
          <w:vertAlign w:val="superscript"/>
        </w:rPr>
        <w:t>1</w:t>
      </w:r>
      <w:r w:rsidRPr="006E289B">
        <w:rPr>
          <w:bCs/>
          <w:szCs w:val="24"/>
        </w:rPr>
        <w:t>, 87 straipsnių, priedo pakeitimo ir įstatymo papildymo 70</w:t>
      </w:r>
      <w:r w:rsidRPr="006E289B">
        <w:rPr>
          <w:bCs/>
          <w:szCs w:val="24"/>
          <w:vertAlign w:val="superscript"/>
        </w:rPr>
        <w:t>3</w:t>
      </w:r>
      <w:r w:rsidRPr="006E289B">
        <w:rPr>
          <w:bCs/>
          <w:szCs w:val="24"/>
        </w:rPr>
        <w:t xml:space="preserve"> straipsniu </w:t>
      </w:r>
      <w:r w:rsidRPr="006E289B">
        <w:rPr>
          <w:szCs w:val="24"/>
        </w:rPr>
        <w:t>įstatymo projektas;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  <w:lang w:val="en-US"/>
        </w:rPr>
        <w:t xml:space="preserve">5. </w:t>
      </w:r>
      <w:r w:rsidRPr="006E289B">
        <w:rPr>
          <w:bCs/>
          <w:szCs w:val="24"/>
        </w:rPr>
        <w:t>Lietuvos Respublikos finansinių priemonių rinkų įstatymo Nr. XI-1024 15, 102, 107 straipsnių, priedo pakeitimo ir įstatymo papildymo 29</w:t>
      </w:r>
      <w:r w:rsidRPr="006E289B">
        <w:rPr>
          <w:bCs/>
          <w:szCs w:val="24"/>
          <w:vertAlign w:val="superscript"/>
        </w:rPr>
        <w:t>1</w:t>
      </w:r>
      <w:r w:rsidRPr="006E289B">
        <w:rPr>
          <w:bCs/>
          <w:szCs w:val="24"/>
        </w:rPr>
        <w:t xml:space="preserve"> ir 105</w:t>
      </w:r>
      <w:r w:rsidRPr="006E289B">
        <w:rPr>
          <w:bCs/>
          <w:szCs w:val="24"/>
          <w:vertAlign w:val="superscript"/>
        </w:rPr>
        <w:t xml:space="preserve">1 </w:t>
      </w:r>
      <w:r w:rsidRPr="006E289B">
        <w:rPr>
          <w:bCs/>
          <w:szCs w:val="24"/>
        </w:rPr>
        <w:t xml:space="preserve">straipsniais įstatymo projektas (toliau kartu – Įstatymų projektai) (pridedama). 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</w:rPr>
        <w:t>Direktyvos perkėlimo į nacionalinę teisę darbams itin didel</w:t>
      </w:r>
      <w:r>
        <w:rPr>
          <w:bCs/>
          <w:szCs w:val="24"/>
        </w:rPr>
        <w:t>ę</w:t>
      </w:r>
      <w:r w:rsidRPr="006E289B">
        <w:rPr>
          <w:bCs/>
          <w:szCs w:val="24"/>
        </w:rPr>
        <w:t xml:space="preserve"> neigiam</w:t>
      </w:r>
      <w:r>
        <w:rPr>
          <w:bCs/>
          <w:szCs w:val="24"/>
        </w:rPr>
        <w:t>ą</w:t>
      </w:r>
      <w:r w:rsidRPr="006E289B">
        <w:rPr>
          <w:bCs/>
          <w:szCs w:val="24"/>
        </w:rPr>
        <w:t xml:space="preserve"> įtak</w:t>
      </w:r>
      <w:r>
        <w:rPr>
          <w:bCs/>
          <w:szCs w:val="24"/>
        </w:rPr>
        <w:t>ą</w:t>
      </w:r>
      <w:r w:rsidRPr="006E289B">
        <w:rPr>
          <w:bCs/>
          <w:szCs w:val="24"/>
        </w:rPr>
        <w:t xml:space="preserve"> turėjo ir turi dėl COVID-19 pandemijos pasikeitę tiek </w:t>
      </w:r>
      <w:r>
        <w:rPr>
          <w:bCs/>
          <w:szCs w:val="24"/>
        </w:rPr>
        <w:t>F</w:t>
      </w:r>
      <w:r w:rsidRPr="006E289B">
        <w:rPr>
          <w:bCs/>
          <w:szCs w:val="24"/>
        </w:rPr>
        <w:t xml:space="preserve">inansų ministerijos, tiek kitų valstybės institucijų darbų prioritetai, į kuriuos visų pirma buvo nukreipti žmogiškieji ištekliai, siekiant suvaldyti neigiamas </w:t>
      </w:r>
      <w:proofErr w:type="spellStart"/>
      <w:r>
        <w:rPr>
          <w:bCs/>
          <w:szCs w:val="24"/>
        </w:rPr>
        <w:t>korona</w:t>
      </w:r>
      <w:r w:rsidRPr="006E289B">
        <w:rPr>
          <w:bCs/>
          <w:szCs w:val="24"/>
        </w:rPr>
        <w:t>viruso</w:t>
      </w:r>
      <w:proofErr w:type="spellEnd"/>
      <w:r w:rsidRPr="006E289B">
        <w:rPr>
          <w:bCs/>
          <w:szCs w:val="24"/>
        </w:rPr>
        <w:t xml:space="preserve"> pasekmes ekonomikai. Taip pat informuojame, kad šiuo metu Lietuvos Respublikos Seimo eilinė sesija nevyksta ir nėra galimybės priimti Įstatymų projektų.</w:t>
      </w:r>
    </w:p>
    <w:p w:rsidR="00E60058" w:rsidRPr="006E289B" w:rsidRDefault="00E60058" w:rsidP="00E60058">
      <w:pPr>
        <w:ind w:firstLine="720"/>
        <w:jc w:val="both"/>
        <w:rPr>
          <w:szCs w:val="24"/>
          <w:lang w:eastAsia="ar-SA"/>
        </w:rPr>
      </w:pPr>
      <w:r w:rsidRPr="006E289B">
        <w:rPr>
          <w:szCs w:val="24"/>
        </w:rPr>
        <w:t>Prašome atsakymo terminą pratęsti 3 mėnesiams, t.</w:t>
      </w:r>
      <w:r>
        <w:rPr>
          <w:szCs w:val="24"/>
        </w:rPr>
        <w:t xml:space="preserve"> </w:t>
      </w:r>
      <w:r w:rsidRPr="006E289B">
        <w:rPr>
          <w:szCs w:val="24"/>
        </w:rPr>
        <w:t xml:space="preserve">y. iki šių metų lapkričio </w:t>
      </w:r>
      <w:r w:rsidRPr="006E289B">
        <w:rPr>
          <w:szCs w:val="24"/>
          <w:lang w:val="en-US"/>
        </w:rPr>
        <w:t xml:space="preserve">15 </w:t>
      </w:r>
      <w:proofErr w:type="spellStart"/>
      <w:r w:rsidRPr="006E289B">
        <w:rPr>
          <w:szCs w:val="24"/>
          <w:lang w:val="en-US"/>
        </w:rPr>
        <w:t>d</w:t>
      </w:r>
      <w:r>
        <w:rPr>
          <w:szCs w:val="24"/>
          <w:lang w:val="en-US"/>
        </w:rPr>
        <w:t>ienos</w:t>
      </w:r>
      <w:proofErr w:type="spellEnd"/>
      <w:r w:rsidRPr="006E289B">
        <w:rPr>
          <w:szCs w:val="24"/>
          <w:lang w:val="en-US"/>
        </w:rPr>
        <w:t>,</w:t>
      </w:r>
      <w:r w:rsidRPr="006E289B">
        <w:rPr>
          <w:szCs w:val="24"/>
        </w:rPr>
        <w:t xml:space="preserve"> kad per šį laikotarpį galėtume </w:t>
      </w:r>
      <w:r w:rsidRPr="006E289B">
        <w:rPr>
          <w:szCs w:val="24"/>
          <w:lang w:eastAsia="ar-SA"/>
        </w:rPr>
        <w:t>priimti visas reikalingas priemones pažeidimui ištaisyti.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</w:rPr>
        <w:t xml:space="preserve">Šiuo metu Įstatymų projektai derinami </w:t>
      </w:r>
      <w:r>
        <w:rPr>
          <w:bCs/>
          <w:szCs w:val="24"/>
        </w:rPr>
        <w:t xml:space="preserve">Finansų </w:t>
      </w:r>
      <w:r w:rsidRPr="006E289B">
        <w:rPr>
          <w:bCs/>
          <w:szCs w:val="24"/>
        </w:rPr>
        <w:t>ministerijoje ir iki rugpjūčio 31 dienos bus pateikti svarstyti Lietuvos Respublikos Vyriausybei.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</w:rPr>
        <w:t xml:space="preserve">Įsipareigojame, kad Įstatymų projektai bus pateikti Seimo rudens sesijoje, kuri prasidės šių metų rugsėjo </w:t>
      </w:r>
      <w:r w:rsidRPr="006E289B">
        <w:rPr>
          <w:bCs/>
          <w:szCs w:val="24"/>
          <w:lang w:val="en-US"/>
        </w:rPr>
        <w:t xml:space="preserve">10 </w:t>
      </w:r>
      <w:proofErr w:type="spellStart"/>
      <w:r w:rsidRPr="006E289B">
        <w:rPr>
          <w:bCs/>
          <w:szCs w:val="24"/>
          <w:lang w:val="en-US"/>
        </w:rPr>
        <w:t>d</w:t>
      </w:r>
      <w:r>
        <w:rPr>
          <w:bCs/>
          <w:szCs w:val="24"/>
          <w:lang w:val="en-US"/>
        </w:rPr>
        <w:t>ieną</w:t>
      </w:r>
      <w:proofErr w:type="spellEnd"/>
      <w:r w:rsidRPr="006E289B">
        <w:rPr>
          <w:bCs/>
          <w:szCs w:val="24"/>
          <w:lang w:val="en-US"/>
        </w:rPr>
        <w:t xml:space="preserve">, </w:t>
      </w:r>
      <w:r w:rsidRPr="006E289B">
        <w:rPr>
          <w:bCs/>
          <w:szCs w:val="24"/>
        </w:rPr>
        <w:t>Seimui svarstyti</w:t>
      </w:r>
      <w:r>
        <w:rPr>
          <w:bCs/>
          <w:szCs w:val="24"/>
        </w:rPr>
        <w:t>,</w:t>
      </w:r>
      <w:r w:rsidRPr="006E289B">
        <w:rPr>
          <w:bCs/>
          <w:szCs w:val="24"/>
        </w:rPr>
        <w:t xml:space="preserve"> ir tikimės, kad bus priimti iki šių metų lapkričio 15 d.</w:t>
      </w:r>
    </w:p>
    <w:p w:rsidR="00E60058" w:rsidRPr="006E289B" w:rsidRDefault="00E60058" w:rsidP="00E60058">
      <w:pPr>
        <w:ind w:firstLine="720"/>
        <w:jc w:val="both"/>
        <w:rPr>
          <w:szCs w:val="24"/>
        </w:rPr>
      </w:pPr>
      <w:r w:rsidRPr="006E289B">
        <w:rPr>
          <w:szCs w:val="24"/>
        </w:rPr>
        <w:lastRenderedPageBreak/>
        <w:t xml:space="preserve">Priėmus Įstatymų projektus, jie nedelsiant bus notifikuoti Europos Komisijos nacionalinių įgyvendinimo priemonių elektroninio </w:t>
      </w:r>
      <w:proofErr w:type="spellStart"/>
      <w:r w:rsidRPr="006E289B">
        <w:rPr>
          <w:szCs w:val="24"/>
        </w:rPr>
        <w:t>notifikavimo</w:t>
      </w:r>
      <w:proofErr w:type="spellEnd"/>
      <w:r w:rsidRPr="006E289B">
        <w:rPr>
          <w:szCs w:val="24"/>
        </w:rPr>
        <w:t xml:space="preserve"> informacinėje sistemoje (</w:t>
      </w:r>
      <w:proofErr w:type="spellStart"/>
      <w:r w:rsidRPr="006D18C6">
        <w:rPr>
          <w:i/>
          <w:szCs w:val="24"/>
        </w:rPr>
        <w:t>Themis</w:t>
      </w:r>
      <w:proofErr w:type="spellEnd"/>
      <w:r w:rsidRPr="006E289B">
        <w:rPr>
          <w:szCs w:val="24"/>
        </w:rPr>
        <w:t>).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</w:rPr>
        <w:t>PRIDEDAMA: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</w:rPr>
        <w:t>1. Direktyvos atitikties lentelės projektas, 100 lapų.</w:t>
      </w:r>
    </w:p>
    <w:p w:rsidR="00E60058" w:rsidRPr="006E289B" w:rsidRDefault="00E60058" w:rsidP="00E60058">
      <w:pPr>
        <w:ind w:firstLine="720"/>
        <w:jc w:val="both"/>
        <w:rPr>
          <w:bCs/>
          <w:szCs w:val="24"/>
        </w:rPr>
      </w:pPr>
      <w:r w:rsidRPr="006E289B">
        <w:rPr>
          <w:bCs/>
          <w:szCs w:val="24"/>
        </w:rPr>
        <w:t xml:space="preserve">2. Įstatymų projektai, </w:t>
      </w:r>
      <w:r>
        <w:rPr>
          <w:bCs/>
          <w:szCs w:val="24"/>
          <w:lang w:val="en-US"/>
        </w:rPr>
        <w:t>62</w:t>
      </w:r>
      <w:r>
        <w:rPr>
          <w:bCs/>
          <w:szCs w:val="24"/>
        </w:rPr>
        <w:t xml:space="preserve"> lapai</w:t>
      </w:r>
      <w:r w:rsidRPr="006E289B">
        <w:rPr>
          <w:bCs/>
          <w:szCs w:val="24"/>
        </w:rPr>
        <w:t>.</w:t>
      </w: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60058" w:rsidRPr="006E289B" w:rsidRDefault="00414822" w:rsidP="00E60058">
      <w:pPr>
        <w:rPr>
          <w:szCs w:val="24"/>
        </w:rPr>
      </w:pPr>
      <w:r>
        <w:rPr>
          <w:szCs w:val="24"/>
        </w:rPr>
        <w:t>Finansų ministras</w:t>
      </w:r>
      <w:r w:rsidR="00E60058" w:rsidRPr="006E289B">
        <w:rPr>
          <w:szCs w:val="24"/>
        </w:rPr>
        <w:tab/>
      </w:r>
      <w:r w:rsidR="00E60058" w:rsidRPr="006E289B">
        <w:rPr>
          <w:szCs w:val="24"/>
        </w:rPr>
        <w:tab/>
      </w:r>
      <w:r w:rsidR="00E60058">
        <w:rPr>
          <w:szCs w:val="24"/>
        </w:rPr>
        <w:tab/>
      </w:r>
      <w:r w:rsidR="00E60058">
        <w:rPr>
          <w:szCs w:val="24"/>
        </w:rPr>
        <w:tab/>
      </w:r>
      <w:r w:rsidR="00E60058">
        <w:rPr>
          <w:szCs w:val="24"/>
        </w:rPr>
        <w:tab/>
      </w:r>
      <w:r w:rsidR="00E60058">
        <w:rPr>
          <w:szCs w:val="24"/>
        </w:rPr>
        <w:tab/>
      </w:r>
      <w:r w:rsidR="00E60058">
        <w:rPr>
          <w:szCs w:val="24"/>
        </w:rPr>
        <w:tab/>
      </w:r>
      <w:r w:rsidR="00E60058" w:rsidRPr="006E289B">
        <w:rPr>
          <w:szCs w:val="24"/>
        </w:rPr>
        <w:tab/>
      </w:r>
      <w:r w:rsidR="00E60058" w:rsidRPr="006E289B">
        <w:rPr>
          <w:szCs w:val="24"/>
        </w:rPr>
        <w:tab/>
      </w:r>
    </w:p>
    <w:p w:rsidR="00E17BB9" w:rsidRPr="00E17BB9" w:rsidRDefault="00E17BB9" w:rsidP="00284B0B">
      <w:pPr>
        <w:ind w:firstLine="709"/>
      </w:pPr>
    </w:p>
    <w:p w:rsidR="00E17BB9" w:rsidRDefault="00E17BB9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ermEnd w:id="1477518376"/>
    <w:sectPr w:rsidR="00D871B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58" w:rsidRDefault="00E60058">
      <w:r>
        <w:separator/>
      </w:r>
    </w:p>
  </w:endnote>
  <w:endnote w:type="continuationSeparator" w:id="0">
    <w:p w:rsidR="00E60058" w:rsidRDefault="00E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60058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60058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58" w:rsidRDefault="00E60058">
      <w:r>
        <w:separator/>
      </w:r>
    </w:p>
  </w:footnote>
  <w:footnote w:type="continuationSeparator" w:id="0">
    <w:p w:rsidR="00E60058" w:rsidRDefault="00E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C7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58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14822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15C7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43B49"/>
    <w:rsid w:val="00E60058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9763-146E-411C-973B-B6497710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4</TotalTime>
  <Pages>2</Pages>
  <Words>451</Words>
  <Characters>2940</Characters>
  <Application>Microsoft Office Word</Application>
  <DocSecurity>8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Daukševič</dc:creator>
  <cp:lastModifiedBy>Akvilė Kalantaitė</cp:lastModifiedBy>
  <cp:revision>3</cp:revision>
  <cp:lastPrinted>2017-02-13T14:05:00Z</cp:lastPrinted>
  <dcterms:created xsi:type="dcterms:W3CDTF">2021-08-06T08:41:00Z</dcterms:created>
  <dcterms:modified xsi:type="dcterms:W3CDTF">2021-08-06T09:01:00Z</dcterms:modified>
</cp:coreProperties>
</file>