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AB322" w14:textId="7CBCE464" w:rsidR="00321ADE" w:rsidRPr="0080369E" w:rsidRDefault="00C4781F" w:rsidP="00C4781F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80369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     </w:t>
      </w:r>
      <w:r w:rsidR="00321ADE" w:rsidRPr="0080369E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21ADE" w:rsidRPr="0080369E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B4B535D" w14:textId="4DBA1F7E" w:rsidR="008132E5" w:rsidRPr="0080369E" w:rsidRDefault="005653BE" w:rsidP="00B600B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DIDESNIO POVEIKIO </w:t>
      </w:r>
      <w:r w:rsidR="006379E7"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>TEISĖS AKT</w:t>
      </w:r>
      <w:r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PROJEKTŲ POVEIKIO VERTINIMO </w:t>
      </w:r>
      <w:r w:rsidR="002250C6"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>REZULTAT</w:t>
      </w:r>
      <w:r w:rsidR="00504656"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Ų </w:t>
      </w:r>
      <w:r w:rsidR="00D91A33"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>KOKYBĖS KRITERIJAI</w:t>
      </w:r>
    </w:p>
    <w:p w14:paraId="121456B0" w14:textId="7E821F76" w:rsidR="00D91A33" w:rsidRPr="0080369E" w:rsidRDefault="00D91A33" w:rsidP="005B017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Teisės akto projekto  pavadinimas: </w:t>
      </w:r>
      <w:r w:rsidR="005B0174" w:rsidRPr="005B0174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Lietuvos Respublikos civilinės saugos įstatymo Nr. VIII-971 pakeitimo įstatymo projektas ir jį lydintys įstatymų </w:t>
      </w:r>
      <w:r w:rsidR="00D36067" w:rsidRPr="0080369E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projektų paketas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1"/>
        <w:gridCol w:w="6379"/>
        <w:gridCol w:w="850"/>
        <w:gridCol w:w="5664"/>
      </w:tblGrid>
      <w:tr w:rsidR="00D83D41" w:rsidRPr="0080369E" w14:paraId="13A160CA" w14:textId="1A1BBD69" w:rsidTr="007D742C">
        <w:tc>
          <w:tcPr>
            <w:tcW w:w="2411" w:type="dxa"/>
          </w:tcPr>
          <w:p w14:paraId="7C8127D1" w14:textId="3A330261" w:rsidR="00D83D41" w:rsidRPr="0080369E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Vertinamas klausimas</w:t>
            </w:r>
          </w:p>
        </w:tc>
        <w:tc>
          <w:tcPr>
            <w:tcW w:w="7229" w:type="dxa"/>
            <w:gridSpan w:val="2"/>
          </w:tcPr>
          <w:p w14:paraId="6BCF8800" w14:textId="35228915" w:rsidR="00D83D41" w:rsidRPr="0080369E" w:rsidRDefault="00D83D41" w:rsidP="004C3332">
            <w:pPr>
              <w:spacing w:after="12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Klausimai (kriterijai) kokybės įvertinimui </w:t>
            </w:r>
          </w:p>
        </w:tc>
        <w:tc>
          <w:tcPr>
            <w:tcW w:w="5664" w:type="dxa"/>
          </w:tcPr>
          <w:p w14:paraId="353E2609" w14:textId="29FE6523" w:rsidR="00D83D41" w:rsidRPr="0080369E" w:rsidRDefault="00D83D41" w:rsidP="004C3332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 ir komentarai</w:t>
            </w:r>
          </w:p>
        </w:tc>
      </w:tr>
      <w:tr w:rsidR="00FF652A" w:rsidRPr="0080369E" w14:paraId="44B53715" w14:textId="71090300" w:rsidTr="007D742C">
        <w:trPr>
          <w:trHeight w:val="405"/>
        </w:trPr>
        <w:tc>
          <w:tcPr>
            <w:tcW w:w="2411" w:type="dxa"/>
            <w:vMerge w:val="restart"/>
          </w:tcPr>
          <w:p w14:paraId="4AD09222" w14:textId="649F005D" w:rsidR="00FF652A" w:rsidRPr="0080369E" w:rsidRDefault="00FF652A" w:rsidP="00FF652A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 Problema, kurią siekiama išspręsti</w:t>
            </w:r>
          </w:p>
        </w:tc>
        <w:tc>
          <w:tcPr>
            <w:tcW w:w="6379" w:type="dxa"/>
          </w:tcPr>
          <w:p w14:paraId="6BC2A971" w14:textId="6F6FA76D" w:rsidR="00FF652A" w:rsidRPr="0080369E" w:rsidRDefault="00FF652A" w:rsidP="00FF652A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sprendžiama problema suformuluota trumpai / glaustai?</w:t>
            </w:r>
          </w:p>
        </w:tc>
        <w:tc>
          <w:tcPr>
            <w:tcW w:w="850" w:type="dxa"/>
          </w:tcPr>
          <w:p w14:paraId="5379214F" w14:textId="79358601" w:rsidR="00FF652A" w:rsidRPr="0080369E" w:rsidRDefault="002D3866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53933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52A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367271B3" w14:textId="68FFBE78" w:rsidR="00FF652A" w:rsidRPr="0080369E" w:rsidRDefault="002D3866" w:rsidP="00FF65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9284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52A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1C4F890" w14:textId="7D68A6FE" w:rsidR="00FF652A" w:rsidRPr="0080369E" w:rsidRDefault="00FF652A" w:rsidP="0073688E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FF652A" w:rsidRPr="0080369E" w14:paraId="264E0612" w14:textId="77777777" w:rsidTr="007D742C">
        <w:trPr>
          <w:trHeight w:val="405"/>
        </w:trPr>
        <w:tc>
          <w:tcPr>
            <w:tcW w:w="2411" w:type="dxa"/>
            <w:vMerge/>
          </w:tcPr>
          <w:p w14:paraId="1A8AE31B" w14:textId="77777777" w:rsidR="00FF652A" w:rsidRPr="0080369E" w:rsidRDefault="00FF652A" w:rsidP="00FF652A">
            <w:p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D373768" w14:textId="014A3EDF" w:rsidR="00FF652A" w:rsidRPr="0080369E" w:rsidRDefault="00FF652A" w:rsidP="00FF652A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 Ar sprendžiama problema suformuluota aiškiai / suprantamai ne srities specialistui?</w:t>
            </w:r>
          </w:p>
        </w:tc>
        <w:tc>
          <w:tcPr>
            <w:tcW w:w="850" w:type="dxa"/>
          </w:tcPr>
          <w:p w14:paraId="432F41BC" w14:textId="0984C764" w:rsidR="00FF652A" w:rsidRPr="0080369E" w:rsidRDefault="002D3866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31881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52A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2A557E41" w14:textId="06F9908F" w:rsidR="00FF652A" w:rsidRPr="0080369E" w:rsidRDefault="002D3866" w:rsidP="00FF652A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64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52A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52A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CD9458D" w14:textId="736297C5" w:rsidR="00FF652A" w:rsidRPr="0080369E" w:rsidRDefault="00FF652A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</w:tr>
      <w:tr w:rsidR="00106EEC" w:rsidRPr="0080369E" w14:paraId="7CB97832" w14:textId="7C804C9A" w:rsidTr="007D742C">
        <w:trPr>
          <w:trHeight w:val="300"/>
        </w:trPr>
        <w:tc>
          <w:tcPr>
            <w:tcW w:w="2411" w:type="dxa"/>
            <w:vMerge w:val="restart"/>
          </w:tcPr>
          <w:p w14:paraId="24CB031D" w14:textId="6891B28D" w:rsidR="00106EEC" w:rsidRPr="0080369E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ind w:left="306" w:hanging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Problemos mastas ir priežastys</w:t>
            </w:r>
          </w:p>
        </w:tc>
        <w:tc>
          <w:tcPr>
            <w:tcW w:w="6379" w:type="dxa"/>
          </w:tcPr>
          <w:p w14:paraId="4E236958" w14:textId="1A79EDAB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2.1. Ar pateikti duomenys</w:t>
            </w:r>
            <w:r w:rsidR="006B2358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ir / ar argumentai</w:t>
            </w:r>
            <w:r w:rsid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,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įrodantys problemos egzistavimą?</w:t>
            </w:r>
          </w:p>
        </w:tc>
        <w:tc>
          <w:tcPr>
            <w:tcW w:w="850" w:type="dxa"/>
          </w:tcPr>
          <w:p w14:paraId="3B0997DE" w14:textId="0928119C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527523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68840A06" w14:textId="7A140506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873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6107BB2A" w14:textId="55D6B271" w:rsidR="00106EEC" w:rsidRPr="00C9166C" w:rsidRDefault="00F64736" w:rsidP="004449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</w:t>
            </w:r>
            <w:r w:rsidR="004449C0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ateikti argumentai </w:t>
            </w:r>
            <w:r w:rsidR="005A02D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pagrindžia </w:t>
            </w:r>
            <w:r w:rsidR="004449C0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problem</w:t>
            </w:r>
            <w:r w:rsidR="00D36067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os</w:t>
            </w:r>
            <w:r w:rsidR="004449C0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egzistavimą. Problem</w:t>
            </w:r>
            <w:r w:rsidR="00D36067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</w:t>
            </w:r>
            <w:r w:rsidR="004449C0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aprašyt</w:t>
            </w:r>
            <w:r w:rsidR="00D36067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 įvardijant esamos situacijos trūkumus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ir pateikiant konkrečius pavyzdžius</w:t>
            </w:r>
            <w:r w:rsidR="005A02D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</w:p>
        </w:tc>
      </w:tr>
      <w:tr w:rsidR="00106EEC" w:rsidRPr="0080369E" w14:paraId="6D7D6BAE" w14:textId="77777777" w:rsidTr="007D742C">
        <w:trPr>
          <w:trHeight w:val="300"/>
        </w:trPr>
        <w:tc>
          <w:tcPr>
            <w:tcW w:w="2411" w:type="dxa"/>
            <w:vMerge/>
          </w:tcPr>
          <w:p w14:paraId="1B1FEC71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F1C809" w14:textId="529F69E6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pateikti duomenys</w:t>
            </w:r>
            <w:r w:rsid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,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parodantys problemos mastą?</w:t>
            </w:r>
          </w:p>
        </w:tc>
        <w:tc>
          <w:tcPr>
            <w:tcW w:w="850" w:type="dxa"/>
          </w:tcPr>
          <w:p w14:paraId="2915DE90" w14:textId="0DCF9D6A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3525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F4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0993EFCB" w14:textId="6E145ADC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862311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F4" w:rsidRPr="00580EF4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580EF4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B62EF27" w14:textId="483A0C58" w:rsidR="00106EEC" w:rsidRPr="00C9166C" w:rsidRDefault="004449C0" w:rsidP="004449C0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  <w:r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Pateikti duomenys </w:t>
            </w:r>
            <w:r w:rsidR="00E6681D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parodo </w:t>
            </w:r>
            <w:r w:rsidR="006247E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bendrą </w:t>
            </w:r>
            <w:r w:rsidR="00E6681D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ekstremaliųjų įvykių ir ekstremaliųjų situacijų skaičiaus dinamiką</w:t>
            </w:r>
            <w:r w:rsidR="00F64736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pastarųjų metų laikotarpiu</w:t>
            </w:r>
            <w:r w:rsidR="00E6681D" w:rsidRPr="00E6681D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  <w:r w:rsidR="005A02D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0C6DB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Tačiau </w:t>
            </w:r>
            <w:r w:rsidR="005A02D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pateikta</w:t>
            </w:r>
            <w:r w:rsidR="005A02D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0C6DB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nepa</w:t>
            </w:r>
            <w:r w:rsidR="006247E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kanka</w:t>
            </w:r>
            <w:r w:rsidR="001C32A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mai </w:t>
            </w:r>
            <w:r w:rsidR="00580EF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apibendrintų </w:t>
            </w:r>
            <w:r w:rsidR="000C6DB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duomenų, kuri</w:t>
            </w:r>
            <w:r w:rsidR="006247E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e</w:t>
            </w:r>
            <w:r w:rsidR="000C6DB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5A02D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leistų </w:t>
            </w:r>
            <w:r w:rsidR="000C6DB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atskleist</w:t>
            </w:r>
            <w:r w:rsidR="005A02D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i</w:t>
            </w:r>
            <w:r w:rsidR="000C6DB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esamos institucinės sistemos nepakankamą efektyvumą</w:t>
            </w:r>
            <w:r w:rsidR="006247E0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ir</w:t>
            </w:r>
            <w:r w:rsidR="000C6DB3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parodytų</w:t>
            </w:r>
            <w:r w:rsidR="00B53A5A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, kokia dalis nepaprastųjų įvykių ir situacijų nebuvo tinkamai suvaldyta. </w:t>
            </w:r>
          </w:p>
        </w:tc>
      </w:tr>
      <w:tr w:rsidR="00106EEC" w:rsidRPr="0080369E" w14:paraId="0F6930F2" w14:textId="77777777" w:rsidTr="00CF7647">
        <w:trPr>
          <w:trHeight w:val="552"/>
        </w:trPr>
        <w:tc>
          <w:tcPr>
            <w:tcW w:w="2411" w:type="dxa"/>
            <w:vMerge/>
          </w:tcPr>
          <w:p w14:paraId="330B313D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F6CBE8F" w14:textId="5ECB8D35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3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nurodytos problemos vystymosi tendencijos?</w:t>
            </w:r>
          </w:p>
        </w:tc>
        <w:tc>
          <w:tcPr>
            <w:tcW w:w="850" w:type="dxa"/>
          </w:tcPr>
          <w:p w14:paraId="3F8700CC" w14:textId="17AE3B92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530217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5A6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19D76625" w14:textId="2E253AEE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096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EF4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77764605" w14:textId="2E65E183" w:rsidR="00106EEC" w:rsidRPr="00C9166C" w:rsidRDefault="001C32A3" w:rsidP="004449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4449C0" w:rsidRPr="00E66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ystymosi tendencijos nurodytos</w:t>
            </w:r>
            <w:r w:rsidR="00BC048A" w:rsidRPr="00E668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pirmiausia akcentuojant esamas ir nurodant naujai atsirandančias grėsmes, dėl kurių problemos mastas, nesiimant konkrečių veiksmų, linkęs didėti.  </w:t>
            </w:r>
          </w:p>
        </w:tc>
      </w:tr>
      <w:tr w:rsidR="00106EEC" w:rsidRPr="0080369E" w14:paraId="0D174171" w14:textId="77777777" w:rsidTr="007D742C">
        <w:trPr>
          <w:trHeight w:val="300"/>
        </w:trPr>
        <w:tc>
          <w:tcPr>
            <w:tcW w:w="2411" w:type="dxa"/>
            <w:vMerge/>
          </w:tcPr>
          <w:p w14:paraId="7F98DB1B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76E802D" w14:textId="73FAACBA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2.</w:t>
            </w:r>
            <w:r w:rsidR="006B2358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4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nurodyti problemos atsiradimą  lėmę veiksniai ir aplinkybės?</w:t>
            </w:r>
          </w:p>
        </w:tc>
        <w:tc>
          <w:tcPr>
            <w:tcW w:w="850" w:type="dxa"/>
          </w:tcPr>
          <w:p w14:paraId="1A593F33" w14:textId="0C7FAA39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97420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9C0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1538387C" w14:textId="6CDA3621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2256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28DBA35F" w14:textId="357AFB10" w:rsidR="00106EEC" w:rsidRPr="00C9166C" w:rsidRDefault="00F634CA" w:rsidP="004449C0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 </w:t>
            </w:r>
            <w:r w:rsidR="00580E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problemos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priežasčių vertėtų </w:t>
            </w:r>
            <w:r w:rsidR="007A65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paminėti tinkamai nevykdomą ekstremalių</w:t>
            </w:r>
            <w:r w:rsidR="00580E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situacijų ir įvykių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stebėseną</w:t>
            </w:r>
            <w:r w:rsidR="007A65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stebėsenos rezultatais paremtos analizės trūkumą.</w:t>
            </w:r>
          </w:p>
        </w:tc>
      </w:tr>
      <w:tr w:rsidR="00106EEC" w:rsidRPr="0080369E" w14:paraId="29019D7E" w14:textId="00A4178C" w:rsidTr="007D742C">
        <w:trPr>
          <w:trHeight w:val="473"/>
        </w:trPr>
        <w:tc>
          <w:tcPr>
            <w:tcW w:w="2411" w:type="dxa"/>
            <w:vMerge w:val="restart"/>
          </w:tcPr>
          <w:p w14:paraId="770EF0A6" w14:textId="201A9564" w:rsidR="00106EEC" w:rsidRPr="0080369E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Rezultatas, kurio tikimasi priėmus teisės aktą</w:t>
            </w:r>
          </w:p>
        </w:tc>
        <w:tc>
          <w:tcPr>
            <w:tcW w:w="6379" w:type="dxa"/>
          </w:tcPr>
          <w:p w14:paraId="28C4D04B" w14:textId="51DE4C14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3.1. Ar nurodytas konkretus laukiamas pokytis, kurio tikimasi įgyvendinus teisės aktą?</w:t>
            </w:r>
          </w:p>
        </w:tc>
        <w:tc>
          <w:tcPr>
            <w:tcW w:w="850" w:type="dxa"/>
          </w:tcPr>
          <w:p w14:paraId="079E3020" w14:textId="5F9EB476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66556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7FDB6EF6" w14:textId="5AA8F458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63394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2280ECE" w14:textId="210B3304" w:rsidR="00106EEC" w:rsidRPr="007A65B8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lt-LT"/>
              </w:rPr>
            </w:pPr>
          </w:p>
        </w:tc>
      </w:tr>
      <w:tr w:rsidR="00106EEC" w:rsidRPr="0080369E" w14:paraId="028BE42F" w14:textId="77777777" w:rsidTr="007D742C">
        <w:trPr>
          <w:trHeight w:val="472"/>
        </w:trPr>
        <w:tc>
          <w:tcPr>
            <w:tcW w:w="2411" w:type="dxa"/>
            <w:vMerge/>
          </w:tcPr>
          <w:p w14:paraId="0BB9AE6B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52A6F7EB" w14:textId="1AB7741A" w:rsidR="00106EEC" w:rsidRPr="00425287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42528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3.2. Ar siekiamas pokytis, jeigu galima, išreikštas kiekybiškai (nurodyti siekiamo rezultato rodikliai)? </w:t>
            </w:r>
          </w:p>
        </w:tc>
        <w:tc>
          <w:tcPr>
            <w:tcW w:w="850" w:type="dxa"/>
          </w:tcPr>
          <w:p w14:paraId="7FD8480F" w14:textId="278C4460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254401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B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6A81CCF5" w14:textId="53AF8C28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796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7B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0A0C400" w14:textId="748D4E32" w:rsidR="00106EEC" w:rsidRPr="00C9166C" w:rsidRDefault="007D0496" w:rsidP="007D0496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Siekiamas pokytis </w:t>
            </w:r>
            <w:r w:rsidR="00BA30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 išaugęs institucijų pasirengimas ekstremalioms situacijoms –</w:t>
            </w:r>
            <w:r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išreikštas kiekybiškai</w:t>
            </w:r>
            <w:r w:rsidR="00BA30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nurodant </w:t>
            </w:r>
            <w:r w:rsidR="007A65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konkretų 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įgyvendinimo t</w:t>
            </w:r>
            <w:r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ermin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7A65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(iki 2023 m. pabaigos).</w:t>
            </w:r>
          </w:p>
        </w:tc>
      </w:tr>
      <w:tr w:rsidR="00106EEC" w:rsidRPr="0080369E" w14:paraId="42B2098F" w14:textId="45CCD079" w:rsidTr="001C0A4C">
        <w:trPr>
          <w:trHeight w:val="274"/>
        </w:trPr>
        <w:tc>
          <w:tcPr>
            <w:tcW w:w="2411" w:type="dxa"/>
            <w:vMerge w:val="restart"/>
            <w:shd w:val="clear" w:color="auto" w:fill="auto"/>
          </w:tcPr>
          <w:p w14:paraId="3E03B541" w14:textId="35303ED2" w:rsidR="00106EEC" w:rsidRPr="0080369E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Problemai spręsti svarstytos  alternatyvos</w:t>
            </w:r>
          </w:p>
        </w:tc>
        <w:tc>
          <w:tcPr>
            <w:tcW w:w="6379" w:type="dxa"/>
          </w:tcPr>
          <w:p w14:paraId="01FF1A75" w14:textId="2465C2AB" w:rsidR="00106EEC" w:rsidRPr="00425287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2528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 Ar nurodytos kitos svarstytos problemos sprendimo alternatyvos (įskaitant nereguliavimo alternatyvas)?</w:t>
            </w:r>
          </w:p>
        </w:tc>
        <w:tc>
          <w:tcPr>
            <w:tcW w:w="850" w:type="dxa"/>
          </w:tcPr>
          <w:p w14:paraId="0589D8A7" w14:textId="1A9E7807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25299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6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56E9ACAB" w14:textId="14493F1C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34244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84E6AA4" w14:textId="60A6B3BB" w:rsidR="00BA3022" w:rsidRDefault="007D0496" w:rsidP="00BA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Pateiktos ir trumpai aprašytos 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penkios</w:t>
            </w:r>
            <w:r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problemos sprendimo alternatyvos</w:t>
            </w:r>
            <w:r w:rsidR="00BA30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7E4AA306" w14:textId="11299B61" w:rsidR="00BA3022" w:rsidRDefault="00BA3022" w:rsidP="00BA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816872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Palikti esamą civilinės saugos sistemą ir galiojantį teisinį reguliavimą</w:t>
            </w:r>
            <w:r w:rsidR="007D0496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5F346AA9" w14:textId="2E0C2FBA" w:rsidR="00BA3022" w:rsidRDefault="00BA3022" w:rsidP="00BA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Nereguliavimo alternatyva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CD46DE8" w14:textId="08677ED6" w:rsidR="00BA3022" w:rsidRDefault="00BA3022" w:rsidP="00BA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816872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Steigti naują Vyriausybės įstaigą, kuriai būtų suteikti įgaliojimai civilinės saugos srityje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669037E1" w14:textId="248FB509" w:rsidR="00BA3022" w:rsidRDefault="00BA3022" w:rsidP="00BA30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  <w:r w:rsidR="00816872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Sukurti naują instituciją prie Vidaus reikalų ministerijos 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(toliau – VRM), suteikiant </w:t>
            </w:r>
            <w:r w:rsidR="00816872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jai pakankamus įgaliojimus civilinės saugos srityje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9699F4C" w14:textId="1A5CA7CE" w:rsidR="00DE566F" w:rsidRDefault="00BA3022" w:rsidP="007D049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="00816872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Stiprinti </w:t>
            </w:r>
            <w:r w:rsidR="00DE566F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Priešgaisrinės apsaugos ir gelbėjimo departament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DE566F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 V</w:t>
            </w:r>
            <w:r w:rsidR="00DE56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RM</w:t>
            </w:r>
            <w:r w:rsidR="00DE566F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E56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(toliau – </w:t>
            </w:r>
            <w:r w:rsidR="00816872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PAGD</w:t>
            </w:r>
            <w:r w:rsidR="00DE566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816872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pajėgumus, suteikiant PAGD daugiau įgaliojimų civilinės saugos srityje, taip pat pakankamus išteklius šių įgaliojimų įgyvendinimui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5D669CEA" w14:textId="5E2B826D" w:rsidR="00106EEC" w:rsidRPr="00C9166C" w:rsidRDefault="00DE566F" w:rsidP="007D0496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 4 ir 5 alternat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yv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ose  taip pat 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siūloma atsisakyti</w:t>
            </w:r>
            <w:r w:rsidR="00686241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86241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Vyriausybės ekstremalių situacijų komisij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686241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</w:t>
            </w:r>
            <w:r w:rsidR="00686241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VESK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686241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686241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ekstremaliųjų situacijų operacijų centr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686241" w:rsidRPr="00CF221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</w:t>
            </w:r>
            <w:r w:rsidR="00686241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VESOC</w:t>
            </w:r>
            <w:r w:rsidR="006862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3F57BD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kaip perteklinių grandžių sprendimų priėmimo procese</w:t>
            </w:r>
            <w:r w:rsidR="007D0496" w:rsidRPr="003F57B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80369E" w14:paraId="3D9C6393" w14:textId="77777777" w:rsidTr="0003615C">
        <w:trPr>
          <w:trHeight w:val="630"/>
        </w:trPr>
        <w:tc>
          <w:tcPr>
            <w:tcW w:w="2411" w:type="dxa"/>
            <w:vMerge/>
            <w:shd w:val="clear" w:color="auto" w:fill="auto"/>
          </w:tcPr>
          <w:p w14:paraId="4327161E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046B6BB4" w14:textId="6E1C4E16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 Ar paaiškinta</w:t>
            </w:r>
            <w:r w:rsidR="00001818"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argumentuota</w:t>
            </w: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kodėl jos atmestos?</w:t>
            </w:r>
          </w:p>
        </w:tc>
        <w:tc>
          <w:tcPr>
            <w:tcW w:w="850" w:type="dxa"/>
          </w:tcPr>
          <w:p w14:paraId="53AD0B71" w14:textId="3068455D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238205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A9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280F9323" w14:textId="309CCDA9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115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  <w:shd w:val="clear" w:color="auto" w:fill="auto"/>
          </w:tcPr>
          <w:p w14:paraId="788C68C6" w14:textId="3C99C484" w:rsidR="00106EEC" w:rsidRPr="00C9166C" w:rsidRDefault="00DE566F" w:rsidP="00F634CA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FA19A9" w:rsidRPr="000361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ateikti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tinkami</w:t>
            </w:r>
            <w:r w:rsidR="00FA19A9" w:rsidRPr="000361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argumentai,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paaiškinantys, kodėl atmestos keturios alternatyvos ir pasirinkta 5 alternatyva,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numatanti sus</w:t>
            </w:r>
            <w:r w:rsidR="0003615C" w:rsidRPr="000361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tiprinti PAGD pajėgumus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="0003615C" w:rsidRPr="000361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suteik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03615C" w:rsidRPr="000361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PAGD daugiau įgaliojimų civilinės saugos srityje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03615C" w:rsidRPr="000361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1443C" w:rsidRPr="0080369E" w14:paraId="7A564205" w14:textId="449EB531" w:rsidTr="00DA717B">
        <w:trPr>
          <w:trHeight w:val="410"/>
        </w:trPr>
        <w:tc>
          <w:tcPr>
            <w:tcW w:w="2411" w:type="dxa"/>
            <w:vMerge w:val="restart"/>
          </w:tcPr>
          <w:p w14:paraId="016270AB" w14:textId="01CF5BF7" w:rsidR="00E1443C" w:rsidRPr="0080369E" w:rsidRDefault="00E1443C" w:rsidP="00E1443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Siūlomos priemonės problemai spręsti</w:t>
            </w:r>
          </w:p>
        </w:tc>
        <w:tc>
          <w:tcPr>
            <w:tcW w:w="6379" w:type="dxa"/>
          </w:tcPr>
          <w:p w14:paraId="416A10F8" w14:textId="15A19380" w:rsidR="00E1443C" w:rsidRPr="0080369E" w:rsidRDefault="00E1443C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0369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5.1. Ar siūlomos priemonės problemai spręsti nurodytos trumpai ir aiškiai?</w:t>
            </w:r>
          </w:p>
        </w:tc>
        <w:tc>
          <w:tcPr>
            <w:tcW w:w="850" w:type="dxa"/>
          </w:tcPr>
          <w:p w14:paraId="5BFC0F70" w14:textId="37D70F4E" w:rsidR="00E1443C" w:rsidRPr="0080369E" w:rsidRDefault="002D3866" w:rsidP="00E1443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91619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EE7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1443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42BE19BD" w14:textId="3F20CCCD" w:rsidR="00E1443C" w:rsidRPr="0080369E" w:rsidRDefault="002D3866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37912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4CA" w:rsidRPr="00F634CA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1443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  <w:shd w:val="clear" w:color="auto" w:fill="auto"/>
          </w:tcPr>
          <w:p w14:paraId="5E1C99E4" w14:textId="7DCF3D06" w:rsidR="00364F61" w:rsidRDefault="00364F61" w:rsidP="00F634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Numatytos </w:t>
            </w:r>
            <w:r w:rsidR="00F634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ir detaliai aprašytos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trys svarbiausios priemonės problemai spręsti: </w:t>
            </w:r>
          </w:p>
          <w:p w14:paraId="0669DB12" w14:textId="65CF539B" w:rsidR="00364F61" w:rsidRDefault="00364F61" w:rsidP="00F634C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1. </w:t>
            </w:r>
            <w:r w:rsidRPr="00CF22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PAGD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reorganizacija</w:t>
            </w:r>
            <w:r w:rsidRPr="00CF22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 į Civilinės ir priešgaisrinės saugos departamentą prie VRM (toliau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–</w:t>
            </w:r>
            <w:r w:rsidRPr="00CF22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 CPSD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);</w:t>
            </w:r>
          </w:p>
          <w:p w14:paraId="7F717F57" w14:textId="3C2A07BF" w:rsidR="00364F61" w:rsidRDefault="00364F61" w:rsidP="00F634C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2. Naujų funkcijų ir įgaliojimų priskyrimas CPSD;</w:t>
            </w:r>
          </w:p>
          <w:p w14:paraId="023B902B" w14:textId="10325BA9" w:rsidR="00F634CA" w:rsidRDefault="00364F61" w:rsidP="00F634CA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3. Civilinės saugos įstatymo </w:t>
            </w:r>
            <w:r w:rsidR="002C51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pataisos, susijusios su </w:t>
            </w:r>
            <w:r w:rsidR="002C51F2" w:rsidRPr="00CF22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Savivaldybių ekstremalių situacijų komisij</w:t>
            </w:r>
            <w:r w:rsidR="002C51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ų</w:t>
            </w:r>
            <w:r w:rsidR="002C51F2" w:rsidRPr="00CF221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 (toliau – SESK)</w:t>
            </w:r>
            <w:r w:rsidR="002C51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 veiklos reglamentavimu ir ekstremalių</w:t>
            </w:r>
            <w:r w:rsidR="006106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jų</w:t>
            </w:r>
            <w:r w:rsidR="002C51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 situacijų skelbimu. </w:t>
            </w:r>
          </w:p>
          <w:p w14:paraId="179A0021" w14:textId="77BFE049" w:rsidR="00E1443C" w:rsidRPr="0003615C" w:rsidRDefault="00F634CA" w:rsidP="004A3A0E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Š</w:t>
            </w:r>
            <w:r w:rsidR="002C51F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 xml:space="preserve">ioje poveikio vertinimo dalyje pritrūko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vieno siūlomas priemones apibendrinančio sakinio.</w:t>
            </w:r>
          </w:p>
        </w:tc>
      </w:tr>
      <w:tr w:rsidR="00E1443C" w:rsidRPr="0080369E" w14:paraId="64D56DED" w14:textId="77777777" w:rsidTr="007D742C">
        <w:trPr>
          <w:trHeight w:val="410"/>
        </w:trPr>
        <w:tc>
          <w:tcPr>
            <w:tcW w:w="2411" w:type="dxa"/>
            <w:vMerge/>
          </w:tcPr>
          <w:p w14:paraId="02D9C574" w14:textId="77777777" w:rsidR="00E1443C" w:rsidRPr="0080369E" w:rsidRDefault="00E1443C" w:rsidP="00E1443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68E7E0BA" w14:textId="7D807754" w:rsidR="00E1443C" w:rsidRPr="0080369E" w:rsidRDefault="00E1443C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80369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5.2. Ar pasiūlytos priemonės sprendžia problemą?</w:t>
            </w:r>
          </w:p>
        </w:tc>
        <w:tc>
          <w:tcPr>
            <w:tcW w:w="850" w:type="dxa"/>
          </w:tcPr>
          <w:p w14:paraId="7F7D93B2" w14:textId="3F8BC32C" w:rsidR="00E1443C" w:rsidRPr="0080369E" w:rsidRDefault="002D3866" w:rsidP="00E1443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1281604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6CD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1443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22A53CA1" w14:textId="0F9822B5" w:rsidR="00E1443C" w:rsidRPr="0080369E" w:rsidRDefault="002D3866" w:rsidP="00E1443C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0446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43C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1443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3813A609" w14:textId="7A064B27" w:rsidR="00E1443C" w:rsidRPr="00C9166C" w:rsidRDefault="007B7EE7" w:rsidP="004A3A0E">
            <w:pPr>
              <w:spacing w:after="1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</w:t>
            </w:r>
            <w:r w:rsidR="009B56CD" w:rsidRPr="009B56C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anytina, kad </w:t>
            </w:r>
            <w:r w:rsidR="00F634C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nauja </w:t>
            </w:r>
            <w:r w:rsidR="009B56CD" w:rsidRPr="009B56C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valstybės ekstremalių situacijų valdymo struktūra </w:t>
            </w:r>
            <w:r w:rsidR="00245FC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ir patikslintas teisinis reglamentavimas </w:t>
            </w:r>
            <w:r w:rsidR="009B56CD" w:rsidRPr="009B56C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turėtų pad</w:t>
            </w:r>
            <w:r w:rsidR="00245FC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idinti</w:t>
            </w:r>
            <w:r w:rsidR="009B56CD" w:rsidRPr="009B56CD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ekstremalių situacijų valdymo veiksmingumą.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FB5" w:rsidRPr="0080369E" w14:paraId="110EB289" w14:textId="0A03B7FA" w:rsidTr="007D742C">
        <w:trPr>
          <w:trHeight w:val="411"/>
        </w:trPr>
        <w:tc>
          <w:tcPr>
            <w:tcW w:w="2411" w:type="dxa"/>
            <w:vMerge w:val="restart"/>
          </w:tcPr>
          <w:p w14:paraId="43258119" w14:textId="3FCC9BAC" w:rsidR="00AF0FB5" w:rsidRPr="0080369E" w:rsidRDefault="00AF0FB5" w:rsidP="00AF0FB5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Tikslinės grupės, kurias gali paveikti teisės akto įgyvendinimas</w:t>
            </w:r>
          </w:p>
        </w:tc>
        <w:tc>
          <w:tcPr>
            <w:tcW w:w="6379" w:type="dxa"/>
          </w:tcPr>
          <w:p w14:paraId="0071A5B1" w14:textId="6AFE09DD" w:rsidR="00AF0FB5" w:rsidRPr="0080369E" w:rsidRDefault="00AF0FB5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6.1. Ar įvardintos konkrečios tikslinės grupės, kurias tiesiogiai ir / ar netiesiogiai paveiks siūlomas reguliavimas?</w:t>
            </w:r>
          </w:p>
        </w:tc>
        <w:tc>
          <w:tcPr>
            <w:tcW w:w="850" w:type="dxa"/>
          </w:tcPr>
          <w:p w14:paraId="05B09531" w14:textId="5B408446" w:rsidR="00AF0FB5" w:rsidRPr="0080369E" w:rsidRDefault="002D3866" w:rsidP="00AF0FB5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602495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F0FB5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7C95BA32" w14:textId="62583C3C" w:rsidR="00AF0FB5" w:rsidRPr="0080369E" w:rsidRDefault="002D3866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953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FB5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FB5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BB597F5" w14:textId="3B0AD47A" w:rsidR="00AF0FB5" w:rsidRPr="00C9166C" w:rsidRDefault="00AF0FB5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</w:p>
        </w:tc>
      </w:tr>
      <w:tr w:rsidR="00AF0FB5" w:rsidRPr="0080369E" w14:paraId="750071DE" w14:textId="77777777" w:rsidTr="007D742C">
        <w:trPr>
          <w:trHeight w:val="411"/>
        </w:trPr>
        <w:tc>
          <w:tcPr>
            <w:tcW w:w="2411" w:type="dxa"/>
            <w:vMerge/>
          </w:tcPr>
          <w:p w14:paraId="72E7E5C1" w14:textId="77777777" w:rsidR="00AF0FB5" w:rsidRPr="0080369E" w:rsidRDefault="00AF0FB5" w:rsidP="00AF0FB5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7920A283" w14:textId="70A8D51D" w:rsidR="00AF0FB5" w:rsidRPr="0080369E" w:rsidRDefault="00AF0FB5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6.2. Ar pateiktas vertinimas, kaip siūlomas reguliavimas paveiks kiekvieną iš išvardintų grupių (tiesioginis ir /ar netiesioginis poveikis) pagrįstas argumentais ir / ar kiekybiniais vertinimais?</w:t>
            </w:r>
          </w:p>
        </w:tc>
        <w:tc>
          <w:tcPr>
            <w:tcW w:w="850" w:type="dxa"/>
          </w:tcPr>
          <w:p w14:paraId="2AD8291B" w14:textId="7426A85E" w:rsidR="00AF0FB5" w:rsidRPr="008E437B" w:rsidRDefault="002D3866" w:rsidP="00AF0FB5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473913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4A5" w:rsidRPr="008E437B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AF0FB5" w:rsidRPr="008E437B">
              <w:rPr>
                <w:sz w:val="18"/>
                <w:szCs w:val="18"/>
                <w:lang w:val="lt-LT"/>
              </w:rPr>
              <w:t xml:space="preserve"> Taip</w:t>
            </w:r>
          </w:p>
          <w:p w14:paraId="740777D1" w14:textId="0AE3323D" w:rsidR="00AF0FB5" w:rsidRPr="0080369E" w:rsidRDefault="002D3866" w:rsidP="00AF0FB5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4039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37B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FB5" w:rsidRPr="008E437B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D8C936C" w14:textId="35879341" w:rsidR="00AF0FB5" w:rsidRPr="00C9166C" w:rsidRDefault="00AF0FB5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 w:rsidRPr="000454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Poveikio tikslinėms grupėms vertinimas </w:t>
            </w:r>
            <w:r w:rsidR="000454A5" w:rsidRPr="000454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</w:t>
            </w:r>
            <w:r w:rsidR="00245FC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aprašomojo pobūdžio ir neparemtas kiekybiniais vertinimais. </w:t>
            </w:r>
            <w:r w:rsidRPr="000454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Neigiamas poveikis tikslinėms grupėms nėra numatomas. </w:t>
            </w:r>
          </w:p>
        </w:tc>
      </w:tr>
      <w:tr w:rsidR="00106EEC" w:rsidRPr="0080369E" w14:paraId="22CAB152" w14:textId="10937D4E" w:rsidTr="007D742C">
        <w:trPr>
          <w:trHeight w:val="798"/>
        </w:trPr>
        <w:tc>
          <w:tcPr>
            <w:tcW w:w="2411" w:type="dxa"/>
            <w:vMerge w:val="restart"/>
          </w:tcPr>
          <w:p w14:paraId="5D9B698A" w14:textId="223AE6B5" w:rsidR="00106EEC" w:rsidRPr="0080369E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Apibendrinti poveikio vertinimo rezultatai</w:t>
            </w:r>
          </w:p>
          <w:p w14:paraId="62AFB9E0" w14:textId="369AAE06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841CB11" w14:textId="284349D8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7.1. </w:t>
            </w:r>
            <w:r w:rsidR="00180ACD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visais reikiamais aspektais įvertintas siūlomo reguliavimo poveikis (teigiamas ir / ar neigiamas)?</w:t>
            </w:r>
          </w:p>
        </w:tc>
        <w:tc>
          <w:tcPr>
            <w:tcW w:w="850" w:type="dxa"/>
          </w:tcPr>
          <w:p w14:paraId="396994AF" w14:textId="525D7A5D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210286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5F4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1B5BB7C4" w14:textId="794B8B35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1379942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5F4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8301559" w14:textId="36A64C30" w:rsidR="00DF6909" w:rsidRDefault="006323D4" w:rsidP="00AC32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Siūlomo r</w:t>
            </w:r>
            <w:r w:rsidR="004A3A0E"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eguliavimo poveikis įvertintas šiais aspektais: </w:t>
            </w:r>
            <w:r w:rsidR="001F15F4"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valstybės finansams ir civilinei saugai.</w:t>
            </w:r>
            <w:r w:rsidR="004A3A0E"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644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Nors kitose poveikio vertinimo pažymos dalyse plačiai aprašyti planuojami instituciniai pertvarkymai, tačiau šis poveikio aspektas nėra paminėtas prie apibendrintų poveikio vertinimo rezultatų. </w:t>
            </w:r>
            <w:r w:rsidR="00DF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Todėl </w:t>
            </w:r>
            <w:r w:rsidR="00DF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darytina išvada, kad įvertinti ne visi  reikiami poveikio vertinimo aspektai</w:t>
            </w:r>
            <w:r w:rsidR="00DF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53AD103" w14:textId="2EB22334" w:rsidR="00106EEC" w:rsidRPr="00C9166C" w:rsidRDefault="006D1282" w:rsidP="004A3A0E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Nors pateiktas pakankamai detalus siūlomų priemonių poveikis valstybės finansams</w:t>
            </w:r>
            <w:r w:rsidR="006323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323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trumpuoju laikotarpiu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tačiau nėra paminėta, kad p</w:t>
            </w:r>
            <w:r w:rsidR="00F533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apildomo finansavimo poreikis</w:t>
            </w:r>
            <w:r w:rsidR="006323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laikytinas</w:t>
            </w:r>
            <w:r w:rsidR="00F533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neigiam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u </w:t>
            </w:r>
            <w:r w:rsidR="00F533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</w:t>
            </w:r>
            <w:r w:rsidR="006323D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valstybės finansams.</w:t>
            </w:r>
          </w:p>
        </w:tc>
      </w:tr>
      <w:tr w:rsidR="00106EEC" w:rsidRPr="0080369E" w14:paraId="03054482" w14:textId="77777777" w:rsidTr="00DF6909">
        <w:trPr>
          <w:trHeight w:val="890"/>
        </w:trPr>
        <w:tc>
          <w:tcPr>
            <w:tcW w:w="2411" w:type="dxa"/>
            <w:vMerge/>
          </w:tcPr>
          <w:p w14:paraId="26E557E2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2B7DBD4E" w14:textId="50F33993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7.</w:t>
            </w:r>
            <w:r w:rsidR="00180ACD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2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. Ar vertinimai pagrįsti argumentais ir</w:t>
            </w:r>
            <w:r w:rsidR="00CA10FE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/</w:t>
            </w:r>
            <w:r w:rsidR="00CA10FE"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ar kiekybiniais duomenimis?</w:t>
            </w:r>
          </w:p>
        </w:tc>
        <w:tc>
          <w:tcPr>
            <w:tcW w:w="850" w:type="dxa"/>
          </w:tcPr>
          <w:p w14:paraId="1EDB6D10" w14:textId="545DB419" w:rsidR="00106EEC" w:rsidRPr="0080369E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988668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D51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11D4319B" w14:textId="62F3B43C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362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47FB9BD" w14:textId="2779CFDA" w:rsidR="00106EEC" w:rsidRPr="00C9166C" w:rsidRDefault="00F42D51" w:rsidP="00F42D5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</w:t>
            </w:r>
            <w:r w:rsidR="0093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E62A3A"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finansams  </w:t>
            </w:r>
            <w:r w:rsidR="0093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pagrįstas </w:t>
            </w:r>
            <w:r w:rsidR="00E62A3A"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kiekybiniais duomenimis</w:t>
            </w:r>
            <w:r w:rsidR="00DF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E62A3A"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poveikio civilinei saugai </w:t>
            </w:r>
            <w:r w:rsidR="00932D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– </w:t>
            </w:r>
            <w:r w:rsidR="00D52F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aprašomojo pobūdžio </w:t>
            </w:r>
            <w:r w:rsidR="00E62A3A" w:rsidRPr="00DC1CD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kokybine informacija. </w:t>
            </w:r>
          </w:p>
        </w:tc>
      </w:tr>
      <w:tr w:rsidR="00106EEC" w:rsidRPr="0080369E" w14:paraId="777EDEAE" w14:textId="3C7111FE" w:rsidTr="007D742C">
        <w:trPr>
          <w:trHeight w:val="411"/>
        </w:trPr>
        <w:tc>
          <w:tcPr>
            <w:tcW w:w="2411" w:type="dxa"/>
            <w:vMerge w:val="restart"/>
          </w:tcPr>
          <w:p w14:paraId="7BE3EBE9" w14:textId="2970A191" w:rsidR="00106EEC" w:rsidRPr="0080369E" w:rsidRDefault="00106EEC" w:rsidP="00106EEC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apie viešąsias konsultacijas</w:t>
            </w:r>
          </w:p>
        </w:tc>
        <w:tc>
          <w:tcPr>
            <w:tcW w:w="6379" w:type="dxa"/>
          </w:tcPr>
          <w:p w14:paraId="5BFEEFCF" w14:textId="47AB9801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8.1. Ar vykdytos viešosios konsultacijos?</w:t>
            </w:r>
          </w:p>
        </w:tc>
        <w:tc>
          <w:tcPr>
            <w:tcW w:w="850" w:type="dxa"/>
          </w:tcPr>
          <w:p w14:paraId="349D77FF" w14:textId="5E1E0E43" w:rsidR="00106EEC" w:rsidRPr="00DF6909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20284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F48" w:rsidRPr="00DF6909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DF6909">
              <w:rPr>
                <w:sz w:val="18"/>
                <w:szCs w:val="18"/>
                <w:lang w:val="lt-LT"/>
              </w:rPr>
              <w:t xml:space="preserve"> Taip</w:t>
            </w:r>
          </w:p>
          <w:p w14:paraId="75389B5A" w14:textId="18114050" w:rsidR="00106EEC" w:rsidRPr="0080369E" w:rsidRDefault="002D3866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5692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DF6909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DF6909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58CC1610" w14:textId="035DC266" w:rsidR="00106EEC" w:rsidRPr="003A3557" w:rsidRDefault="00F66F48" w:rsidP="00F66F4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konsultacijos </w:t>
            </w:r>
            <w:r w:rsidR="00E62A3A"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vyko organizuojant nuotolinius susitikimus (video konferencijos) su savivaldybėmis</w:t>
            </w:r>
            <w:r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62A3A"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C321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Tačiau, atsižvelgiant į tai, kad civilinės saugos stiprinimas – visos visuomenės interesas, galėjo būti organizuojamos platesnės viešosios konsultacijos, įtraukiant įvairias visuomenės grupes ir </w:t>
            </w:r>
            <w:r w:rsidR="009576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verslo bendruomenę.</w:t>
            </w:r>
          </w:p>
        </w:tc>
      </w:tr>
      <w:tr w:rsidR="00106EEC" w:rsidRPr="0080369E" w14:paraId="08B8E723" w14:textId="77777777" w:rsidTr="007D742C">
        <w:trPr>
          <w:trHeight w:val="411"/>
        </w:trPr>
        <w:tc>
          <w:tcPr>
            <w:tcW w:w="2411" w:type="dxa"/>
            <w:vMerge/>
          </w:tcPr>
          <w:p w14:paraId="6312A74D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3DA3A574" w14:textId="48AE7FE9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8.2. Ar pateikti apibendrinti viešųjų konsultacijų rezultatai (</w:t>
            </w:r>
            <w:r w:rsidRPr="0080369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konsultacijų tikslas, su kuo konsultuotasi, paaiškinama, kaip konsultacijų rezultatai panaudoti rengiant teisės akto projektą ar jo galimo poveikio įvertinimą</w:t>
            </w: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)?</w:t>
            </w:r>
          </w:p>
        </w:tc>
        <w:tc>
          <w:tcPr>
            <w:tcW w:w="850" w:type="dxa"/>
          </w:tcPr>
          <w:p w14:paraId="7C3392E4" w14:textId="6781983B" w:rsidR="00106EEC" w:rsidRPr="00E62A3A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77640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A3A" w:rsidRPr="00E62A3A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E62A3A">
              <w:rPr>
                <w:sz w:val="18"/>
                <w:szCs w:val="18"/>
                <w:lang w:val="lt-LT"/>
              </w:rPr>
              <w:t xml:space="preserve"> Taip</w:t>
            </w:r>
          </w:p>
          <w:p w14:paraId="4A0F2B7B" w14:textId="2E0401FA" w:rsidR="00106EEC" w:rsidRPr="00E62A3A" w:rsidRDefault="002D3866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489176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A3A" w:rsidRPr="00E62A3A">
                  <w:rPr>
                    <w:rFonts w:ascii="MS Gothic" w:eastAsia="MS Gothic" w:hAnsi="MS Gothic" w:hint="eastAsia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106EEC" w:rsidRPr="00E62A3A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303ED71" w14:textId="3645C12C" w:rsidR="00106EEC" w:rsidRPr="003A3557" w:rsidRDefault="00E62A3A" w:rsidP="00F66F48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F66F48"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pibendrinti viešųjų konsultacijų rezultatai</w:t>
            </w:r>
            <w:r w:rsidR="005A02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jų panaudojimas</w:t>
            </w:r>
            <w:r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nėra pateikti</w:t>
            </w:r>
            <w:r w:rsidR="005A02D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106EEC" w:rsidRPr="0080369E" w14:paraId="29231C7F" w14:textId="28774705" w:rsidTr="007D742C">
        <w:trPr>
          <w:trHeight w:val="370"/>
        </w:trPr>
        <w:tc>
          <w:tcPr>
            <w:tcW w:w="2411" w:type="dxa"/>
            <w:vMerge/>
          </w:tcPr>
          <w:p w14:paraId="2766F495" w14:textId="77777777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6379" w:type="dxa"/>
          </w:tcPr>
          <w:p w14:paraId="42DF96D6" w14:textId="412716AD" w:rsidR="00106EEC" w:rsidRPr="0080369E" w:rsidRDefault="00106EEC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  <w:r w:rsidR="00D4505D"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Ar pateikiamas argumentuotas paaiškinimas, kodėl nevykdytos viešosios konsultacijos?</w:t>
            </w:r>
          </w:p>
        </w:tc>
        <w:tc>
          <w:tcPr>
            <w:tcW w:w="850" w:type="dxa"/>
          </w:tcPr>
          <w:p w14:paraId="58164220" w14:textId="77777777" w:rsidR="00106EEC" w:rsidRPr="00E62A3A" w:rsidRDefault="002D3866" w:rsidP="00106EEC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8612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E62A3A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E62A3A">
              <w:rPr>
                <w:sz w:val="18"/>
                <w:szCs w:val="18"/>
                <w:lang w:val="lt-LT"/>
              </w:rPr>
              <w:t xml:space="preserve"> Taip</w:t>
            </w:r>
          </w:p>
          <w:p w14:paraId="571A9623" w14:textId="68F3A143" w:rsidR="00106EEC" w:rsidRPr="00E62A3A" w:rsidRDefault="002D3866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126653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EEC" w:rsidRPr="00E62A3A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106EEC" w:rsidRPr="00E62A3A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02EC512E" w14:textId="77B91858" w:rsidR="00106EEC" w:rsidRPr="003A3557" w:rsidRDefault="00E34E59" w:rsidP="00106EEC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E34E59" w:rsidRPr="0080369E" w14:paraId="539DD32D" w14:textId="77777777" w:rsidTr="007D742C">
        <w:trPr>
          <w:trHeight w:val="370"/>
        </w:trPr>
        <w:tc>
          <w:tcPr>
            <w:tcW w:w="2411" w:type="dxa"/>
            <w:vMerge w:val="restart"/>
          </w:tcPr>
          <w:p w14:paraId="79BCFAD6" w14:textId="0A72C830" w:rsidR="00E34E59" w:rsidRPr="0080369E" w:rsidRDefault="00E34E59" w:rsidP="00E34E59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lang w:val="lt-LT"/>
              </w:rPr>
              <w:t>Bendrieji reikalavimai kokybei</w:t>
            </w:r>
          </w:p>
        </w:tc>
        <w:tc>
          <w:tcPr>
            <w:tcW w:w="6379" w:type="dxa"/>
          </w:tcPr>
          <w:p w14:paraId="5E56BAD3" w14:textId="29DFF9F6" w:rsidR="00E34E59" w:rsidRPr="0080369E" w:rsidRDefault="00E34E59" w:rsidP="00E34E59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kalba aiški, lengvai suprantama ne srities specialistui?</w:t>
            </w:r>
          </w:p>
          <w:p w14:paraId="475F76D2" w14:textId="4D396764" w:rsidR="00E34E59" w:rsidRPr="0080369E" w:rsidRDefault="00E34E59" w:rsidP="00E34E59">
            <w:pPr>
              <w:pStyle w:val="ListParagraph"/>
              <w:spacing w:after="120"/>
              <w:ind w:left="3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850" w:type="dxa"/>
          </w:tcPr>
          <w:p w14:paraId="56A2F2C3" w14:textId="6CE536BD" w:rsidR="00E34E59" w:rsidRPr="0080369E" w:rsidRDefault="002D3866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-38233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34E59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345E3766" w14:textId="44480213" w:rsidR="00E34E59" w:rsidRPr="0080369E" w:rsidRDefault="002D3866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73189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34E59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1D80071E" w14:textId="759D5FFE" w:rsidR="00E34E59" w:rsidRPr="003A3557" w:rsidRDefault="00E34E59" w:rsidP="00E34E59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Kalba aiški ir suprantama ne specialistui.</w:t>
            </w:r>
          </w:p>
        </w:tc>
      </w:tr>
      <w:tr w:rsidR="00E34E59" w:rsidRPr="0080369E" w14:paraId="4E2C7632" w14:textId="77777777" w:rsidTr="007D742C">
        <w:trPr>
          <w:trHeight w:val="370"/>
        </w:trPr>
        <w:tc>
          <w:tcPr>
            <w:tcW w:w="2411" w:type="dxa"/>
            <w:vMerge/>
          </w:tcPr>
          <w:p w14:paraId="19B8408C" w14:textId="77777777" w:rsidR="00E34E59" w:rsidRPr="0080369E" w:rsidRDefault="00E34E59" w:rsidP="00E34E59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</w:tcPr>
          <w:p w14:paraId="720B08C5" w14:textId="04A8F581" w:rsidR="00E34E59" w:rsidRPr="0080369E" w:rsidRDefault="00E34E59" w:rsidP="00E34E59">
            <w:pPr>
              <w:pStyle w:val="ListParagraph"/>
              <w:numPr>
                <w:ilvl w:val="1"/>
                <w:numId w:val="15"/>
              </w:numPr>
              <w:spacing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 dėstymas logiškas, naudojami argumentai suprantami? </w:t>
            </w:r>
          </w:p>
        </w:tc>
        <w:tc>
          <w:tcPr>
            <w:tcW w:w="850" w:type="dxa"/>
          </w:tcPr>
          <w:p w14:paraId="6D25C6DA" w14:textId="1C15B859" w:rsidR="00E34E59" w:rsidRPr="0080369E" w:rsidRDefault="002D3866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64800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34E59" w:rsidRPr="0080369E">
              <w:rPr>
                <w:sz w:val="18"/>
                <w:szCs w:val="18"/>
                <w:lang w:val="lt-LT"/>
              </w:rPr>
              <w:t xml:space="preserve"> Taip</w:t>
            </w:r>
          </w:p>
          <w:p w14:paraId="2C5C5F89" w14:textId="5D4A792D" w:rsidR="00E34E59" w:rsidRPr="0080369E" w:rsidRDefault="002D3866" w:rsidP="00E34E59">
            <w:pPr>
              <w:rPr>
                <w:sz w:val="18"/>
                <w:szCs w:val="18"/>
                <w:lang w:val="lt-LT"/>
              </w:rPr>
            </w:pPr>
            <w:sdt>
              <w:sdtPr>
                <w:rPr>
                  <w:sz w:val="18"/>
                  <w:szCs w:val="18"/>
                  <w:lang w:val="lt-LT"/>
                </w:rPr>
                <w:id w:val="175801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E59" w:rsidRPr="0080369E">
                  <w:rPr>
                    <w:rFonts w:ascii="MS Gothic" w:eastAsia="MS Gothic" w:hAnsi="MS Gothic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34E59" w:rsidRPr="0080369E">
              <w:rPr>
                <w:sz w:val="18"/>
                <w:szCs w:val="18"/>
                <w:lang w:val="lt-LT"/>
              </w:rPr>
              <w:t xml:space="preserve"> Ne</w:t>
            </w:r>
          </w:p>
        </w:tc>
        <w:tc>
          <w:tcPr>
            <w:tcW w:w="5664" w:type="dxa"/>
          </w:tcPr>
          <w:p w14:paraId="499C3D64" w14:textId="77777777" w:rsidR="00E34E59" w:rsidRDefault="00E34E59" w:rsidP="00E34E5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A3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Dėstymas logiškas,  naudojami argumentai suprantami, tačiau ne visais atvejais pakankami. </w:t>
            </w:r>
          </w:p>
          <w:p w14:paraId="47B8B30B" w14:textId="77777777" w:rsidR="0095764A" w:rsidRDefault="0095764A" w:rsidP="00E34E59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6EC9C8E2" w14:textId="46CD295D" w:rsidR="0095764A" w:rsidRPr="0095764A" w:rsidRDefault="0095764A" w:rsidP="00E34E5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80ACD" w:rsidRPr="0080369E" w14:paraId="1DD83623" w14:textId="77777777" w:rsidTr="001C0A4C">
        <w:trPr>
          <w:trHeight w:val="370"/>
        </w:trPr>
        <w:tc>
          <w:tcPr>
            <w:tcW w:w="2411" w:type="dxa"/>
            <w:shd w:val="clear" w:color="auto" w:fill="B4C6E7" w:themeFill="accent1" w:themeFillTint="66"/>
          </w:tcPr>
          <w:p w14:paraId="2176D00D" w14:textId="187E8EB6" w:rsidR="00180ACD" w:rsidRPr="0080369E" w:rsidRDefault="00180ACD" w:rsidP="00106EEC">
            <w:pPr>
              <w:pStyle w:val="ListParagraph"/>
              <w:spacing w:after="120"/>
              <w:ind w:left="360"/>
              <w:rPr>
                <w:b/>
                <w:bCs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Atlikto didesnio poveikio vertinimo apibendrinančios išvados ir rekomendacijos</w:t>
            </w:r>
          </w:p>
        </w:tc>
        <w:tc>
          <w:tcPr>
            <w:tcW w:w="12893" w:type="dxa"/>
            <w:gridSpan w:val="3"/>
          </w:tcPr>
          <w:p w14:paraId="205DFA89" w14:textId="77777777" w:rsidR="0065230C" w:rsidRPr="0080369E" w:rsidRDefault="0065230C" w:rsidP="00EA34A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Atliktas poveikio vertinimas ir jo rezultatai </w:t>
            </w:r>
            <w:r w:rsidRPr="00E156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visiškai</w:t>
            </w:r>
            <w:r w:rsidRPr="008036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arba iš dalies atitinka daugumą nustatytų kokybės kriterijų</w:t>
            </w: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8930023" w14:textId="6A1119A2" w:rsidR="005A02D9" w:rsidRPr="004539E3" w:rsidRDefault="00EA34A4" w:rsidP="006A151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47942588"/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Poveikio vertinimo forma užpildyta tinkamai, naudo</w:t>
            </w:r>
            <w:r w:rsidR="009576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jami</w:t>
            </w: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argumentai </w:t>
            </w:r>
            <w:r w:rsidR="009576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</w:t>
            </w:r>
            <w:r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suprantami bei pagrįsti. Problema, jos  priežastys</w:t>
            </w:r>
            <w:r w:rsidR="002169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8E4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laukiamas rezultatas, </w:t>
            </w:r>
            <w:r w:rsidR="002169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E4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galimos </w:t>
            </w:r>
            <w:r w:rsidR="002169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alternatyvos</w:t>
            </w:r>
            <w:r w:rsidR="008E43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siūlomos įgyvendinti priemonės ir tikslinės grupės </w:t>
            </w:r>
            <w:r w:rsidR="0021692C"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aprašyt</w:t>
            </w:r>
            <w:r w:rsidR="004B55F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="0021692C"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tinkamai </w:t>
            </w:r>
            <w:r w:rsidR="009576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21692C" w:rsidRPr="0080369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aiškiai</w:t>
            </w:r>
            <w:r w:rsidR="0021692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4539E3" w:rsidRPr="004539E3">
              <w:rPr>
                <w:rFonts w:ascii="Times New Roman" w:eastAsia="Calibri" w:hAnsi="Times New Roman" w:cs="Times New Roman"/>
                <w:sz w:val="24"/>
                <w:lang w:val="lt-LT"/>
              </w:rPr>
              <w:t>Geriausios alternatyvos pasirinkimas pagrįstas tinkamais argumentais.</w:t>
            </w:r>
          </w:p>
          <w:p w14:paraId="514201BB" w14:textId="77777777" w:rsidR="00222508" w:rsidRDefault="008E437B" w:rsidP="0095764A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Tačiau, a</w:t>
            </w:r>
            <w:r w:rsidR="00580E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prašant problemos mastą,</w:t>
            </w:r>
            <w:r w:rsidR="00580EF4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pateikta nepakankamai apibendrintų duomenų, kurie leistų atskleisti esamos institucinės sistemos nepakankamą efektyvumą ir parodytų, kokia dalis nepaprastųjų įvykių ir situacijų nebuvo tinkamai suvaldyta.</w:t>
            </w:r>
            <w:r w:rsidR="00E1566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 Darytina prielaida, kad tinkamai nevykdoma ekstremaliųjų situacijų ir įvykių stebėsena – viena iš priežasčių, sąlygojusių susidariusią problemą</w:t>
            </w:r>
            <w:r w:rsidR="007A65B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ir jos mastą pagrindžiančių duomenų trūkumą.</w:t>
            </w:r>
            <w:r w:rsidR="00DF690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Taip pat</w:t>
            </w:r>
            <w:r w:rsidR="0095764A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, atliekant poveikio vertinimą,</w:t>
            </w:r>
            <w:r w:rsidR="00DF6909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="00DF69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įvertinti ne visi  reikiami poveikio vertinimo aspektai</w:t>
            </w:r>
            <w:r w:rsidR="009576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73A2CDF" w14:textId="482F231A" w:rsidR="00180ACD" w:rsidRPr="0080369E" w:rsidRDefault="0095764A" w:rsidP="006A151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Atsižvelgiant į efektyviai veikiančios civilinės saugos reikšmę visai visuomenei,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galėjo būti organizuojamos platesnės viešosios konsultacijos, įtraukiant įvairias visuomenės grupes ir verslo bendruomenę.</w:t>
            </w:r>
            <w:bookmarkEnd w:id="0"/>
          </w:p>
        </w:tc>
      </w:tr>
    </w:tbl>
    <w:p w14:paraId="1BDC0466" w14:textId="5E4FD494" w:rsidR="00C52918" w:rsidRPr="0080369E" w:rsidRDefault="00C52918" w:rsidP="00C4781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C52918" w:rsidRPr="0080369E" w:rsidSect="00D91A33">
      <w:footerReference w:type="default" r:id="rId11"/>
      <w:pgSz w:w="16838" w:h="11906" w:orient="landscape"/>
      <w:pgMar w:top="1440" w:right="426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9D037" w14:textId="77777777" w:rsidR="002D3866" w:rsidRDefault="002D3866" w:rsidP="007873D2">
      <w:pPr>
        <w:spacing w:after="0" w:line="240" w:lineRule="auto"/>
      </w:pPr>
      <w:r>
        <w:separator/>
      </w:r>
    </w:p>
  </w:endnote>
  <w:endnote w:type="continuationSeparator" w:id="0">
    <w:p w14:paraId="196E5AA8" w14:textId="77777777" w:rsidR="002D3866" w:rsidRDefault="002D3866" w:rsidP="0078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93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F9EE8" w14:textId="0FDEEAD3" w:rsidR="007873D2" w:rsidRDefault="007873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2A4A5" w14:textId="77777777" w:rsidR="007873D2" w:rsidRDefault="00787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A911CA" w14:textId="77777777" w:rsidR="002D3866" w:rsidRDefault="002D3866" w:rsidP="007873D2">
      <w:pPr>
        <w:spacing w:after="0" w:line="240" w:lineRule="auto"/>
      </w:pPr>
      <w:r>
        <w:separator/>
      </w:r>
    </w:p>
  </w:footnote>
  <w:footnote w:type="continuationSeparator" w:id="0">
    <w:p w14:paraId="5BEEDB77" w14:textId="77777777" w:rsidR="002D3866" w:rsidRDefault="002D3866" w:rsidP="00787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75A"/>
    <w:multiLevelType w:val="hybridMultilevel"/>
    <w:tmpl w:val="492A4330"/>
    <w:lvl w:ilvl="0" w:tplc="A60814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100"/>
    <w:multiLevelType w:val="hybridMultilevel"/>
    <w:tmpl w:val="CDEC6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2C43"/>
    <w:multiLevelType w:val="hybridMultilevel"/>
    <w:tmpl w:val="00B09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6CB"/>
    <w:multiLevelType w:val="hybridMultilevel"/>
    <w:tmpl w:val="CF360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007"/>
    <w:multiLevelType w:val="multilevel"/>
    <w:tmpl w:val="6996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823C0"/>
    <w:multiLevelType w:val="hybridMultilevel"/>
    <w:tmpl w:val="398C2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22997"/>
    <w:multiLevelType w:val="multilevel"/>
    <w:tmpl w:val="73EC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0F197B"/>
    <w:multiLevelType w:val="multilevel"/>
    <w:tmpl w:val="5F60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E94B0F"/>
    <w:multiLevelType w:val="multilevel"/>
    <w:tmpl w:val="A0CA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1655C2"/>
    <w:multiLevelType w:val="multilevel"/>
    <w:tmpl w:val="8E8E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BC07DB"/>
    <w:multiLevelType w:val="hybridMultilevel"/>
    <w:tmpl w:val="80189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50848"/>
    <w:multiLevelType w:val="hybridMultilevel"/>
    <w:tmpl w:val="88EAD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FE3193"/>
    <w:multiLevelType w:val="hybridMultilevel"/>
    <w:tmpl w:val="1E8C3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F2732"/>
    <w:multiLevelType w:val="multilevel"/>
    <w:tmpl w:val="AE684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91E48F1"/>
    <w:multiLevelType w:val="hybridMultilevel"/>
    <w:tmpl w:val="24E850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</w:num>
  <w:num w:numId="9">
    <w:abstractNumId w:val="14"/>
  </w:num>
  <w:num w:numId="10">
    <w:abstractNumId w:val="1"/>
  </w:num>
  <w:num w:numId="11">
    <w:abstractNumId w:val="12"/>
  </w:num>
  <w:num w:numId="12">
    <w:abstractNumId w:val="11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DE"/>
    <w:rsid w:val="000009A1"/>
    <w:rsid w:val="00001818"/>
    <w:rsid w:val="00006717"/>
    <w:rsid w:val="00010C36"/>
    <w:rsid w:val="00034AA6"/>
    <w:rsid w:val="0003615C"/>
    <w:rsid w:val="000454A5"/>
    <w:rsid w:val="000521C4"/>
    <w:rsid w:val="00055253"/>
    <w:rsid w:val="000A39E5"/>
    <w:rsid w:val="000C6DB3"/>
    <w:rsid w:val="000F410E"/>
    <w:rsid w:val="00100E46"/>
    <w:rsid w:val="00102F8D"/>
    <w:rsid w:val="00106EEC"/>
    <w:rsid w:val="0011696B"/>
    <w:rsid w:val="00122534"/>
    <w:rsid w:val="0012268B"/>
    <w:rsid w:val="0012666E"/>
    <w:rsid w:val="001602E5"/>
    <w:rsid w:val="00180ACD"/>
    <w:rsid w:val="00187D17"/>
    <w:rsid w:val="001C0A4C"/>
    <w:rsid w:val="001C32A3"/>
    <w:rsid w:val="001D41C6"/>
    <w:rsid w:val="001D5D66"/>
    <w:rsid w:val="001F15F4"/>
    <w:rsid w:val="00200F91"/>
    <w:rsid w:val="00212EEB"/>
    <w:rsid w:val="0021692C"/>
    <w:rsid w:val="002214DE"/>
    <w:rsid w:val="00222508"/>
    <w:rsid w:val="002250C6"/>
    <w:rsid w:val="00225801"/>
    <w:rsid w:val="00245FC3"/>
    <w:rsid w:val="00257066"/>
    <w:rsid w:val="00266195"/>
    <w:rsid w:val="00272F52"/>
    <w:rsid w:val="002863F5"/>
    <w:rsid w:val="002B62E1"/>
    <w:rsid w:val="002C5012"/>
    <w:rsid w:val="002C51F2"/>
    <w:rsid w:val="002D32AF"/>
    <w:rsid w:val="002D3866"/>
    <w:rsid w:val="002D58CE"/>
    <w:rsid w:val="00321ADE"/>
    <w:rsid w:val="003309CD"/>
    <w:rsid w:val="003342C8"/>
    <w:rsid w:val="00345284"/>
    <w:rsid w:val="00353533"/>
    <w:rsid w:val="00364F61"/>
    <w:rsid w:val="003752EE"/>
    <w:rsid w:val="00386692"/>
    <w:rsid w:val="00391860"/>
    <w:rsid w:val="00393495"/>
    <w:rsid w:val="003A3557"/>
    <w:rsid w:val="003A3C3F"/>
    <w:rsid w:val="003E5851"/>
    <w:rsid w:val="003F57BD"/>
    <w:rsid w:val="004015D1"/>
    <w:rsid w:val="00425287"/>
    <w:rsid w:val="00427074"/>
    <w:rsid w:val="004449C0"/>
    <w:rsid w:val="004539E3"/>
    <w:rsid w:val="0046446D"/>
    <w:rsid w:val="00477293"/>
    <w:rsid w:val="00482700"/>
    <w:rsid w:val="00482A95"/>
    <w:rsid w:val="004969C7"/>
    <w:rsid w:val="004A1E38"/>
    <w:rsid w:val="004A2940"/>
    <w:rsid w:val="004A3A0E"/>
    <w:rsid w:val="004B075D"/>
    <w:rsid w:val="004B55F6"/>
    <w:rsid w:val="004C1FF0"/>
    <w:rsid w:val="004C3332"/>
    <w:rsid w:val="004C6982"/>
    <w:rsid w:val="004D7B76"/>
    <w:rsid w:val="004E18B0"/>
    <w:rsid w:val="00504656"/>
    <w:rsid w:val="0050650B"/>
    <w:rsid w:val="0051042C"/>
    <w:rsid w:val="0051346F"/>
    <w:rsid w:val="005339E0"/>
    <w:rsid w:val="005630CC"/>
    <w:rsid w:val="0056491C"/>
    <w:rsid w:val="005653BE"/>
    <w:rsid w:val="00566B76"/>
    <w:rsid w:val="00580EF4"/>
    <w:rsid w:val="00592A8D"/>
    <w:rsid w:val="005A02D9"/>
    <w:rsid w:val="005A121B"/>
    <w:rsid w:val="005A6186"/>
    <w:rsid w:val="005B0174"/>
    <w:rsid w:val="005C2669"/>
    <w:rsid w:val="005D7455"/>
    <w:rsid w:val="00610694"/>
    <w:rsid w:val="006247E0"/>
    <w:rsid w:val="006323D4"/>
    <w:rsid w:val="006379E7"/>
    <w:rsid w:val="0064472D"/>
    <w:rsid w:val="0065230C"/>
    <w:rsid w:val="006538B3"/>
    <w:rsid w:val="00686241"/>
    <w:rsid w:val="00687D89"/>
    <w:rsid w:val="00694B5C"/>
    <w:rsid w:val="006A1511"/>
    <w:rsid w:val="006A746A"/>
    <w:rsid w:val="006B2358"/>
    <w:rsid w:val="006B298D"/>
    <w:rsid w:val="006C2154"/>
    <w:rsid w:val="006C5E43"/>
    <w:rsid w:val="006D1282"/>
    <w:rsid w:val="006E6823"/>
    <w:rsid w:val="00703032"/>
    <w:rsid w:val="00706EDF"/>
    <w:rsid w:val="007222CF"/>
    <w:rsid w:val="0073688E"/>
    <w:rsid w:val="007507BB"/>
    <w:rsid w:val="00750E41"/>
    <w:rsid w:val="007772EA"/>
    <w:rsid w:val="007873D2"/>
    <w:rsid w:val="00787D46"/>
    <w:rsid w:val="007A65B8"/>
    <w:rsid w:val="007B7987"/>
    <w:rsid w:val="007B7EE7"/>
    <w:rsid w:val="007D0496"/>
    <w:rsid w:val="007D742C"/>
    <w:rsid w:val="0080369E"/>
    <w:rsid w:val="008132E5"/>
    <w:rsid w:val="00816872"/>
    <w:rsid w:val="008223DC"/>
    <w:rsid w:val="00837D90"/>
    <w:rsid w:val="0084620E"/>
    <w:rsid w:val="008667BF"/>
    <w:rsid w:val="00872A4D"/>
    <w:rsid w:val="00883BFA"/>
    <w:rsid w:val="00893392"/>
    <w:rsid w:val="00894111"/>
    <w:rsid w:val="008D34CD"/>
    <w:rsid w:val="008E437B"/>
    <w:rsid w:val="008F4114"/>
    <w:rsid w:val="00913FB6"/>
    <w:rsid w:val="009279AB"/>
    <w:rsid w:val="00932DF9"/>
    <w:rsid w:val="009413D6"/>
    <w:rsid w:val="0095764A"/>
    <w:rsid w:val="00970B42"/>
    <w:rsid w:val="00974BF6"/>
    <w:rsid w:val="00975ECF"/>
    <w:rsid w:val="009839AC"/>
    <w:rsid w:val="009A04DF"/>
    <w:rsid w:val="009B56CD"/>
    <w:rsid w:val="009B7943"/>
    <w:rsid w:val="009F5F68"/>
    <w:rsid w:val="00A026C6"/>
    <w:rsid w:val="00A02B8A"/>
    <w:rsid w:val="00A305D6"/>
    <w:rsid w:val="00A408E9"/>
    <w:rsid w:val="00A411DB"/>
    <w:rsid w:val="00A7731F"/>
    <w:rsid w:val="00A979D4"/>
    <w:rsid w:val="00AA4CFF"/>
    <w:rsid w:val="00AC321F"/>
    <w:rsid w:val="00AC3551"/>
    <w:rsid w:val="00AF0FB5"/>
    <w:rsid w:val="00AF27B5"/>
    <w:rsid w:val="00B139B1"/>
    <w:rsid w:val="00B37BA3"/>
    <w:rsid w:val="00B5084E"/>
    <w:rsid w:val="00B53A5A"/>
    <w:rsid w:val="00B600B6"/>
    <w:rsid w:val="00BA0399"/>
    <w:rsid w:val="00BA2399"/>
    <w:rsid w:val="00BA3022"/>
    <w:rsid w:val="00BB3617"/>
    <w:rsid w:val="00BC048A"/>
    <w:rsid w:val="00BC0BA6"/>
    <w:rsid w:val="00BD569A"/>
    <w:rsid w:val="00BE1495"/>
    <w:rsid w:val="00BF2BAD"/>
    <w:rsid w:val="00C13367"/>
    <w:rsid w:val="00C26C77"/>
    <w:rsid w:val="00C4672F"/>
    <w:rsid w:val="00C4781F"/>
    <w:rsid w:val="00C52918"/>
    <w:rsid w:val="00C80DC8"/>
    <w:rsid w:val="00C9166C"/>
    <w:rsid w:val="00CA10FE"/>
    <w:rsid w:val="00CA1E01"/>
    <w:rsid w:val="00CC5510"/>
    <w:rsid w:val="00CF33F6"/>
    <w:rsid w:val="00CF7647"/>
    <w:rsid w:val="00D11B51"/>
    <w:rsid w:val="00D16942"/>
    <w:rsid w:val="00D23B27"/>
    <w:rsid w:val="00D36067"/>
    <w:rsid w:val="00D43CAD"/>
    <w:rsid w:val="00D4505D"/>
    <w:rsid w:val="00D505A6"/>
    <w:rsid w:val="00D52F2C"/>
    <w:rsid w:val="00D52F50"/>
    <w:rsid w:val="00D66820"/>
    <w:rsid w:val="00D83D41"/>
    <w:rsid w:val="00D91A33"/>
    <w:rsid w:val="00DA717B"/>
    <w:rsid w:val="00DC15FE"/>
    <w:rsid w:val="00DC1CDD"/>
    <w:rsid w:val="00DC4EA2"/>
    <w:rsid w:val="00DD14D1"/>
    <w:rsid w:val="00DE2680"/>
    <w:rsid w:val="00DE566F"/>
    <w:rsid w:val="00DE641D"/>
    <w:rsid w:val="00DF6909"/>
    <w:rsid w:val="00E1443C"/>
    <w:rsid w:val="00E15667"/>
    <w:rsid w:val="00E30D64"/>
    <w:rsid w:val="00E32C2C"/>
    <w:rsid w:val="00E348E4"/>
    <w:rsid w:val="00E34E59"/>
    <w:rsid w:val="00E62A3A"/>
    <w:rsid w:val="00E6681D"/>
    <w:rsid w:val="00E87739"/>
    <w:rsid w:val="00EA136B"/>
    <w:rsid w:val="00EA34A4"/>
    <w:rsid w:val="00EC7460"/>
    <w:rsid w:val="00ED2A52"/>
    <w:rsid w:val="00ED74BA"/>
    <w:rsid w:val="00EF760E"/>
    <w:rsid w:val="00F1011A"/>
    <w:rsid w:val="00F367FD"/>
    <w:rsid w:val="00F42D51"/>
    <w:rsid w:val="00F53393"/>
    <w:rsid w:val="00F55948"/>
    <w:rsid w:val="00F634CA"/>
    <w:rsid w:val="00F64736"/>
    <w:rsid w:val="00F66F48"/>
    <w:rsid w:val="00FA11CF"/>
    <w:rsid w:val="00FA19A9"/>
    <w:rsid w:val="00FC11C7"/>
    <w:rsid w:val="00FC254B"/>
    <w:rsid w:val="00FD4E16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2F17"/>
  <w15:chartTrackingRefBased/>
  <w15:docId w15:val="{7D3882AF-70E6-4911-891A-1887FA4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7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9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9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9A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7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2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D2"/>
  </w:style>
  <w:style w:type="paragraph" w:styleId="Footer">
    <w:name w:val="footer"/>
    <w:basedOn w:val="Normal"/>
    <w:link w:val="FooterChar"/>
    <w:uiPriority w:val="99"/>
    <w:unhideWhenUsed/>
    <w:rsid w:val="007873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561FF4030AA04494266F6A6AD3EADD" ma:contentTypeVersion="12" ma:contentTypeDescription="Kurkite naują dokumentą." ma:contentTypeScope="" ma:versionID="4b5b2f80fdbd30bddbf1bc78a17d5282">
  <xsd:schema xmlns:xsd="http://www.w3.org/2001/XMLSchema" xmlns:xs="http://www.w3.org/2001/XMLSchema" xmlns:p="http://schemas.microsoft.com/office/2006/metadata/properties" xmlns:ns3="9bbf328e-77ca-4f21-b247-53aa82d10e59" xmlns:ns4="1135e877-51c8-42ab-b981-f1b0fa81c186" targetNamespace="http://schemas.microsoft.com/office/2006/metadata/properties" ma:root="true" ma:fieldsID="019cc8699acb357461e58fcc091a5059" ns3:_="" ns4:_="">
    <xsd:import namespace="9bbf328e-77ca-4f21-b247-53aa82d10e59"/>
    <xsd:import namespace="1135e877-51c8-42ab-b981-f1b0fa81c1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328e-77ca-4f21-b247-53aa82d10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5e877-51c8-42ab-b981-f1b0fa81c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909F7-C792-42BC-BC85-8DAA0DB01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f328e-77ca-4f21-b247-53aa82d10e59"/>
    <ds:schemaRef ds:uri="1135e877-51c8-42ab-b981-f1b0fa81c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0C24D-DD3D-4DB2-B8DF-3D6EA028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5FA999-C745-43B3-BFD5-9F79E2598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B05CC5-305A-4306-859E-E8B8FD521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5</Pages>
  <Words>1266</Words>
  <Characters>7220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</dc:creator>
  <cp:keywords/>
  <dc:description/>
  <cp:lastModifiedBy>Saulius Kolyta</cp:lastModifiedBy>
  <cp:revision>23</cp:revision>
  <cp:lastPrinted>2020-01-02T11:01:00Z</cp:lastPrinted>
  <dcterms:created xsi:type="dcterms:W3CDTF">2020-10-26T06:35:00Z</dcterms:created>
  <dcterms:modified xsi:type="dcterms:W3CDTF">2020-10-26T13:45:00Z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0x010100D2561FF4030AA04494266F6A6AD3EADD</vt:lpwstr>
  </property>
</Properties>
</file>