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C3040" w:rsidR="00411B53" w:rsidP="00411B53" w:rsidRDefault="00B36A4C" w14:paraId="3555C652" w14:textId="77777777">
      <w:pPr>
        <w:spacing w:after="0" w:line="240" w:lineRule="auto"/>
        <w:ind w:left="426" w:hanging="142"/>
        <w:jc w:val="center"/>
        <w:rPr>
          <w:rFonts w:ascii="Times New Roman" w:hAnsi="Times New Roman" w:eastAsia="Times New Roman" w:cs="Times New Roman"/>
          <w:b/>
          <w:caps/>
          <w:lang w:eastAsia="lt-LT"/>
        </w:rPr>
      </w:pPr>
      <w:r w:rsidRPr="001C3040">
        <w:rPr>
          <w:rFonts w:ascii="Times New Roman" w:hAnsi="Times New Roman" w:eastAsia="Times New Roman" w:cs="Times New Roman"/>
          <w:b/>
          <w:caps/>
          <w:lang w:eastAsia="lt-LT"/>
        </w:rPr>
        <w:t>LIETUVOS RESPUBLIKOS VYRIAUSYBĖs NUTARIMo</w:t>
      </w:r>
    </w:p>
    <w:p w:rsidRPr="001C3040" w:rsidR="00A903A1" w:rsidRDefault="00411B53" w14:paraId="36A60F75" w14:textId="7D304493">
      <w:pPr>
        <w:spacing w:after="0" w:line="240" w:lineRule="auto"/>
        <w:ind w:left="426" w:hanging="142"/>
        <w:jc w:val="center"/>
        <w:rPr>
          <w:rFonts w:ascii="Times New Roman" w:hAnsi="Times New Roman" w:eastAsia="Times New Roman" w:cs="Times New Roman"/>
          <w:b/>
          <w:caps/>
          <w:lang w:eastAsia="lt-LT"/>
        </w:rPr>
      </w:pPr>
      <w:r w:rsidRPr="001C3040">
        <w:rPr>
          <w:rFonts w:ascii="Times New Roman" w:hAnsi="Times New Roman" w:eastAsia="Times New Roman" w:cs="Times New Roman"/>
          <w:b/>
          <w:caps/>
          <w:lang w:eastAsia="lt-LT"/>
        </w:rPr>
        <w:t xml:space="preserve">„DĖL </w:t>
      </w:r>
      <w:r w:rsidRPr="001C3040" w:rsidR="00A903A1">
        <w:rPr>
          <w:rFonts w:ascii="Times New Roman" w:hAnsi="Times New Roman" w:eastAsia="Times New Roman" w:cs="Times New Roman"/>
          <w:b/>
          <w:caps/>
          <w:lang w:eastAsia="lt-LT"/>
        </w:rPr>
        <w:t>LIETUVOS RESPUBLIKOS SEIMO NARIŲ A. BAUROS, S. JOVAIŠOS, E. PUPINIO, K.</w:t>
      </w:r>
      <w:r w:rsidR="001C3040">
        <w:rPr>
          <w:rFonts w:ascii="Times New Roman" w:hAnsi="Times New Roman" w:eastAsia="Times New Roman" w:cs="Times New Roman"/>
          <w:b/>
          <w:caps/>
          <w:lang w:eastAsia="lt-LT"/>
        </w:rPr>
        <w:t> </w:t>
      </w:r>
      <w:r w:rsidRPr="001C3040" w:rsidR="00A903A1">
        <w:rPr>
          <w:rFonts w:ascii="Times New Roman" w:hAnsi="Times New Roman" w:eastAsia="Times New Roman" w:cs="Times New Roman"/>
          <w:b/>
          <w:caps/>
          <w:lang w:eastAsia="lt-LT"/>
        </w:rPr>
        <w:t>BACVINKOS 2020 M. GEGUŽĖS 7 D., SEIMO NARIŲ A. PAPIRTIENĖS IR L. JONAIČIO 2020 M. GEGUŽĖS 12 D. PASIŪLYMŲ IR SEIMO ŠVIETIMO IR MOKSLO KOMITETO 2020 M. GEGUŽĖS 19</w:t>
      </w:r>
      <w:r w:rsidR="001C3040">
        <w:rPr>
          <w:rFonts w:ascii="Times New Roman" w:hAnsi="Times New Roman" w:eastAsia="Times New Roman" w:cs="Times New Roman"/>
          <w:b/>
          <w:caps/>
          <w:lang w:eastAsia="lt-LT"/>
        </w:rPr>
        <w:t> </w:t>
      </w:r>
      <w:r w:rsidRPr="001C3040" w:rsidR="00A903A1">
        <w:rPr>
          <w:rFonts w:ascii="Times New Roman" w:hAnsi="Times New Roman" w:eastAsia="Times New Roman" w:cs="Times New Roman"/>
          <w:b/>
          <w:caps/>
          <w:lang w:eastAsia="lt-LT"/>
        </w:rPr>
        <w:t>D. IŠVADOJE IŠDĖSTYTŲ PASIŪLYMŲ DĖL LIETUVOS RESPUBLIKOS SAUGAUS EISMO AUTOMOBILIŲ KELIAIS ĮSTATYMO NR. VIII-2043 2, 9, 10, 14, 17, 22, 23, 27</w:t>
      </w:r>
      <w:r w:rsidRPr="001C3040" w:rsidR="00A903A1">
        <w:rPr>
          <w:rFonts w:ascii="Times New Roman" w:hAnsi="Times New Roman" w:eastAsia="Times New Roman" w:cs="Times New Roman"/>
          <w:b/>
          <w:caps/>
          <w:vertAlign w:val="superscript"/>
          <w:lang w:eastAsia="lt-LT"/>
        </w:rPr>
        <w:t>2</w:t>
      </w:r>
      <w:r w:rsidRPr="001C3040" w:rsidR="00A903A1">
        <w:rPr>
          <w:rFonts w:ascii="Times New Roman" w:hAnsi="Times New Roman" w:eastAsia="Times New Roman" w:cs="Times New Roman"/>
          <w:b/>
          <w:caps/>
          <w:lang w:eastAsia="lt-LT"/>
        </w:rPr>
        <w:t xml:space="preserve"> STRAIPSNIŲ IR PRIEDO PAKEITIMO IR ĮSTATYMO PAPILDYMO 14</w:t>
      </w:r>
      <w:r w:rsidRPr="001C3040" w:rsidR="00A903A1">
        <w:rPr>
          <w:rFonts w:ascii="Times New Roman" w:hAnsi="Times New Roman" w:eastAsia="Times New Roman" w:cs="Times New Roman"/>
          <w:b/>
          <w:caps/>
          <w:vertAlign w:val="superscript"/>
          <w:lang w:eastAsia="lt-LT"/>
        </w:rPr>
        <w:t>1</w:t>
      </w:r>
      <w:r w:rsidRPr="001C3040" w:rsidR="00A903A1">
        <w:rPr>
          <w:rFonts w:ascii="Times New Roman" w:hAnsi="Times New Roman" w:eastAsia="Times New Roman" w:cs="Times New Roman"/>
          <w:b/>
          <w:caps/>
          <w:lang w:eastAsia="lt-LT"/>
        </w:rPr>
        <w:t xml:space="preserve"> IR 14</w:t>
      </w:r>
      <w:r w:rsidRPr="001C3040" w:rsidR="00A903A1">
        <w:rPr>
          <w:rFonts w:ascii="Times New Roman" w:hAnsi="Times New Roman" w:eastAsia="Times New Roman" w:cs="Times New Roman"/>
          <w:b/>
          <w:caps/>
          <w:vertAlign w:val="superscript"/>
          <w:lang w:eastAsia="lt-LT"/>
        </w:rPr>
        <w:t>2</w:t>
      </w:r>
      <w:r w:rsidRPr="001C3040" w:rsidR="00A903A1">
        <w:rPr>
          <w:rFonts w:ascii="Times New Roman" w:hAnsi="Times New Roman" w:eastAsia="Times New Roman" w:cs="Times New Roman"/>
          <w:b/>
          <w:caps/>
          <w:lang w:eastAsia="lt-LT"/>
        </w:rPr>
        <w:t xml:space="preserve"> STRAIPSNIAIS IR 2 PRIEDU ĮSTATYMO PROJEKTO NR. XIIIP-4637“ </w:t>
      </w:r>
      <w:r w:rsidRPr="001C3040" w:rsidR="002F1BC9">
        <w:rPr>
          <w:rFonts w:ascii="Times New Roman" w:hAnsi="Times New Roman" w:eastAsia="Times New Roman" w:cs="Times New Roman"/>
          <w:b/>
          <w:caps/>
          <w:lang w:eastAsia="lt-LT"/>
        </w:rPr>
        <w:t>projekto</w:t>
      </w:r>
    </w:p>
    <w:p w:rsidRPr="001C3040" w:rsidR="00B36A4C" w:rsidRDefault="00B36A4C" w14:paraId="1BABC2EA" w14:textId="0BF73D34">
      <w:pPr>
        <w:spacing w:after="0" w:line="240" w:lineRule="auto"/>
        <w:ind w:left="426" w:hanging="142"/>
        <w:jc w:val="center"/>
        <w:rPr>
          <w:rFonts w:ascii="Times New Roman" w:hAnsi="Times New Roman" w:eastAsia="Times New Roman" w:cs="Times New Roman"/>
          <w:b/>
          <w:bCs/>
          <w:caps/>
          <w:lang w:eastAsia="lt-LT"/>
        </w:rPr>
      </w:pPr>
      <w:r w:rsidRPr="001C3040">
        <w:rPr>
          <w:rFonts w:ascii="Times New Roman" w:hAnsi="Times New Roman" w:eastAsia="Times New Roman" w:cs="Times New Roman"/>
          <w:b/>
          <w:bCs/>
          <w:caps/>
          <w:lang w:eastAsia="lt-LT"/>
        </w:rPr>
        <w:t>DERINIMO PAŽYMA</w:t>
      </w:r>
    </w:p>
    <w:p w:rsidRPr="001C3040" w:rsidR="00100822" w:rsidRDefault="00100822" w14:paraId="26F3A69E" w14:textId="77777777">
      <w:pPr>
        <w:spacing w:after="0" w:line="240" w:lineRule="auto"/>
        <w:ind w:left="426" w:hanging="142"/>
        <w:jc w:val="center"/>
        <w:rPr>
          <w:rFonts w:ascii="Times New Roman" w:hAnsi="Times New Roman" w:eastAsia="Times New Roman" w:cs="Times New Roman"/>
          <w:b/>
          <w:bCs/>
          <w:caps/>
          <w:lang w:eastAsia="lt-LT"/>
        </w:rPr>
      </w:pPr>
    </w:p>
    <w:tbl>
      <w:tblPr>
        <w:tblStyle w:val="Lentelstinklelis"/>
        <w:tblW w:w="0" w:type="auto"/>
        <w:tblLook w:val="04A0" w:firstRow="1" w:lastRow="0" w:firstColumn="1" w:lastColumn="0" w:noHBand="0" w:noVBand="1"/>
      </w:tblPr>
      <w:tblGrid>
        <w:gridCol w:w="540"/>
        <w:gridCol w:w="1470"/>
        <w:gridCol w:w="4381"/>
        <w:gridCol w:w="4229"/>
      </w:tblGrid>
      <w:tr w:rsidRPr="001C3040" w:rsidR="00100822" w:rsidTr="2B281452" w14:paraId="2DBC97B7" w14:textId="77777777">
        <w:tc>
          <w:tcPr>
            <w:tcW w:w="540" w:type="dxa"/>
            <w:tcMar/>
          </w:tcPr>
          <w:p w:rsidRPr="001C3040" w:rsidR="0094200C" w:rsidRDefault="0094200C" w14:paraId="3ED3E37F" w14:textId="77777777">
            <w:pPr>
              <w:rPr>
                <w:rFonts w:ascii="Times New Roman" w:hAnsi="Times New Roman" w:cs="Times New Roman"/>
                <w:b/>
                <w:bCs/>
              </w:rPr>
            </w:pPr>
            <w:r w:rsidRPr="001C3040">
              <w:rPr>
                <w:rFonts w:ascii="Times New Roman" w:hAnsi="Times New Roman" w:cs="Times New Roman"/>
                <w:b/>
                <w:bCs/>
              </w:rPr>
              <w:t xml:space="preserve">Eil. </w:t>
            </w:r>
          </w:p>
          <w:p w:rsidRPr="001C3040" w:rsidR="0094200C" w:rsidRDefault="0094200C" w14:paraId="78BC0E41" w14:textId="650BF24D">
            <w:pPr>
              <w:rPr>
                <w:rFonts w:ascii="Times New Roman" w:hAnsi="Times New Roman" w:cs="Times New Roman"/>
                <w:b/>
                <w:bCs/>
              </w:rPr>
            </w:pPr>
            <w:r w:rsidRPr="001C3040">
              <w:rPr>
                <w:rFonts w:ascii="Times New Roman" w:hAnsi="Times New Roman" w:cs="Times New Roman"/>
                <w:b/>
                <w:bCs/>
              </w:rPr>
              <w:t xml:space="preserve">Nr. </w:t>
            </w:r>
          </w:p>
        </w:tc>
        <w:tc>
          <w:tcPr>
            <w:tcW w:w="1470" w:type="dxa"/>
            <w:tcMar/>
          </w:tcPr>
          <w:p w:rsidRPr="001C3040" w:rsidR="0094200C" w:rsidRDefault="0094200C" w14:paraId="27614275" w14:textId="57A1E431">
            <w:pPr>
              <w:rPr>
                <w:rFonts w:ascii="Times New Roman" w:hAnsi="Times New Roman" w:cs="Times New Roman"/>
              </w:rPr>
            </w:pPr>
            <w:r w:rsidRPr="001C3040">
              <w:rPr>
                <w:rFonts w:ascii="Times New Roman" w:hAnsi="Times New Roman" w:cs="Times New Roman"/>
                <w:b/>
                <w:bCs/>
              </w:rPr>
              <w:t>Institucijos pavadinimas, rašto data ir numeris</w:t>
            </w:r>
          </w:p>
        </w:tc>
        <w:tc>
          <w:tcPr>
            <w:tcW w:w="4381" w:type="dxa"/>
            <w:tcMar/>
          </w:tcPr>
          <w:p w:rsidRPr="001C3040" w:rsidR="0094200C" w:rsidP="001E2FA6" w:rsidRDefault="0094200C" w14:paraId="593F45DD" w14:textId="77777777">
            <w:pPr>
              <w:jc w:val="center"/>
              <w:rPr>
                <w:rFonts w:ascii="Times New Roman" w:hAnsi="Times New Roman" w:cs="Times New Roman"/>
                <w:b/>
                <w:bCs/>
              </w:rPr>
            </w:pPr>
          </w:p>
          <w:p w:rsidRPr="001C3040" w:rsidR="0094200C" w:rsidP="001E2FA6" w:rsidRDefault="0094200C" w14:paraId="6B681470" w14:textId="77777777">
            <w:pPr>
              <w:jc w:val="center"/>
              <w:rPr>
                <w:rFonts w:ascii="Times New Roman" w:hAnsi="Times New Roman" w:cs="Times New Roman"/>
              </w:rPr>
            </w:pPr>
            <w:r w:rsidRPr="001C3040">
              <w:rPr>
                <w:rFonts w:ascii="Times New Roman" w:hAnsi="Times New Roman" w:cs="Times New Roman"/>
                <w:b/>
                <w:bCs/>
              </w:rPr>
              <w:t>Pastabos ir pasiūlymai</w:t>
            </w:r>
          </w:p>
        </w:tc>
        <w:tc>
          <w:tcPr>
            <w:tcW w:w="4229" w:type="dxa"/>
            <w:tcMar/>
          </w:tcPr>
          <w:p w:rsidRPr="001C3040" w:rsidR="0094200C" w:rsidP="001E2FA6" w:rsidRDefault="0094200C" w14:paraId="12E4EEC6" w14:textId="77777777">
            <w:pPr>
              <w:jc w:val="center"/>
              <w:rPr>
                <w:rFonts w:ascii="Times New Roman" w:hAnsi="Times New Roman" w:cs="Times New Roman"/>
                <w:b/>
                <w:bCs/>
              </w:rPr>
            </w:pPr>
          </w:p>
          <w:p w:rsidRPr="001C3040" w:rsidR="0094200C" w:rsidP="001E2FA6" w:rsidRDefault="0094200C" w14:paraId="73A8CC90" w14:textId="77777777">
            <w:pPr>
              <w:jc w:val="center"/>
              <w:rPr>
                <w:rFonts w:ascii="Times New Roman" w:hAnsi="Times New Roman" w:cs="Times New Roman"/>
              </w:rPr>
            </w:pPr>
            <w:r w:rsidRPr="001C3040">
              <w:rPr>
                <w:rFonts w:ascii="Times New Roman" w:hAnsi="Times New Roman" w:cs="Times New Roman"/>
                <w:b/>
                <w:bCs/>
              </w:rPr>
              <w:t>Žyma apie pastabas ir pasiūlymus, į kuriuos neatsižvelgta arba atsižvelgta iš dalies</w:t>
            </w:r>
          </w:p>
        </w:tc>
      </w:tr>
      <w:tr w:rsidRPr="001C3040" w:rsidR="00100822" w:rsidTr="2B281452" w14:paraId="336B1204" w14:textId="77777777">
        <w:tc>
          <w:tcPr>
            <w:tcW w:w="540" w:type="dxa"/>
            <w:tcMar/>
          </w:tcPr>
          <w:p w:rsidRPr="001C3040" w:rsidR="0094200C" w:rsidP="000E283F" w:rsidRDefault="0094200C" w14:paraId="649CA024" w14:textId="5A02AF44">
            <w:pPr>
              <w:rPr>
                <w:rFonts w:ascii="Times New Roman" w:hAnsi="Times New Roman" w:cs="Times New Roman"/>
              </w:rPr>
            </w:pPr>
            <w:r w:rsidRPr="001C3040">
              <w:rPr>
                <w:rFonts w:ascii="Times New Roman" w:hAnsi="Times New Roman" w:cs="Times New Roman"/>
              </w:rPr>
              <w:t>1.</w:t>
            </w:r>
          </w:p>
        </w:tc>
        <w:tc>
          <w:tcPr>
            <w:tcW w:w="1470" w:type="dxa"/>
            <w:tcMar/>
          </w:tcPr>
          <w:p w:rsidRPr="001C3040" w:rsidR="0094200C" w:rsidP="006B16C0" w:rsidRDefault="0094200C" w14:paraId="3715146F" w14:textId="3FC3ABF2">
            <w:pPr>
              <w:rPr>
                <w:rFonts w:ascii="Times New Roman" w:hAnsi="Times New Roman" w:cs="Times New Roman"/>
              </w:rPr>
            </w:pPr>
            <w:r w:rsidRPr="001C3040">
              <w:rPr>
                <w:rFonts w:ascii="Times New Roman" w:hAnsi="Times New Roman" w:cs="Times New Roman"/>
              </w:rPr>
              <w:t>Lietuvos Respublikos susisiekimo ministerijos 2021 m. rugsėjo 3 d. raštas Nr. 2-3728</w:t>
            </w:r>
          </w:p>
        </w:tc>
        <w:tc>
          <w:tcPr>
            <w:tcW w:w="4381" w:type="dxa"/>
            <w:tcMar/>
          </w:tcPr>
          <w:p w:rsidRPr="001C3040" w:rsidR="0094200C" w:rsidP="00A758F5" w:rsidRDefault="0094200C" w14:paraId="3EBDAEB5" w14:textId="77777777">
            <w:pPr>
              <w:jc w:val="both"/>
              <w:rPr>
                <w:rFonts w:ascii="Times New Roman" w:hAnsi="Times New Roman" w:cs="Times New Roman"/>
              </w:rPr>
            </w:pPr>
            <w:r w:rsidRPr="001C3040">
              <w:rPr>
                <w:rFonts w:ascii="Times New Roman" w:hAnsi="Times New Roman" w:cs="Times New Roman"/>
                <w:bCs/>
                <w:iCs/>
              </w:rPr>
              <w:t xml:space="preserve">Atkreipiame dėmesį, kad </w:t>
            </w:r>
            <w:r w:rsidRPr="001C3040">
              <w:rPr>
                <w:rFonts w:ascii="Times New Roman" w:hAnsi="Times New Roman" w:cs="Times New Roman"/>
              </w:rPr>
              <w:t xml:space="preserve">Direktyva 2003/59/EB nereikalauja, kad joje reglamentuojamas profesionalių vairuotojų mokymas būtų laikomas profesiniu mokymu, neįpareigoja Europos Sąjungos valstybių narių taikyti konkretų mokymo formatą, bet akcentuoja minimalų žinių lygį. Direktyva 2003/59/EB, kaip nurodoma jos aiškinamajame memorandume, suteikia valstybėms narėms galimybę </w:t>
            </w:r>
            <w:r w:rsidRPr="001C3040">
              <w:rPr>
                <w:rFonts w:ascii="Times New Roman" w:hAnsi="Times New Roman" w:cs="Times New Roman"/>
                <w:b/>
              </w:rPr>
              <w:t>labai lanksčiai spręsti</w:t>
            </w:r>
            <w:r w:rsidRPr="001C3040">
              <w:rPr>
                <w:rFonts w:ascii="Times New Roman" w:hAnsi="Times New Roman" w:cs="Times New Roman"/>
              </w:rPr>
              <w:t xml:space="preserve">, kaip įgyvendinti direktyvą, pavyzdžiui, tai pasakytina apie vairuotojų mokymo turinį, administracines procedūras ir mokymo sistemos struktūrą. Todėl manome, kad Direktyva 2003/59/EB niekaip neriboja galimybės taikyti Įstatymo projekte pasiūlytą C1, C1E, C, CE, D1, D1E, D, DE kategorijų motorinių transporto priemonių, jų junginių su priekabomis vairuotojų, ketinančių verstis ir besiverčiančių komerciniu krovinių arba keleivių vežimu, mokymo (toliau – profesionalių vairuotojų mokymas) modelį. Susisiekimo ministerijos nuomone, Nutarimo projekto 1.1. papunktyje pirmos pastraipos paskutiniame sakinyje pateikiamas teiginys formuojamas klaidingai interpretuojant Direktyvos 2003/59/EB nuostatas ir neatitinka jos turinio ir esmės.        </w:t>
            </w:r>
          </w:p>
        </w:tc>
        <w:tc>
          <w:tcPr>
            <w:tcW w:w="4229" w:type="dxa"/>
            <w:tcMar/>
          </w:tcPr>
          <w:p w:rsidRPr="001C3040" w:rsidR="0094200C" w:rsidP="000E283F" w:rsidRDefault="0094200C" w14:paraId="0DE41B11" w14:textId="77777777">
            <w:pPr>
              <w:jc w:val="both"/>
              <w:rPr>
                <w:rFonts w:ascii="Times New Roman" w:hAnsi="Times New Roman" w:cs="Times New Roman"/>
                <w:b/>
              </w:rPr>
            </w:pPr>
            <w:r w:rsidRPr="001C3040">
              <w:rPr>
                <w:rFonts w:ascii="Times New Roman" w:hAnsi="Times New Roman" w:cs="Times New Roman"/>
                <w:b/>
              </w:rPr>
              <w:t xml:space="preserve">Neatsižvelgta. </w:t>
            </w:r>
          </w:p>
          <w:p w:rsidRPr="001C3040" w:rsidR="0094200C" w:rsidP="000E283F" w:rsidRDefault="0094200C" w14:paraId="02EF0F54" w14:textId="0F915709">
            <w:pPr>
              <w:jc w:val="both"/>
              <w:rPr>
                <w:rFonts w:ascii="Times New Roman" w:hAnsi="Times New Roman" w:cs="Times New Roman"/>
              </w:rPr>
            </w:pPr>
            <w:r w:rsidRPr="001C3040">
              <w:rPr>
                <w:rFonts w:ascii="Times New Roman" w:hAnsi="Times New Roman" w:cs="Times New Roman"/>
              </w:rPr>
              <w:t xml:space="preserve">Direktyvos (ES) 2018/645 priedo 1 punktas, kuriuo keičiamas Direktyvos 2003/59/EB 1 priedas, nurodo, kad ,,minimalus kvalifikacijos lygis turi būti panašus bent į Europos kvalifikacijų sąrangos 2 lygmenį, nustatytą 2008 m. balandžio 23 d. Europos Parlamento ir Tarybos rekomendacijos (dėl Europos mokymosi visą gyvenimą kvalifikacijų sąrangos kūrimo) II priede. Pažymėtina, kad Europos kvalifikacijų sąrangos 2 lygmuo atitinka Lietuvos kvalifikacijų sandaros, patvirtintos Lietuvos Respublikos Vyriausybės </w:t>
            </w:r>
            <w:r w:rsidRPr="001C3040">
              <w:rPr>
                <w:rFonts w:ascii="Times New Roman" w:hAnsi="Times New Roman" w:cs="Times New Roman"/>
                <w:bCs/>
                <w:iCs/>
              </w:rPr>
              <w:t>2010 m. gegužės 4</w:t>
            </w:r>
            <w:r w:rsidR="001C3040">
              <w:rPr>
                <w:rFonts w:ascii="Times New Roman" w:hAnsi="Times New Roman" w:cs="Times New Roman"/>
                <w:bCs/>
                <w:iCs/>
              </w:rPr>
              <w:t> </w:t>
            </w:r>
            <w:r w:rsidRPr="001C3040">
              <w:rPr>
                <w:rFonts w:ascii="Times New Roman" w:hAnsi="Times New Roman" w:cs="Times New Roman"/>
                <w:bCs/>
                <w:iCs/>
              </w:rPr>
              <w:t xml:space="preserve">d. nutarimu Nr. 535 „Dėl Lietuvos kvalifikacijų sandaros aprašo patvirtinimo“, 2 kvalifikacijos lygį, </w:t>
            </w:r>
            <w:r w:rsidRPr="001C3040">
              <w:rPr>
                <w:rFonts w:ascii="Times New Roman" w:hAnsi="Times New Roman" w:cs="Times New Roman"/>
              </w:rPr>
              <w:t xml:space="preserve">o šio lygio kvalifikacija darbui gali būti suteikiama mokantis pagal profesinio mokymo programas, todėl </w:t>
            </w:r>
            <w:r w:rsidRPr="001C3040" w:rsidR="00AD355F">
              <w:rPr>
                <w:rFonts w:ascii="Times New Roman" w:hAnsi="Times New Roman" w:cs="Times New Roman"/>
              </w:rPr>
              <w:t xml:space="preserve">Lietuvos Respublikos švietimo, mokslo ir sporto </w:t>
            </w:r>
            <w:r w:rsidRPr="001C3040">
              <w:rPr>
                <w:rFonts w:ascii="Times New Roman" w:hAnsi="Times New Roman" w:cs="Times New Roman"/>
              </w:rPr>
              <w:t>ministerija</w:t>
            </w:r>
            <w:r w:rsidRPr="001C3040" w:rsidR="00AD355F">
              <w:rPr>
                <w:rFonts w:ascii="Times New Roman" w:hAnsi="Times New Roman" w:cs="Times New Roman"/>
              </w:rPr>
              <w:t xml:space="preserve"> (toliau – </w:t>
            </w:r>
            <w:r w:rsidRPr="006B16C0" w:rsidR="00AD355F">
              <w:rPr>
                <w:rFonts w:ascii="Times New Roman" w:hAnsi="Times New Roman" w:cs="Times New Roman"/>
              </w:rPr>
              <w:t>ministerija</w:t>
            </w:r>
            <w:r w:rsidRPr="001C3040" w:rsidR="00AD355F">
              <w:rPr>
                <w:rFonts w:ascii="Times New Roman" w:hAnsi="Times New Roman" w:cs="Times New Roman"/>
              </w:rPr>
              <w:t>)</w:t>
            </w:r>
            <w:r w:rsidRPr="001C3040">
              <w:rPr>
                <w:rFonts w:ascii="Times New Roman" w:hAnsi="Times New Roman" w:cs="Times New Roman"/>
              </w:rPr>
              <w:t xml:space="preserve"> laikosi nuomonės, kad profesionalių vairuotojų mokymas yra ir turi būti priskiriamas profesiniam mokymui. </w:t>
            </w:r>
          </w:p>
          <w:p w:rsidRPr="001C3040" w:rsidR="002D43BB" w:rsidP="2B281452" w:rsidRDefault="002D43BB" w14:paraId="282BCD2D" w14:noSpellErr="1" w14:textId="56B6969C">
            <w:pPr>
              <w:jc w:val="both"/>
              <w:rPr>
                <w:rFonts w:ascii="Times New Roman" w:hAnsi="Times New Roman" w:cs="Times New Roman"/>
              </w:rPr>
            </w:pPr>
            <w:r w:rsidRPr="2B281452" w:rsidR="2B281452">
              <w:rPr>
                <w:rFonts w:ascii="Times New Roman" w:hAnsi="Times New Roman" w:cs="Times New Roman"/>
              </w:rPr>
              <w:t xml:space="preserve">Kadangi Direktyva 2003/59/EB, kaip nurodoma jos aiškinamajame memorandume, suteikia valstybėms narėms galimybę labai lanksčiai spręsti, kaip ją įgyvendinti, todėl, ministerijos nuomone, </w:t>
            </w:r>
            <w:r w:rsidRPr="2B281452" w:rsidR="2B281452">
              <w:rPr>
                <w:rFonts w:ascii="Times New Roman" w:hAnsi="Times New Roman" w:cs="Times New Roman"/>
              </w:rPr>
              <w:t xml:space="preserve">tik </w:t>
            </w:r>
            <w:r w:rsidRPr="2B281452" w:rsidR="2B281452">
              <w:rPr>
                <w:rFonts w:ascii="Times New Roman" w:hAnsi="Times New Roman" w:cs="Times New Roman"/>
              </w:rPr>
              <w:t xml:space="preserve">dėl vairuotojų mokymo turinio, administracinių procedūrų ir mokymo sistemos struktūros keisti </w:t>
            </w:r>
            <w:r w:rsidRPr="2B281452" w:rsidR="2B281452">
              <w:rPr>
                <w:rFonts w:ascii="Times New Roman" w:hAnsi="Times New Roman" w:cs="Times New Roman"/>
              </w:rPr>
              <w:t>Lietuvos Respublikos s</w:t>
            </w:r>
            <w:r w:rsidRPr="2B281452" w:rsidR="2B281452">
              <w:rPr>
                <w:rFonts w:ascii="Times New Roman" w:hAnsi="Times New Roman" w:cs="Times New Roman"/>
              </w:rPr>
              <w:t xml:space="preserve">augaus eismo automobilių keliais įstatymą </w:t>
            </w:r>
            <w:r w:rsidRPr="2B281452" w:rsidR="2B281452">
              <w:rPr>
                <w:rFonts w:ascii="Times New Roman" w:hAnsi="Times New Roman" w:cs="Times New Roman"/>
              </w:rPr>
              <w:t xml:space="preserve">(toliau – Įstatymas) </w:t>
            </w:r>
            <w:r w:rsidRPr="2B281452" w:rsidR="2B281452">
              <w:rPr>
                <w:rFonts w:ascii="Times New Roman" w:hAnsi="Times New Roman" w:cs="Times New Roman"/>
              </w:rPr>
              <w:t>netikslinga</w:t>
            </w:r>
            <w:r w:rsidRPr="2B281452" w:rsidR="2B281452">
              <w:rPr>
                <w:rFonts w:ascii="Times New Roman" w:hAnsi="Times New Roman" w:cs="Times New Roman"/>
              </w:rPr>
              <w:t>.</w:t>
            </w:r>
          </w:p>
        </w:tc>
      </w:tr>
      <w:tr w:rsidRPr="001C3040" w:rsidR="00100822" w:rsidTr="2B281452" w14:paraId="6E895604" w14:textId="77777777">
        <w:trPr>
          <w:trHeight w:val="516"/>
        </w:trPr>
        <w:tc>
          <w:tcPr>
            <w:tcW w:w="540" w:type="dxa"/>
            <w:tcMar/>
          </w:tcPr>
          <w:p w:rsidRPr="001C3040" w:rsidR="0094200C" w:rsidRDefault="0094200C" w14:paraId="27210EEA" w14:textId="15BB5710">
            <w:pPr>
              <w:rPr>
                <w:rFonts w:ascii="Times New Roman" w:hAnsi="Times New Roman" w:cs="Times New Roman"/>
              </w:rPr>
            </w:pPr>
            <w:r w:rsidRPr="001C3040">
              <w:rPr>
                <w:rFonts w:ascii="Times New Roman" w:hAnsi="Times New Roman" w:cs="Times New Roman"/>
              </w:rPr>
              <w:t>2.</w:t>
            </w:r>
          </w:p>
        </w:tc>
        <w:tc>
          <w:tcPr>
            <w:tcW w:w="1470" w:type="dxa"/>
            <w:tcMar/>
          </w:tcPr>
          <w:p w:rsidRPr="001C3040" w:rsidR="0094200C" w:rsidRDefault="0094200C" w14:paraId="2D9EE5B1" w14:textId="67B85EFD">
            <w:pPr>
              <w:rPr>
                <w:rFonts w:ascii="Times New Roman" w:hAnsi="Times New Roman" w:cs="Times New Roman"/>
              </w:rPr>
            </w:pPr>
          </w:p>
        </w:tc>
        <w:tc>
          <w:tcPr>
            <w:tcW w:w="4381" w:type="dxa"/>
            <w:tcMar/>
          </w:tcPr>
          <w:p w:rsidRPr="001C3040" w:rsidR="0094200C" w:rsidP="000F3017" w:rsidRDefault="0094200C" w14:paraId="43DE80A8" w14:textId="77777777">
            <w:pPr>
              <w:tabs>
                <w:tab w:val="left" w:pos="0"/>
                <w:tab w:val="left" w:pos="1276"/>
              </w:tabs>
              <w:ind w:left="-106"/>
              <w:jc w:val="both"/>
              <w:rPr>
                <w:rFonts w:ascii="Times New Roman" w:hAnsi="Times New Roman" w:cs="Times New Roman"/>
              </w:rPr>
            </w:pPr>
            <w:r w:rsidRPr="001C3040">
              <w:rPr>
                <w:rFonts w:ascii="Times New Roman" w:hAnsi="Times New Roman" w:eastAsia="Calibri" w:cs="Times New Roman"/>
              </w:rPr>
              <w:t>Direktyva 2003/59/EB</w:t>
            </w:r>
            <w:r w:rsidRPr="001C3040">
              <w:rPr>
                <w:rFonts w:ascii="Times New Roman" w:hAnsi="Times New Roman" w:cs="Times New Roman"/>
              </w:rPr>
              <w:t xml:space="preserve"> yra ne švietimo, o transporto srities direktyva, reglamentuojanti profesionalių vairuotojų mokymą. Šios direktyvos nuostatų perkėlimas į </w:t>
            </w:r>
            <w:r w:rsidRPr="001C3040">
              <w:rPr>
                <w:rFonts w:ascii="Times New Roman" w:hAnsi="Times New Roman" w:eastAsia="Calibri" w:cs="Times New Roman"/>
              </w:rPr>
              <w:t xml:space="preserve">Lietuvos Respublikos </w:t>
            </w:r>
            <w:r w:rsidRPr="001C3040">
              <w:rPr>
                <w:rFonts w:ascii="Times New Roman" w:hAnsi="Times New Roman" w:cs="Times New Roman"/>
              </w:rPr>
              <w:t>saugaus eismo automobilių keliais įstatymą</w:t>
            </w:r>
            <w:r w:rsidRPr="001C3040">
              <w:rPr>
                <w:rFonts w:ascii="Times New Roman" w:hAnsi="Times New Roman" w:eastAsia="Calibri" w:cs="Times New Roman"/>
              </w:rPr>
              <w:t xml:space="preserve"> </w:t>
            </w:r>
            <w:r w:rsidRPr="001C3040">
              <w:rPr>
                <w:rFonts w:ascii="Times New Roman" w:hAnsi="Times New Roman" w:cs="Times New Roman"/>
              </w:rPr>
              <w:t xml:space="preserve">(toliau – Įstatymas) nedubliuoja ir neperkuria profesinio mokymo sistemos Lietuvoje, nedaro jokios įtakos modulinių </w:t>
            </w:r>
            <w:r w:rsidRPr="001C3040">
              <w:rPr>
                <w:rFonts w:ascii="Times New Roman" w:hAnsi="Times New Roman" w:cs="Times New Roman"/>
              </w:rPr>
              <w:lastRenderedPageBreak/>
              <w:t xml:space="preserve">programų sandarai ar kvalifikacijų įgijimo Lietuvoje principams. Priešingai nei nurodoma Nutarimo projekto 1.1 papunkčio antroje pastraipoje Įstatymo projektas nesukuria alternatyvios švietimo sistemos ir juo labiau negriauna esamos. </w:t>
            </w:r>
          </w:p>
          <w:p w:rsidRPr="001C3040" w:rsidR="0094200C" w:rsidP="009F3C95" w:rsidRDefault="0094200C" w14:paraId="49FA8034" w14:textId="77777777">
            <w:pPr>
              <w:tabs>
                <w:tab w:val="left" w:pos="0"/>
                <w:tab w:val="left" w:pos="1276"/>
              </w:tabs>
              <w:ind w:firstLine="851"/>
              <w:jc w:val="both"/>
              <w:rPr>
                <w:rFonts w:ascii="Times New Roman" w:hAnsi="Times New Roman" w:cs="Times New Roman"/>
              </w:rPr>
            </w:pPr>
            <w:r w:rsidRPr="001C3040">
              <w:rPr>
                <w:rFonts w:ascii="Times New Roman" w:hAnsi="Times New Roman" w:cs="Times New Roman"/>
              </w:rPr>
              <w:t>Atkreiptinas dėmesys į tai, kad Įstatymo 1 straipsnyje nustatyta, kad viena iš šio Įstatymo paskirčių yra nustatyti eismo dalyvių (tarp jų – vairuotojų) mokymą. Įstatymas nustato daugybę transporto priemonių vairuotojams taikomų mokymų – vairuotojų mokymas (Įstatymo 2 straipsnio 94 dalis, 10 straipsnio 1 dalies 9 punktas ir kt.), papildomas vairuotojų mokymas (Įstatymo 2 straipsnio 46 dalis, 10 straipsnio 1 dalies 10 ir 12 punktai, 13 straipsnio 15 dalis ir kt.), specialiųjų transporto priemonių vairuotojų mokymas (Įstatymo 2 straipsnio 66 dalis, 10 straipsnio 5 dalies 7 punktas), šeimos narių, siekiančių įgyti teisę vairuoti B kategorijos motorines transporto priemones, mokymas (Įstatymo 10 straipsnio 1 dalies 13 punktas, 21 straipsnio 2 dalis), mokymas teikti pirmąją pagalbą (Įstatymo 10 straipsnio 3 dalies 2 punktas), traktorių ir savaeigių mašinų vairuotojų rengimo ir teisės vairuoti šias transporto priemones mokymas (Įstatymo 10 straipsnio 6 dalies 4 punktas). Pažymėtina, kad pagal Lietuvos Respublikos pavojingųjų krovinių vežimo automobilių, geležinkelių ir vidaus vandenų transportu įstatymo 8 straipsnio 3 dalies 2 punktą Susisiekimo ministerija nustato pavojingųjų krovinių vežimo saugos specialistų mokymo ir egzaminavimo tvarką.</w:t>
            </w:r>
          </w:p>
          <w:p w:rsidRPr="001C3040" w:rsidR="0094200C" w:rsidP="005A65F6" w:rsidRDefault="0094200C" w14:paraId="2A151632" w14:textId="77777777">
            <w:pPr>
              <w:ind w:firstLine="851"/>
              <w:jc w:val="both"/>
              <w:rPr>
                <w:rFonts w:ascii="Times New Roman" w:hAnsi="Times New Roman" w:cs="Times New Roman"/>
              </w:rPr>
            </w:pPr>
            <w:r w:rsidRPr="001C3040">
              <w:rPr>
                <w:rFonts w:ascii="Times New Roman" w:hAnsi="Times New Roman" w:eastAsia="Calibri" w:cs="Times New Roman"/>
              </w:rPr>
              <w:t xml:space="preserve">Išvardyti mokymai, kaip ir profesionalių vairuotojų mokymas, nėra laikytini nauja </w:t>
            </w:r>
            <w:r w:rsidRPr="001C3040">
              <w:rPr>
                <w:rFonts w:ascii="Times New Roman" w:hAnsi="Times New Roman" w:cs="Times New Roman"/>
              </w:rPr>
              <w:t>švietimo rūšimi ir nesukuria alternatyvios švietimo sistemos. D</w:t>
            </w:r>
            <w:r w:rsidRPr="001C3040">
              <w:rPr>
                <w:rFonts w:ascii="Times New Roman" w:hAnsi="Times New Roman" w:eastAsia="Calibri" w:cs="Times New Roman"/>
              </w:rPr>
              <w:t xml:space="preserve">alis išvardytų mokymų kaip atskiras modulis pagal poreikį yra įtraukiami ir galės būti įtraukiami pagal Įstatymo projekte siūlomą modelį į profesinio mokymo programas. </w:t>
            </w:r>
          </w:p>
        </w:tc>
        <w:tc>
          <w:tcPr>
            <w:tcW w:w="4229" w:type="dxa"/>
            <w:tcBorders>
              <w:bottom w:val="single" w:color="auto" w:sz="4" w:space="0"/>
            </w:tcBorders>
            <w:tcMar/>
          </w:tcPr>
          <w:p w:rsidRPr="001C3040" w:rsidR="0094200C" w:rsidP="000E283F" w:rsidRDefault="0094200C" w14:paraId="060144B3" w14:textId="77777777">
            <w:pPr>
              <w:rPr>
                <w:rFonts w:ascii="Times New Roman" w:hAnsi="Times New Roman" w:cs="Times New Roman"/>
                <w:b/>
              </w:rPr>
            </w:pPr>
            <w:r w:rsidRPr="001C3040">
              <w:rPr>
                <w:rFonts w:ascii="Times New Roman" w:hAnsi="Times New Roman" w:cs="Times New Roman"/>
                <w:b/>
              </w:rPr>
              <w:lastRenderedPageBreak/>
              <w:t xml:space="preserve">Neatsižvelgta. </w:t>
            </w:r>
          </w:p>
          <w:p w:rsidRPr="001C3040" w:rsidR="0094200C" w:rsidP="00783A69" w:rsidRDefault="0094200C" w14:paraId="79B533E8" w14:textId="47E79023">
            <w:pPr>
              <w:jc w:val="both"/>
              <w:rPr>
                <w:rFonts w:ascii="Times New Roman" w:hAnsi="Times New Roman" w:cs="Times New Roman"/>
              </w:rPr>
            </w:pPr>
            <w:r w:rsidRPr="001C3040">
              <w:rPr>
                <w:rFonts w:ascii="Times New Roman" w:hAnsi="Times New Roman" w:cs="Times New Roman"/>
              </w:rPr>
              <w:t xml:space="preserve">Iš pateiktų pavyzdžių akivaizdu, kad </w:t>
            </w:r>
            <w:r w:rsidRPr="001C3040" w:rsidR="004B0A83">
              <w:rPr>
                <w:rFonts w:ascii="Times New Roman" w:hAnsi="Times New Roman" w:cs="Times New Roman"/>
              </w:rPr>
              <w:t>Į</w:t>
            </w:r>
            <w:r w:rsidRPr="001C3040">
              <w:rPr>
                <w:rFonts w:ascii="Times New Roman" w:hAnsi="Times New Roman" w:cs="Times New Roman"/>
              </w:rPr>
              <w:t>statymas nustato bendro pobūdžio nuostatas, o poįstatyminiuose teisės aktuose detalizuojama</w:t>
            </w:r>
            <w:r w:rsidRPr="001C3040" w:rsidR="004B0A83">
              <w:rPr>
                <w:rFonts w:ascii="Times New Roman" w:hAnsi="Times New Roman" w:cs="Times New Roman"/>
              </w:rPr>
              <w:t>s</w:t>
            </w:r>
            <w:r w:rsidRPr="001C3040">
              <w:rPr>
                <w:rFonts w:ascii="Times New Roman" w:hAnsi="Times New Roman" w:cs="Times New Roman"/>
              </w:rPr>
              <w:t xml:space="preserve"> ir reglamentuojama</w:t>
            </w:r>
            <w:r w:rsidRPr="001C3040" w:rsidR="004B0A83">
              <w:rPr>
                <w:rFonts w:ascii="Times New Roman" w:hAnsi="Times New Roman" w:cs="Times New Roman"/>
              </w:rPr>
              <w:t>s</w:t>
            </w:r>
            <w:r w:rsidRPr="001C3040">
              <w:rPr>
                <w:rFonts w:ascii="Times New Roman" w:hAnsi="Times New Roman" w:cs="Times New Roman"/>
              </w:rPr>
              <w:t xml:space="preserve"> jų įgyvendinimas, pvz.</w:t>
            </w:r>
            <w:r w:rsidR="001C3040">
              <w:rPr>
                <w:rFonts w:ascii="Times New Roman" w:hAnsi="Times New Roman" w:cs="Times New Roman"/>
              </w:rPr>
              <w:t>,</w:t>
            </w:r>
            <w:r w:rsidRPr="001C3040">
              <w:rPr>
                <w:rFonts w:ascii="Times New Roman" w:hAnsi="Times New Roman" w:cs="Times New Roman"/>
              </w:rPr>
              <w:t xml:space="preserve"> reikalavimai vairavimo mokykloms nustatyti Reikalavimų vairavimo mokykloms apraše, patvirtintame Valstybinės </w:t>
            </w:r>
            <w:r w:rsidRPr="001C3040">
              <w:rPr>
                <w:rFonts w:ascii="Times New Roman" w:hAnsi="Times New Roman" w:cs="Times New Roman"/>
              </w:rPr>
              <w:lastRenderedPageBreak/>
              <w:t xml:space="preserve">kelių transporto inspekcijos prie </w:t>
            </w:r>
            <w:r w:rsidRPr="001C3040" w:rsidR="00C20CBD">
              <w:rPr>
                <w:rFonts w:ascii="Times New Roman" w:hAnsi="Times New Roman" w:cs="Times New Roman"/>
              </w:rPr>
              <w:t>S</w:t>
            </w:r>
            <w:r w:rsidRPr="001C3040">
              <w:rPr>
                <w:rFonts w:ascii="Times New Roman" w:hAnsi="Times New Roman" w:cs="Times New Roman"/>
              </w:rPr>
              <w:t>usisiekimo ministerijos viršininko 2014 m. balandžio 30 d. įsakymu Nr. 2B</w:t>
            </w:r>
            <w:r w:rsidR="001C3040">
              <w:rPr>
                <w:rFonts w:ascii="Times New Roman" w:hAnsi="Times New Roman" w:cs="Times New Roman"/>
              </w:rPr>
              <w:t>-</w:t>
            </w:r>
            <w:r w:rsidRPr="001C3040">
              <w:rPr>
                <w:rFonts w:ascii="Times New Roman" w:hAnsi="Times New Roman" w:cs="Times New Roman"/>
              </w:rPr>
              <w:t>85</w:t>
            </w:r>
            <w:r w:rsidRPr="001C3040" w:rsidR="004B0A83">
              <w:rPr>
                <w:rFonts w:ascii="Times New Roman" w:hAnsi="Times New Roman" w:cs="Times New Roman"/>
              </w:rPr>
              <w:t xml:space="preserve"> „Dėl</w:t>
            </w:r>
            <w:r w:rsidRPr="001C3040" w:rsidR="002E00D2">
              <w:rPr>
                <w:rFonts w:ascii="Times New Roman" w:hAnsi="Times New Roman" w:cs="Times New Roman"/>
              </w:rPr>
              <w:t xml:space="preserve"> reikalavimų vairavimo mokykloms aprašo patvirtinimo“</w:t>
            </w:r>
            <w:r w:rsidRPr="001C3040">
              <w:rPr>
                <w:rFonts w:ascii="Times New Roman" w:hAnsi="Times New Roman" w:cs="Times New Roman"/>
              </w:rPr>
              <w:t xml:space="preserve">, vairuotojų mokymo tvarka nustatyta Vairuotojų mokymo tvarkos apraše, patvirtintame Valstybinės kelių transporto inspekcijos prie </w:t>
            </w:r>
            <w:r w:rsidR="001C3040">
              <w:rPr>
                <w:rFonts w:ascii="Times New Roman" w:hAnsi="Times New Roman" w:cs="Times New Roman"/>
              </w:rPr>
              <w:t>S</w:t>
            </w:r>
            <w:r w:rsidRPr="001C3040">
              <w:rPr>
                <w:rFonts w:ascii="Times New Roman" w:hAnsi="Times New Roman" w:cs="Times New Roman"/>
              </w:rPr>
              <w:t xml:space="preserve">usisiekimo ministerijos viršininko 2014 </w:t>
            </w:r>
            <w:r w:rsidR="001C3040">
              <w:rPr>
                <w:rFonts w:ascii="Times New Roman" w:hAnsi="Times New Roman" w:cs="Times New Roman"/>
              </w:rPr>
              <w:t xml:space="preserve">m. </w:t>
            </w:r>
            <w:r w:rsidRPr="001C3040">
              <w:rPr>
                <w:rFonts w:ascii="Times New Roman" w:hAnsi="Times New Roman" w:cs="Times New Roman"/>
              </w:rPr>
              <w:t>balandžio 30</w:t>
            </w:r>
            <w:r w:rsidR="001C3040">
              <w:rPr>
                <w:rFonts w:ascii="Times New Roman" w:hAnsi="Times New Roman" w:cs="Times New Roman"/>
              </w:rPr>
              <w:t> </w:t>
            </w:r>
            <w:r w:rsidRPr="001C3040">
              <w:rPr>
                <w:rFonts w:ascii="Times New Roman" w:hAnsi="Times New Roman" w:cs="Times New Roman"/>
              </w:rPr>
              <w:t>d. įsakymu Nr. 2B</w:t>
            </w:r>
            <w:r w:rsidR="001C3040">
              <w:rPr>
                <w:rFonts w:ascii="Times New Roman" w:hAnsi="Times New Roman" w:cs="Times New Roman"/>
              </w:rPr>
              <w:t>-</w:t>
            </w:r>
            <w:r w:rsidRPr="001C3040">
              <w:rPr>
                <w:rFonts w:ascii="Times New Roman" w:hAnsi="Times New Roman" w:cs="Times New Roman"/>
              </w:rPr>
              <w:t>84</w:t>
            </w:r>
            <w:r w:rsidRPr="001C3040" w:rsidR="008722FB">
              <w:rPr>
                <w:rFonts w:ascii="Times New Roman" w:hAnsi="Times New Roman" w:cs="Times New Roman"/>
              </w:rPr>
              <w:t xml:space="preserve"> „Dėl</w:t>
            </w:r>
            <w:r w:rsidRPr="001C3040" w:rsidR="00CB0240">
              <w:rPr>
                <w:rFonts w:ascii="Times New Roman" w:hAnsi="Times New Roman" w:cs="Times New Roman"/>
              </w:rPr>
              <w:t xml:space="preserve"> </w:t>
            </w:r>
            <w:r w:rsidRPr="001C3040" w:rsidR="009A21C4">
              <w:rPr>
                <w:rFonts w:ascii="Times New Roman" w:hAnsi="Times New Roman" w:cs="Times New Roman"/>
                <w:color w:val="000000"/>
              </w:rPr>
              <w:t>V</w:t>
            </w:r>
            <w:r w:rsidRPr="001C3040" w:rsidR="009A21C4">
              <w:rPr>
                <w:rFonts w:ascii="Times New Roman" w:hAnsi="Times New Roman" w:cs="Times New Roman"/>
              </w:rPr>
              <w:t xml:space="preserve">alstybinės kelių transporto inspekcijos prie </w:t>
            </w:r>
            <w:r w:rsidR="001C3040">
              <w:rPr>
                <w:rFonts w:ascii="Times New Roman" w:hAnsi="Times New Roman" w:cs="Times New Roman"/>
              </w:rPr>
              <w:t>S</w:t>
            </w:r>
            <w:r w:rsidRPr="001C3040" w:rsidR="009A21C4">
              <w:rPr>
                <w:rFonts w:ascii="Times New Roman" w:hAnsi="Times New Roman" w:cs="Times New Roman"/>
              </w:rPr>
              <w:t>usisiekimo ministerijos viršininko 2014 m. balandžio 30</w:t>
            </w:r>
            <w:r w:rsidR="001C3040">
              <w:rPr>
                <w:rFonts w:ascii="Times New Roman" w:hAnsi="Times New Roman" w:cs="Times New Roman"/>
              </w:rPr>
              <w:t> </w:t>
            </w:r>
            <w:r w:rsidRPr="001C3040" w:rsidR="009A21C4">
              <w:rPr>
                <w:rFonts w:ascii="Times New Roman" w:hAnsi="Times New Roman" w:cs="Times New Roman"/>
              </w:rPr>
              <w:t>d. įsakymo Nr. 2B-84 „Dėl Vairuotojų mokymo tvarkos aprašo patvirtinimo“ pakeitimo“</w:t>
            </w:r>
            <w:r w:rsidR="001C3040">
              <w:rPr>
                <w:rFonts w:ascii="Times New Roman" w:hAnsi="Times New Roman" w:cs="Times New Roman"/>
              </w:rPr>
              <w:t xml:space="preserve">, </w:t>
            </w:r>
            <w:r w:rsidRPr="001C3040">
              <w:rPr>
                <w:rFonts w:ascii="Times New Roman" w:hAnsi="Times New Roman" w:cs="Times New Roman"/>
              </w:rPr>
              <w:t xml:space="preserve">ar kaip rašte pateiktame pavyzdyje, kad </w:t>
            </w:r>
            <w:r w:rsidRPr="001C3040" w:rsidR="00E34901">
              <w:rPr>
                <w:rFonts w:ascii="Times New Roman" w:hAnsi="Times New Roman" w:cs="Times New Roman"/>
              </w:rPr>
              <w:t xml:space="preserve">pagal </w:t>
            </w:r>
            <w:r w:rsidRPr="001C3040">
              <w:rPr>
                <w:rFonts w:ascii="Times New Roman" w:hAnsi="Times New Roman" w:cs="Times New Roman"/>
              </w:rPr>
              <w:t>Lietuvos Respublikos pavojingųjų krovinių vežimo automobilių, geležinkelių ir vidaus vandenų transportu įstatymo 8 straipsnio 3 dalies 2 punktą Susisiekimo ministerija nustato pavojingųjų krovinių vežimo saugos specialistų mokymo ir egzaminavimo tvarką, todėl manome, kad  programų rengimas, jų sandar</w:t>
            </w:r>
            <w:r w:rsidR="001C3040">
              <w:rPr>
                <w:rFonts w:ascii="Times New Roman" w:hAnsi="Times New Roman" w:cs="Times New Roman"/>
              </w:rPr>
              <w:t>a</w:t>
            </w:r>
            <w:r w:rsidRPr="001C3040">
              <w:rPr>
                <w:rFonts w:ascii="Times New Roman" w:hAnsi="Times New Roman" w:cs="Times New Roman"/>
              </w:rPr>
              <w:t xml:space="preserve">, kompetencijų vertinimas ir kt. neturėtų būti reguliuojami </w:t>
            </w:r>
            <w:r w:rsidR="001C3040">
              <w:rPr>
                <w:rFonts w:ascii="Times New Roman" w:hAnsi="Times New Roman" w:cs="Times New Roman"/>
              </w:rPr>
              <w:t>Į</w:t>
            </w:r>
            <w:r w:rsidRPr="001C3040">
              <w:rPr>
                <w:rFonts w:ascii="Times New Roman" w:hAnsi="Times New Roman" w:cs="Times New Roman"/>
              </w:rPr>
              <w:t>statymu. Pažymėtina, kad pagal Profesinio mokymo programų rengimo ir registravimo tvarkos aprašą, patvirtintą Lietuvos Respublikos švietimo, mokslo ir sporto ministro 2018 m. lapkričio 22 d. įsakymu Nr. V-925 „Dėl Profesinio mokymo programų rengimo ir registravimo tvarkos aprašo patvirtinimo“, profesinio mokymo programas, esant poreikiui, galima atnaujinti įtraukiant papildomus modulius arba parengti naujas profesinio mokymo programas</w:t>
            </w:r>
            <w:r w:rsidRPr="001C3040" w:rsidR="00F900F5">
              <w:rPr>
                <w:rFonts w:ascii="Times New Roman" w:hAnsi="Times New Roman" w:cs="Times New Roman"/>
              </w:rPr>
              <w:t xml:space="preserve">, kurios savo turiniu atitiktų </w:t>
            </w:r>
            <w:r w:rsidRPr="001C3040" w:rsidR="006612E8">
              <w:rPr>
                <w:rFonts w:ascii="Times New Roman" w:hAnsi="Times New Roman" w:cs="Times New Roman"/>
              </w:rPr>
              <w:t>Direktyvos</w:t>
            </w:r>
            <w:r w:rsidRPr="001C3040" w:rsidR="006612E8">
              <w:rPr>
                <w:rFonts w:ascii="Times New Roman" w:hAnsi="Times New Roman" w:cs="Times New Roman"/>
                <w:bCs/>
              </w:rPr>
              <w:t xml:space="preserve"> (ES) 2018/645 </w:t>
            </w:r>
            <w:r w:rsidRPr="001C3040" w:rsidR="00F900F5">
              <w:rPr>
                <w:rFonts w:ascii="Times New Roman" w:hAnsi="Times New Roman" w:cs="Times New Roman"/>
              </w:rPr>
              <w:t>keliamus reikalavimus mok</w:t>
            </w:r>
            <w:r w:rsidRPr="001C3040" w:rsidR="006612E8">
              <w:rPr>
                <w:rFonts w:ascii="Times New Roman" w:hAnsi="Times New Roman" w:cs="Times New Roman"/>
              </w:rPr>
              <w:t xml:space="preserve">ymo turiniui. </w:t>
            </w:r>
            <w:r w:rsidRPr="001C3040">
              <w:rPr>
                <w:rFonts w:ascii="Times New Roman" w:hAnsi="Times New Roman" w:cs="Times New Roman"/>
              </w:rPr>
              <w:t xml:space="preserve"> </w:t>
            </w:r>
          </w:p>
          <w:p w:rsidRPr="001C3040" w:rsidR="0094200C" w:rsidP="000E283F" w:rsidRDefault="0094200C" w14:paraId="379543EB" w14:textId="77777777">
            <w:pPr>
              <w:rPr>
                <w:rFonts w:ascii="Times New Roman" w:hAnsi="Times New Roman" w:cs="Times New Roman"/>
                <w:b/>
              </w:rPr>
            </w:pPr>
          </w:p>
          <w:p w:rsidRPr="001C3040" w:rsidR="0094200C" w:rsidP="000E283F" w:rsidRDefault="0094200C" w14:paraId="745B52ED" w14:textId="77777777">
            <w:pPr>
              <w:rPr>
                <w:rFonts w:ascii="Times New Roman" w:hAnsi="Times New Roman" w:cs="Times New Roman"/>
                <w:b/>
              </w:rPr>
            </w:pPr>
          </w:p>
        </w:tc>
      </w:tr>
      <w:tr w:rsidRPr="001C3040" w:rsidR="00100822" w:rsidTr="2B281452" w14:paraId="2DA1EADC" w14:textId="77777777">
        <w:tc>
          <w:tcPr>
            <w:tcW w:w="540" w:type="dxa"/>
            <w:tcBorders>
              <w:top w:val="nil"/>
              <w:bottom w:val="single" w:color="auto" w:sz="4" w:space="0"/>
            </w:tcBorders>
            <w:tcMar/>
          </w:tcPr>
          <w:p w:rsidRPr="001C3040" w:rsidR="0094200C" w:rsidRDefault="0094200C" w14:paraId="29EBFE65" w14:textId="15B52C93">
            <w:r w:rsidRPr="001C3040">
              <w:lastRenderedPageBreak/>
              <w:t>3.</w:t>
            </w:r>
          </w:p>
        </w:tc>
        <w:tc>
          <w:tcPr>
            <w:tcW w:w="1470" w:type="dxa"/>
            <w:tcBorders>
              <w:top w:val="nil"/>
              <w:bottom w:val="single" w:color="auto" w:sz="4" w:space="0"/>
            </w:tcBorders>
            <w:tcMar/>
          </w:tcPr>
          <w:p w:rsidRPr="001C3040" w:rsidR="0094200C" w:rsidRDefault="0094200C" w14:paraId="25B5C47A" w14:textId="3A45FC47"/>
        </w:tc>
        <w:tc>
          <w:tcPr>
            <w:tcW w:w="4381" w:type="dxa"/>
            <w:tcMar/>
          </w:tcPr>
          <w:p w:rsidRPr="001C3040" w:rsidR="0094200C" w:rsidP="00783A69" w:rsidRDefault="0094200C" w14:paraId="493F3AE3" w14:textId="77777777">
            <w:pPr>
              <w:jc w:val="both"/>
              <w:rPr>
                <w:rFonts w:ascii="Times New Roman" w:hAnsi="Times New Roman" w:cs="Times New Roman"/>
                <w:bCs/>
              </w:rPr>
            </w:pPr>
            <w:r w:rsidRPr="001C3040">
              <w:rPr>
                <w:rFonts w:ascii="Times New Roman" w:hAnsi="Times New Roman" w:cs="Times New Roman"/>
              </w:rPr>
              <w:t xml:space="preserve">Šiuo metu reikalavimai profesionalių vairuotojų mokymą vykdantiems mokymo centrams ir jų darbuotojams nustatyti mokymo programose, o </w:t>
            </w:r>
            <w:r w:rsidRPr="001C3040">
              <w:rPr>
                <w:rFonts w:ascii="Times New Roman" w:hAnsi="Times New Roman" w:cs="Times New Roman"/>
                <w:bCs/>
              </w:rPr>
              <w:t>profesionalių</w:t>
            </w:r>
            <w:r w:rsidRPr="001C3040">
              <w:rPr>
                <w:rFonts w:ascii="Times New Roman" w:hAnsi="Times New Roman" w:cs="Times New Roman"/>
              </w:rPr>
              <w:t xml:space="preserve"> vairuotojų mokymo reikalavimų taikymas ir išimtys nustatytos C1, C1E, C, CE, D1, D1E, D, DE kategorijų motorinių transporto priemonių vairuotojų mokymo pradinei profesinei kvalifikacijai įgyti ir vairuotojų periodinio profesinio mokymo tvarkos apraše. Lietuvos Respublikos Konstitucinis Teismas ne kartą yra pažymėjęs (pavyzdžiui, 2009 m. birželio 22 d., 2013 m. lapkričio 6 d., 2015 m. gegužės 26 d., 2018 m. gegužės 24 d. nutarimai), jog konstitucinis teisinės valstybės principas </w:t>
            </w:r>
            <w:r w:rsidRPr="001C3040">
              <w:rPr>
                <w:rFonts w:ascii="Times New Roman" w:hAnsi="Times New Roman" w:cs="Times New Roman"/>
              </w:rPr>
              <w:lastRenderedPageBreak/>
              <w:t>suponuoja visų teisės aktų hierarchiją ir neleidžia poįstatyminiais teisės aktais reguliuoti santykių, kurie turi būti reguliuojami tik įstatymu. Esminės ūkinės veiklos sąlygos yra viena iš tokių santykių sričių. Taigi, pagal Lietuvos Respublikos Konstituciją riboti ūkinės veiklos laisvę galima, jeigu tai daroma įstatymu (pavyzdžiui, Konstitucinio Teismo 2018 m. gegužės 24 d. nutarimas). Atsižvelgiant į tai, darytina išvada, kad esminiai reikalavimai, sąlygos, išimtys, ribojimai ir pan., susiję su profesionalių vairuotojų mokymo reikalavimų taikymu ir profesionalių vairuotojų mokymų vykdymu, privalo būti reguliuojami įstatymu, kaip numatyta Įstatymo projekte, o ne nustatyti profesinio mokymo programose ar ministro įsakyme.</w:t>
            </w:r>
            <w:r w:rsidRPr="001C3040">
              <w:rPr>
                <w:rFonts w:ascii="Times New Roman" w:hAnsi="Times New Roman" w:cs="Times New Roman"/>
                <w:bCs/>
              </w:rPr>
              <w:t xml:space="preserve"> </w:t>
            </w:r>
          </w:p>
          <w:p w:rsidRPr="001C3040" w:rsidR="0094200C" w:rsidP="00D31211" w:rsidRDefault="0094200C" w14:paraId="19C2E3A5" w14:textId="77777777">
            <w:pPr>
              <w:jc w:val="both"/>
              <w:rPr>
                <w:rFonts w:ascii="Times New Roman" w:hAnsi="Times New Roman" w:cs="Times New Roman"/>
              </w:rPr>
            </w:pPr>
          </w:p>
        </w:tc>
        <w:tc>
          <w:tcPr>
            <w:tcW w:w="4229" w:type="dxa"/>
            <w:tcBorders>
              <w:top w:val="single" w:color="auto" w:sz="4" w:space="0"/>
              <w:bottom w:val="single" w:color="auto" w:sz="4" w:space="0"/>
            </w:tcBorders>
            <w:tcMar/>
          </w:tcPr>
          <w:p w:rsidRPr="001C3040" w:rsidR="0094200C" w:rsidP="00E94E20" w:rsidRDefault="0094200C" w14:paraId="64A3E7DD" w14:textId="77777777">
            <w:pPr>
              <w:jc w:val="both"/>
              <w:rPr>
                <w:rFonts w:ascii="Times New Roman" w:hAnsi="Times New Roman" w:cs="Times New Roman"/>
                <w:b/>
              </w:rPr>
            </w:pPr>
            <w:r w:rsidRPr="001C3040">
              <w:rPr>
                <w:rFonts w:ascii="Times New Roman" w:hAnsi="Times New Roman" w:cs="Times New Roman"/>
                <w:b/>
              </w:rPr>
              <w:lastRenderedPageBreak/>
              <w:t xml:space="preserve">Neatsižvelgta. </w:t>
            </w:r>
          </w:p>
          <w:p w:rsidRPr="001C3040" w:rsidR="0094200C" w:rsidP="00D31706" w:rsidRDefault="0094200C" w14:paraId="7F02E897" w14:textId="7157023E">
            <w:pPr>
              <w:jc w:val="both"/>
              <w:rPr>
                <w:rFonts w:ascii="Times New Roman" w:hAnsi="Times New Roman" w:cs="Times New Roman"/>
              </w:rPr>
            </w:pPr>
            <w:r w:rsidRPr="001C3040">
              <w:rPr>
                <w:rFonts w:ascii="Times New Roman" w:hAnsi="Times New Roman" w:cs="Times New Roman"/>
              </w:rPr>
              <w:t xml:space="preserve">Norime atkreipti dėmesį, kad rašte nekorektiškai cituojamas Lietuvos Respublikos Konstitucinio Teismo 2018 m. gegužės 24 d. Nr. KT12-N7/2018 nutarimas. Konstitucinis </w:t>
            </w:r>
            <w:r w:rsidR="001C3040">
              <w:rPr>
                <w:rFonts w:ascii="Times New Roman" w:hAnsi="Times New Roman" w:cs="Times New Roman"/>
              </w:rPr>
              <w:t>T</w:t>
            </w:r>
            <w:r w:rsidRPr="001C3040">
              <w:rPr>
                <w:rFonts w:ascii="Times New Roman" w:hAnsi="Times New Roman" w:cs="Times New Roman"/>
              </w:rPr>
              <w:t xml:space="preserve">eismas minėtame nutarime pasisako </w:t>
            </w:r>
            <w:r w:rsidR="001C3040">
              <w:rPr>
                <w:rFonts w:ascii="Times New Roman" w:hAnsi="Times New Roman" w:cs="Times New Roman"/>
              </w:rPr>
              <w:t>(</w:t>
            </w:r>
            <w:r w:rsidRPr="001C3040">
              <w:rPr>
                <w:rFonts w:ascii="Times New Roman" w:hAnsi="Times New Roman" w:cs="Times New Roman"/>
              </w:rPr>
              <w:t>citata</w:t>
            </w:r>
            <w:r w:rsidR="001C3040">
              <w:rPr>
                <w:rFonts w:ascii="Times New Roman" w:hAnsi="Times New Roman" w:cs="Times New Roman"/>
              </w:rPr>
              <w:t>)</w:t>
            </w:r>
            <w:r w:rsidRPr="001C3040">
              <w:rPr>
                <w:rFonts w:ascii="Times New Roman" w:hAnsi="Times New Roman" w:cs="Times New Roman"/>
              </w:rPr>
              <w:t xml:space="preserve">: „Konstitucinis teisinės valstybės principas suponuoja visų teisės aktų hierarchiją ir neleidžia poįstatyminiais teisės aktais reguliuoti santykių, kurie turi būti reguliuojami tik įstatymu, </w:t>
            </w:r>
            <w:r w:rsidRPr="001C3040">
              <w:rPr>
                <w:rFonts w:ascii="Times New Roman" w:hAnsi="Times New Roman" w:cs="Times New Roman"/>
                <w:b/>
              </w:rPr>
              <w:t xml:space="preserve">taip pat poįstatyminiais teisės aktais nustatyti tokio teisinio reguliavimo, kuris konkuruotų su nustatytuoju įstatyme, nebūtų grindžiamas įstatymais, antraip būtų pažeista </w:t>
            </w:r>
            <w:r w:rsidRPr="001C3040">
              <w:rPr>
                <w:rFonts w:ascii="Times New Roman" w:hAnsi="Times New Roman" w:cs="Times New Roman"/>
                <w:b/>
              </w:rPr>
              <w:lastRenderedPageBreak/>
              <w:t>Konstitucijoje įtvirtinta įstatymų viršenybė prieš poįstatyminius teisės aktus (</w:t>
            </w:r>
            <w:proofErr w:type="spellStart"/>
            <w:r w:rsidRPr="001C3040">
              <w:rPr>
                <w:rFonts w:ascii="Times New Roman" w:hAnsi="Times New Roman" w:cs="Times New Roman"/>
                <w:b/>
                <w:i/>
                <w:iCs/>
              </w:rPr>
              <w:t>inter</w:t>
            </w:r>
            <w:proofErr w:type="spellEnd"/>
            <w:r w:rsidRPr="001C3040">
              <w:rPr>
                <w:rFonts w:ascii="Times New Roman" w:hAnsi="Times New Roman" w:cs="Times New Roman"/>
                <w:b/>
                <w:i/>
                <w:iCs/>
              </w:rPr>
              <w:t xml:space="preserve"> alia</w:t>
            </w:r>
            <w:r w:rsidRPr="001C3040">
              <w:rPr>
                <w:rFonts w:ascii="Times New Roman" w:hAnsi="Times New Roman" w:cs="Times New Roman"/>
                <w:b/>
              </w:rPr>
              <w:t> 2009 m. birželio 22</w:t>
            </w:r>
            <w:r w:rsidR="001C3040">
              <w:rPr>
                <w:rFonts w:ascii="Times New Roman" w:hAnsi="Times New Roman" w:cs="Times New Roman"/>
                <w:b/>
              </w:rPr>
              <w:t> </w:t>
            </w:r>
            <w:r w:rsidRPr="001C3040">
              <w:rPr>
                <w:rFonts w:ascii="Times New Roman" w:hAnsi="Times New Roman" w:cs="Times New Roman"/>
                <w:b/>
              </w:rPr>
              <w:t>d., 2013 m. lapkričio 6 d., 2015 m. gegužės 26 d. nutarimai).</w:t>
            </w:r>
            <w:r w:rsidRPr="001C3040">
              <w:rPr>
                <w:rFonts w:ascii="Times New Roman" w:hAnsi="Times New Roman" w:cs="Times New Roman"/>
              </w:rPr>
              <w:t xml:space="preserve"> </w:t>
            </w:r>
            <w:r w:rsidRPr="001C3040">
              <w:rPr>
                <w:rFonts w:ascii="Times New Roman" w:hAnsi="Times New Roman" w:cs="Times New Roman"/>
                <w:b/>
              </w:rPr>
              <w:t>Įstatymuose nustatomos bendro pobūdžio taisyklės, o poįstatyminiuose teisės aktuose jos gali būti detalizuojamos, gali būti reglamentuojama jų įgyvendinimo tvarka (</w:t>
            </w:r>
            <w:proofErr w:type="spellStart"/>
            <w:r w:rsidRPr="001C3040">
              <w:rPr>
                <w:rFonts w:ascii="Times New Roman" w:hAnsi="Times New Roman" w:cs="Times New Roman"/>
                <w:b/>
                <w:i/>
                <w:iCs/>
              </w:rPr>
              <w:t>inter</w:t>
            </w:r>
            <w:proofErr w:type="spellEnd"/>
            <w:r w:rsidRPr="001C3040">
              <w:rPr>
                <w:rFonts w:ascii="Times New Roman" w:hAnsi="Times New Roman" w:cs="Times New Roman"/>
                <w:b/>
                <w:i/>
                <w:iCs/>
              </w:rPr>
              <w:t xml:space="preserve"> alia</w:t>
            </w:r>
            <w:r w:rsidRPr="001C3040">
              <w:rPr>
                <w:rFonts w:ascii="Times New Roman" w:hAnsi="Times New Roman" w:cs="Times New Roman"/>
                <w:b/>
              </w:rPr>
              <w:t> 2014 m. gegužės 9 d., 2014 m. spalio 9 d., 2015 m. balandžio 16 d. nutarimai)“</w:t>
            </w:r>
            <w:r w:rsidRPr="001C3040">
              <w:rPr>
                <w:rFonts w:ascii="Times New Roman" w:hAnsi="Times New Roman" w:cs="Times New Roman"/>
              </w:rPr>
              <w:t xml:space="preserve">. Lietuvos Respublikos Konstitucinis Teismas nepasisako konkrečiai apie vairuotojų mokymą, o tik apie visų teisės aktų hierarchiją. </w:t>
            </w:r>
            <w:r w:rsidR="001C3040">
              <w:rPr>
                <w:rFonts w:ascii="Times New Roman" w:hAnsi="Times New Roman" w:cs="Times New Roman"/>
              </w:rPr>
              <w:t xml:space="preserve">Kartu </w:t>
            </w:r>
            <w:r w:rsidRPr="001C3040">
              <w:rPr>
                <w:rFonts w:ascii="Times New Roman" w:hAnsi="Times New Roman" w:cs="Times New Roman"/>
              </w:rPr>
              <w:t>konstatuojama, kad įstatymuose nustatomos bendro pobūdžio taisyklės / nuostatos, o poįstatyminiuose teisės aktuose jos gali būti detalizuojamos, gali būti reglamentuojama jų įgyvendinimo tvarka. Tai, kas nurodyta Konstitucinio Teismo, šiuo metu ir yra įgyvendinama Lietuvos Respublikos profesinio mokymo įstatymu ir Lietuvos Respublikos švietimo įstatymu, pvz</w:t>
            </w:r>
            <w:r w:rsidRPr="001C3040">
              <w:rPr>
                <w:rFonts w:ascii="Times New Roman" w:hAnsi="Times New Roman" w:cs="Times New Roman"/>
                <w:i/>
                <w:iCs/>
              </w:rPr>
              <w:t>.</w:t>
            </w:r>
            <w:r w:rsidRPr="00C54482" w:rsidR="00D31706">
              <w:rPr>
                <w:rFonts w:ascii="Times New Roman" w:hAnsi="Times New Roman" w:cs="Times New Roman"/>
                <w:iCs/>
              </w:rPr>
              <w:t>,</w:t>
            </w:r>
            <w:r w:rsidRPr="001C3040">
              <w:rPr>
                <w:rFonts w:ascii="Times New Roman" w:hAnsi="Times New Roman" w:cs="Times New Roman"/>
                <w:i/>
                <w:iCs/>
              </w:rPr>
              <w:t xml:space="preserve"> </w:t>
            </w:r>
            <w:r w:rsidRPr="001C3040">
              <w:rPr>
                <w:rFonts w:ascii="Times New Roman" w:hAnsi="Times New Roman" w:cs="Times New Roman"/>
              </w:rPr>
              <w:t xml:space="preserve">Profesinio mokymo įstatymo III skyriaus straipsniai reglamentuoja profesinio mokymo organizavimą ir kokybę: </w:t>
            </w:r>
            <w:r w:rsidRPr="001C3040">
              <w:rPr>
                <w:rFonts w:ascii="Times New Roman" w:hAnsi="Times New Roman" w:cs="Times New Roman"/>
                <w:bCs/>
              </w:rPr>
              <w:t>13 straipsnis</w:t>
            </w:r>
            <w:r w:rsidR="00D31706">
              <w:rPr>
                <w:rFonts w:ascii="Times New Roman" w:hAnsi="Times New Roman" w:cs="Times New Roman"/>
                <w:bCs/>
              </w:rPr>
              <w:t xml:space="preserve"> „</w:t>
            </w:r>
            <w:r w:rsidRPr="001C3040">
              <w:rPr>
                <w:rFonts w:ascii="Times New Roman" w:hAnsi="Times New Roman" w:cs="Times New Roman"/>
                <w:bCs/>
              </w:rPr>
              <w:t>Profesinių standartų ir profesinio mokymo programų rengimas ir tvirtinimas</w:t>
            </w:r>
            <w:r w:rsidR="00D31706">
              <w:rPr>
                <w:rFonts w:ascii="Times New Roman" w:hAnsi="Times New Roman" w:cs="Times New Roman"/>
                <w:bCs/>
              </w:rPr>
              <w:t>“</w:t>
            </w:r>
            <w:r w:rsidRPr="001C3040">
              <w:rPr>
                <w:rFonts w:ascii="Times New Roman" w:hAnsi="Times New Roman" w:cs="Times New Roman"/>
                <w:bCs/>
              </w:rPr>
              <w:t>; 14 straipsnis</w:t>
            </w:r>
            <w:r w:rsidR="00D31706">
              <w:rPr>
                <w:rFonts w:ascii="Times New Roman" w:hAnsi="Times New Roman" w:cs="Times New Roman"/>
                <w:bCs/>
              </w:rPr>
              <w:t xml:space="preserve"> „</w:t>
            </w:r>
            <w:r w:rsidRPr="001C3040">
              <w:rPr>
                <w:rFonts w:ascii="Times New Roman" w:hAnsi="Times New Roman" w:cs="Times New Roman"/>
                <w:bCs/>
              </w:rPr>
              <w:t>Licencija vykdyti formalųjį profesinį mokymą</w:t>
            </w:r>
            <w:r w:rsidR="00D31706">
              <w:rPr>
                <w:rFonts w:ascii="Times New Roman" w:hAnsi="Times New Roman" w:cs="Times New Roman"/>
                <w:bCs/>
              </w:rPr>
              <w:t>“</w:t>
            </w:r>
            <w:r w:rsidRPr="001C3040">
              <w:rPr>
                <w:rFonts w:ascii="Times New Roman" w:hAnsi="Times New Roman" w:cs="Times New Roman"/>
                <w:bCs/>
              </w:rPr>
              <w:t>; 19 straipsnis</w:t>
            </w:r>
            <w:r w:rsidR="00D31706">
              <w:rPr>
                <w:rFonts w:ascii="Times New Roman" w:hAnsi="Times New Roman" w:cs="Times New Roman"/>
                <w:bCs/>
              </w:rPr>
              <w:t xml:space="preserve"> „</w:t>
            </w:r>
            <w:r w:rsidRPr="001C3040">
              <w:rPr>
                <w:rFonts w:ascii="Times New Roman" w:hAnsi="Times New Roman" w:cs="Times New Roman"/>
                <w:bCs/>
              </w:rPr>
              <w:t>Profesinio mokymo organizavimas</w:t>
            </w:r>
            <w:r w:rsidR="00D31706">
              <w:rPr>
                <w:rFonts w:ascii="Times New Roman" w:hAnsi="Times New Roman" w:cs="Times New Roman"/>
                <w:bCs/>
              </w:rPr>
              <w:t>“</w:t>
            </w:r>
            <w:r w:rsidRPr="001C3040">
              <w:rPr>
                <w:rFonts w:ascii="Times New Roman" w:hAnsi="Times New Roman" w:cs="Times New Roman"/>
                <w:bCs/>
              </w:rPr>
              <w:t>; 22 straipsnis</w:t>
            </w:r>
            <w:r w:rsidR="00D31706">
              <w:rPr>
                <w:rFonts w:ascii="Times New Roman" w:hAnsi="Times New Roman" w:cs="Times New Roman"/>
                <w:bCs/>
              </w:rPr>
              <w:t xml:space="preserve"> „</w:t>
            </w:r>
            <w:r w:rsidRPr="001C3040">
              <w:rPr>
                <w:rFonts w:ascii="Times New Roman" w:hAnsi="Times New Roman" w:cs="Times New Roman"/>
                <w:bCs/>
              </w:rPr>
              <w:t>Profesinio mokymo kokybės užtikrinimas</w:t>
            </w:r>
            <w:r w:rsidR="00D31706">
              <w:rPr>
                <w:rFonts w:ascii="Times New Roman" w:hAnsi="Times New Roman" w:cs="Times New Roman"/>
                <w:bCs/>
              </w:rPr>
              <w:t>“</w:t>
            </w:r>
            <w:r w:rsidRPr="001C3040">
              <w:rPr>
                <w:rFonts w:ascii="Times New Roman" w:hAnsi="Times New Roman" w:cs="Times New Roman"/>
                <w:bCs/>
              </w:rPr>
              <w:t>; 23 straipsnis</w:t>
            </w:r>
            <w:r w:rsidR="00D31706">
              <w:rPr>
                <w:rFonts w:ascii="Times New Roman" w:hAnsi="Times New Roman" w:cs="Times New Roman"/>
                <w:bCs/>
              </w:rPr>
              <w:t xml:space="preserve"> „</w:t>
            </w:r>
            <w:r w:rsidRPr="001C3040">
              <w:rPr>
                <w:rFonts w:ascii="Times New Roman" w:hAnsi="Times New Roman" w:cs="Times New Roman"/>
                <w:bCs/>
              </w:rPr>
              <w:t>Kvalifikacijos ir (ar) mokymosi pasiekimų įteisinimas</w:t>
            </w:r>
            <w:r w:rsidR="00D31706">
              <w:rPr>
                <w:rFonts w:ascii="Times New Roman" w:hAnsi="Times New Roman" w:cs="Times New Roman"/>
                <w:bCs/>
              </w:rPr>
              <w:t>“</w:t>
            </w:r>
            <w:r w:rsidRPr="001C3040">
              <w:rPr>
                <w:rFonts w:ascii="Times New Roman" w:hAnsi="Times New Roman" w:cs="Times New Roman"/>
                <w:bCs/>
              </w:rPr>
              <w:t>; IV</w:t>
            </w:r>
            <w:r w:rsidR="00D31706">
              <w:rPr>
                <w:rFonts w:ascii="Times New Roman" w:hAnsi="Times New Roman" w:cs="Times New Roman"/>
                <w:b/>
                <w:bCs/>
              </w:rPr>
              <w:t> </w:t>
            </w:r>
            <w:r w:rsidRPr="001C3040">
              <w:rPr>
                <w:rFonts w:ascii="Times New Roman" w:hAnsi="Times New Roman" w:cs="Times New Roman"/>
                <w:bCs/>
              </w:rPr>
              <w:t>skyrius nustato profesinio mokymo dalyvių teises ir pareigas: 24 straipsnis</w:t>
            </w:r>
            <w:r w:rsidR="00D31706">
              <w:rPr>
                <w:rFonts w:ascii="Times New Roman" w:hAnsi="Times New Roman" w:cs="Times New Roman"/>
                <w:bCs/>
              </w:rPr>
              <w:t xml:space="preserve"> „</w:t>
            </w:r>
            <w:r w:rsidRPr="001C3040">
              <w:rPr>
                <w:rFonts w:ascii="Times New Roman" w:hAnsi="Times New Roman" w:cs="Times New Roman"/>
                <w:bCs/>
              </w:rPr>
              <w:t>Mokinio teisės ir pareigos</w:t>
            </w:r>
            <w:r w:rsidR="00D31706">
              <w:rPr>
                <w:rFonts w:ascii="Times New Roman" w:hAnsi="Times New Roman" w:cs="Times New Roman"/>
                <w:bCs/>
              </w:rPr>
              <w:t>“</w:t>
            </w:r>
            <w:r w:rsidRPr="001C3040">
              <w:rPr>
                <w:rFonts w:ascii="Times New Roman" w:hAnsi="Times New Roman" w:cs="Times New Roman"/>
                <w:bCs/>
              </w:rPr>
              <w:t>; 25 straipsnis</w:t>
            </w:r>
            <w:r w:rsidR="00D31706">
              <w:rPr>
                <w:rFonts w:ascii="Times New Roman" w:hAnsi="Times New Roman" w:cs="Times New Roman"/>
                <w:bCs/>
              </w:rPr>
              <w:t xml:space="preserve"> „</w:t>
            </w:r>
            <w:r w:rsidRPr="001C3040">
              <w:rPr>
                <w:rFonts w:ascii="Times New Roman" w:hAnsi="Times New Roman" w:cs="Times New Roman"/>
                <w:bCs/>
              </w:rPr>
              <w:t>Profesinio mokymo teikėjo teisės ir pareigos</w:t>
            </w:r>
            <w:r w:rsidR="00D31706">
              <w:rPr>
                <w:rFonts w:ascii="Times New Roman" w:hAnsi="Times New Roman" w:cs="Times New Roman"/>
                <w:bCs/>
              </w:rPr>
              <w:t>“</w:t>
            </w:r>
            <w:r w:rsidRPr="001C3040">
              <w:rPr>
                <w:rFonts w:ascii="Times New Roman" w:hAnsi="Times New Roman" w:cs="Times New Roman"/>
                <w:bCs/>
              </w:rPr>
              <w:t>, o Š</w:t>
            </w:r>
            <w:r w:rsidRPr="001C3040">
              <w:rPr>
                <w:rFonts w:ascii="Times New Roman" w:hAnsi="Times New Roman" w:cs="Times New Roman"/>
              </w:rPr>
              <w:t xml:space="preserve">vietimo įstatymo </w:t>
            </w:r>
            <w:r w:rsidRPr="001C3040">
              <w:rPr>
                <w:rFonts w:ascii="Times New Roman" w:hAnsi="Times New Roman" w:cs="Times New Roman"/>
                <w:bCs/>
              </w:rPr>
              <w:t xml:space="preserve">48 straipsniu nustatyta teisė dirbti mokytoju, įskaitant ir profesijos mokytoju. </w:t>
            </w:r>
            <w:r w:rsidRPr="001C3040">
              <w:rPr>
                <w:rFonts w:ascii="Times New Roman" w:hAnsi="Times New Roman" w:cs="Times New Roman"/>
              </w:rPr>
              <w:t>Klaidingai teigiama, kad „šiuo metu reikalavimai vairuotojų mokymą vykdantiems mokymo centrams ir jų darbuotojams numatyti mokymo programose“, nes visos bendro pobūdžio taisyklės, kaip tai minima Konstitucinio Teismo nutarime, nustatytos a</w:t>
            </w:r>
            <w:r w:rsidR="00D31706">
              <w:rPr>
                <w:rFonts w:ascii="Times New Roman" w:hAnsi="Times New Roman" w:cs="Times New Roman"/>
              </w:rPr>
              <w:t>n</w:t>
            </w:r>
            <w:r w:rsidRPr="001C3040">
              <w:rPr>
                <w:rFonts w:ascii="Times New Roman" w:hAnsi="Times New Roman" w:cs="Times New Roman"/>
              </w:rPr>
              <w:t>k</w:t>
            </w:r>
            <w:r w:rsidR="00D31706">
              <w:rPr>
                <w:rFonts w:ascii="Times New Roman" w:hAnsi="Times New Roman" w:cs="Times New Roman"/>
              </w:rPr>
              <w:t>s</w:t>
            </w:r>
            <w:r w:rsidRPr="001C3040">
              <w:rPr>
                <w:rFonts w:ascii="Times New Roman" w:hAnsi="Times New Roman" w:cs="Times New Roman"/>
              </w:rPr>
              <w:t xml:space="preserve">čiau paminėtais įstatymais. </w:t>
            </w:r>
            <w:r w:rsidRPr="001C3040">
              <w:rPr>
                <w:rFonts w:ascii="Times New Roman" w:hAnsi="Times New Roman" w:cs="Times New Roman"/>
                <w:bCs/>
              </w:rPr>
              <w:t xml:space="preserve">Manytina, kad vairuotojų mokymą vykdančioms įstaigoms neturėtų būti taikomos kitokios sąlygos, negu rengiant visus kitų švietimo sričių darbuotojus Lietuvoje. </w:t>
            </w:r>
            <w:r w:rsidRPr="001C3040">
              <w:rPr>
                <w:rFonts w:ascii="Times New Roman" w:hAnsi="Times New Roman" w:cs="Times New Roman"/>
              </w:rPr>
              <w:t>Manome, kad nekorektiška cituoti Konstitucinio Teismo nutarimus, skirtus ūkio subjektams ir ūkinei veiklai, taip</w:t>
            </w:r>
            <w:r w:rsidR="00D31706">
              <w:rPr>
                <w:rFonts w:ascii="Times New Roman" w:hAnsi="Times New Roman" w:cs="Times New Roman"/>
              </w:rPr>
              <w:t>,</w:t>
            </w:r>
            <w:r w:rsidRPr="001C3040">
              <w:rPr>
                <w:rFonts w:ascii="Times New Roman" w:hAnsi="Times New Roman" w:cs="Times New Roman"/>
              </w:rPr>
              <w:t xml:space="preserve"> kaip juos apibrėžia Lietuvos Respublikos konkurencijos įstatymo 21 ir 22 straipsniai ir Lietuvos Respublikos viešojo administravimo įstatymo 14 straipsniai, kalbant apie švietimą, </w:t>
            </w:r>
            <w:r w:rsidRPr="001C3040">
              <w:rPr>
                <w:rFonts w:ascii="Times New Roman" w:hAnsi="Times New Roman" w:cs="Times New Roman"/>
              </w:rPr>
              <w:lastRenderedPageBreak/>
              <w:t>nes švietimą ir profesinį mokymą reglamentuoja specialieji Švietimo bei Profesinio mokymo įstatymai.</w:t>
            </w:r>
          </w:p>
        </w:tc>
      </w:tr>
      <w:tr w:rsidRPr="001C3040" w:rsidR="00100822" w:rsidTr="2B281452" w14:paraId="09224154" w14:textId="77777777">
        <w:tc>
          <w:tcPr>
            <w:tcW w:w="540" w:type="dxa"/>
            <w:tcBorders>
              <w:top w:val="single" w:color="auto" w:sz="4" w:space="0"/>
              <w:bottom w:val="single" w:color="auto" w:sz="4" w:space="0"/>
            </w:tcBorders>
            <w:tcMar/>
          </w:tcPr>
          <w:p w:rsidRPr="001C3040" w:rsidR="0094200C" w:rsidRDefault="0094200C" w14:paraId="3FE0AB78" w14:textId="3F81DAB7">
            <w:r w:rsidRPr="001C3040">
              <w:lastRenderedPageBreak/>
              <w:t>4.</w:t>
            </w:r>
          </w:p>
        </w:tc>
        <w:tc>
          <w:tcPr>
            <w:tcW w:w="1470" w:type="dxa"/>
            <w:tcBorders>
              <w:top w:val="single" w:color="auto" w:sz="4" w:space="0"/>
              <w:bottom w:val="single" w:color="auto" w:sz="4" w:space="0"/>
            </w:tcBorders>
            <w:tcMar/>
          </w:tcPr>
          <w:p w:rsidRPr="001C3040" w:rsidR="0094200C" w:rsidRDefault="0094200C" w14:paraId="37BBB318" w14:textId="5D8B30EC"/>
        </w:tc>
        <w:tc>
          <w:tcPr>
            <w:tcW w:w="4381" w:type="dxa"/>
            <w:tcMar/>
          </w:tcPr>
          <w:p w:rsidRPr="001C3040" w:rsidR="0094200C" w:rsidP="00783A69" w:rsidRDefault="0094200C" w14:paraId="36D269E6" w14:textId="77777777">
            <w:pPr>
              <w:jc w:val="both"/>
              <w:rPr>
                <w:rFonts w:ascii="Times New Roman" w:hAnsi="Times New Roman" w:cs="Times New Roman"/>
              </w:rPr>
            </w:pPr>
            <w:r w:rsidRPr="001C3040">
              <w:rPr>
                <w:rFonts w:ascii="Times New Roman" w:hAnsi="Times New Roman" w:cs="Times New Roman"/>
              </w:rPr>
              <w:t>Praktikoje užbaigęs profesionalių vairuotojų mokymą, vairuotojas įgyja ne kvalifikaciją, bet vieną iš galimų profesionalaus vairuotojo kompetencijų, priklausomai nuo jo darbo pobūdžio. Vien tik užbaigtas profesionalių vairuotojų mokymas (vadinamasis 95 kodas) nesuteikia teisės vežti krovinius ir keleivius komerciniais tikslais. Todėl, Įstatymo projektu siūloma profesionalių vairuotojų mokymą nacionalinėje teisėje laikyti ne vairuotojo kvalifikacija, bet vairuotojo kompetencija. Tokia pozicija atitinka Direktyvos 2003/59/EB nuostatas ir</w:t>
            </w:r>
            <w:r w:rsidRPr="001C3040">
              <w:rPr>
                <w:rFonts w:ascii="Times New Roman" w:hAnsi="Times New Roman" w:cs="Times New Roman"/>
                <w:b/>
              </w:rPr>
              <w:t xml:space="preserve"> </w:t>
            </w:r>
            <w:r w:rsidRPr="001C3040">
              <w:rPr>
                <w:rFonts w:ascii="Times New Roman" w:hAnsi="Times New Roman" w:cs="Times New Roman"/>
              </w:rPr>
              <w:t xml:space="preserve">leistų profesionalių vairuotojų mokymą labiau pritaikyti prie darbo rinkos poreikių. Direktyvos 2003/59/EB tekste anglų kalba vartojama ir kvalifikacijos, ir kompetencijos sąvoka (pavyzdžiui, angl. </w:t>
            </w:r>
            <w:proofErr w:type="spellStart"/>
            <w:r w:rsidRPr="001C3040">
              <w:rPr>
                <w:rFonts w:ascii="Times New Roman" w:hAnsi="Times New Roman" w:cs="Times New Roman"/>
                <w:i/>
              </w:rPr>
              <w:t>Certificate</w:t>
            </w:r>
            <w:proofErr w:type="spellEnd"/>
            <w:r w:rsidRPr="001C3040">
              <w:rPr>
                <w:rFonts w:ascii="Times New Roman" w:hAnsi="Times New Roman" w:cs="Times New Roman"/>
                <w:i/>
              </w:rPr>
              <w:t xml:space="preserve"> </w:t>
            </w:r>
            <w:proofErr w:type="spellStart"/>
            <w:r w:rsidRPr="001C3040">
              <w:rPr>
                <w:rFonts w:ascii="Times New Roman" w:hAnsi="Times New Roman" w:cs="Times New Roman"/>
                <w:i/>
              </w:rPr>
              <w:t>of</w:t>
            </w:r>
            <w:proofErr w:type="spellEnd"/>
            <w:r w:rsidRPr="001C3040">
              <w:rPr>
                <w:rFonts w:ascii="Times New Roman" w:hAnsi="Times New Roman" w:cs="Times New Roman"/>
                <w:i/>
              </w:rPr>
              <w:t xml:space="preserve"> Professional </w:t>
            </w:r>
            <w:proofErr w:type="spellStart"/>
            <w:r w:rsidRPr="001C3040">
              <w:rPr>
                <w:rFonts w:ascii="Times New Roman" w:hAnsi="Times New Roman" w:cs="Times New Roman"/>
                <w:i/>
              </w:rPr>
              <w:t>Competence</w:t>
            </w:r>
            <w:proofErr w:type="spellEnd"/>
            <w:r w:rsidRPr="001C3040">
              <w:rPr>
                <w:rFonts w:ascii="Times New Roman" w:hAnsi="Times New Roman" w:cs="Times New Roman"/>
                <w:i/>
              </w:rPr>
              <w:t xml:space="preserve"> </w:t>
            </w:r>
            <w:r w:rsidRPr="001C3040">
              <w:rPr>
                <w:rFonts w:ascii="Times New Roman" w:hAnsi="Times New Roman" w:cs="Times New Roman"/>
                <w:iCs/>
              </w:rPr>
              <w:t>(CPC</w:t>
            </w:r>
            <w:r w:rsidRPr="001C3040">
              <w:rPr>
                <w:rFonts w:ascii="Times New Roman" w:hAnsi="Times New Roman" w:cs="Times New Roman"/>
              </w:rPr>
              <w:t>).</w:t>
            </w:r>
          </w:p>
        </w:tc>
        <w:tc>
          <w:tcPr>
            <w:tcW w:w="4229" w:type="dxa"/>
            <w:tcBorders>
              <w:top w:val="single" w:color="auto" w:sz="4" w:space="0"/>
              <w:bottom w:val="single" w:color="auto" w:sz="4" w:space="0"/>
            </w:tcBorders>
            <w:tcMar/>
          </w:tcPr>
          <w:p w:rsidRPr="001C3040" w:rsidR="0094200C" w:rsidP="2B281452" w:rsidRDefault="0094200C" w14:paraId="41356FA7" w14:textId="3034BA65" w14:noSpellErr="1">
            <w:pPr>
              <w:jc w:val="both"/>
              <w:rPr>
                <w:rFonts w:ascii="Times New Roman" w:hAnsi="Times New Roman" w:cs="Times New Roman"/>
                <w:b w:val="1"/>
                <w:bCs w:val="1"/>
                <w:highlight w:val="yellow"/>
              </w:rPr>
            </w:pPr>
            <w:r w:rsidRPr="2B281452" w:rsidR="2B281452">
              <w:rPr>
                <w:rFonts w:ascii="Times New Roman" w:hAnsi="Times New Roman" w:cs="Times New Roman"/>
                <w:b w:val="1"/>
                <w:bCs w:val="1"/>
              </w:rPr>
              <w:t>Neatsižvelgta</w:t>
            </w:r>
            <w:r w:rsidRPr="2B281452" w:rsidR="2B281452">
              <w:rPr>
                <w:rFonts w:ascii="Times New Roman" w:hAnsi="Times New Roman" w:cs="Times New Roman"/>
                <w:b w:val="1"/>
                <w:bCs w:val="1"/>
              </w:rPr>
              <w:t>.</w:t>
            </w:r>
            <w:r w:rsidRPr="2B281452" w:rsidR="2B281452">
              <w:rPr>
                <w:rFonts w:ascii="Times New Roman" w:hAnsi="Times New Roman" w:cs="Times New Roman"/>
                <w:b w:val="1"/>
                <w:bCs w:val="1"/>
              </w:rPr>
              <w:t xml:space="preserve"> </w:t>
            </w:r>
          </w:p>
          <w:p w:rsidRPr="001C3040" w:rsidR="0094200C" w:rsidP="2B281452" w:rsidRDefault="0094200C" w14:paraId="0AD0D905" w14:noSpellErr="1" w14:textId="1742CA20">
            <w:pPr>
              <w:jc w:val="both"/>
              <w:rPr>
                <w:rFonts w:ascii="Times New Roman" w:hAnsi="Times New Roman" w:cs="Times New Roman"/>
                <w:b w:val="1"/>
                <w:bCs w:val="1"/>
              </w:rPr>
            </w:pPr>
            <w:r w:rsidRPr="2B281452" w:rsidR="2B281452">
              <w:rPr>
                <w:rFonts w:ascii="Times New Roman" w:hAnsi="Times New Roman" w:cs="Times New Roman"/>
              </w:rPr>
              <w:t>Direktyvos 2003/59/EB 3 straipsniu nustatyta, kad tos pačios Direktyvos 1</w:t>
            </w:r>
            <w:r w:rsidRPr="2B281452" w:rsidR="2B281452">
              <w:rPr>
                <w:rFonts w:ascii="Times New Roman" w:hAnsi="Times New Roman" w:cs="Times New Roman"/>
              </w:rPr>
              <w:t> </w:t>
            </w:r>
            <w:r w:rsidRPr="2B281452" w:rsidR="2B281452">
              <w:rPr>
                <w:rFonts w:ascii="Times New Roman" w:hAnsi="Times New Roman" w:cs="Times New Roman"/>
              </w:rPr>
              <w:t xml:space="preserve">straipsniu apibrėžtam transporto priemonių vairavimui taikomas privalomos pradinės kvalifikacijos ir privalomo kvalifikacijos kėlimo reikalavimas, todėl visų pirma vairuotojas privalo turėti ne kompetenciją, bet ne žemesnę kaip 2 lygio kvalifikaciją (pagal Europos kvalifikacijų sandarą). Be kita ko, </w:t>
            </w:r>
            <w:r w:rsidRPr="2B281452" w:rsidR="2B281452">
              <w:rPr>
                <w:rFonts w:ascii="Times New Roman" w:hAnsi="Times New Roman" w:cs="Times New Roman"/>
              </w:rPr>
              <w:t>Europos kvalifikacijų sandara – bendra europinė atraminė sistema, siej</w:t>
            </w:r>
            <w:r w:rsidRPr="2B281452" w:rsidR="2B281452">
              <w:rPr>
                <w:rFonts w:ascii="Times New Roman" w:hAnsi="Times New Roman" w:cs="Times New Roman"/>
              </w:rPr>
              <w:t>anti šalių kvalifikacijų sistemas ir veikianti kaip perkėlimo mechanizmas, kad skirtingų šalių ir sistemų kvalifikacijos taptų aiškesnės ir suprantamesnės, todėl nacionalinėje teisėje – Švietimo įstatyme – jau apibrėžtos kvalifikacijos ir kompetencijos sąvokos atitinka Europos kvalifikacijų sandaros kontekstą ir kitokia jų interpretacija negalima.</w:t>
            </w:r>
          </w:p>
        </w:tc>
      </w:tr>
      <w:tr w:rsidRPr="001C3040" w:rsidR="00100822" w:rsidTr="2B281452" w14:paraId="69CF4EAC" w14:textId="77777777">
        <w:tc>
          <w:tcPr>
            <w:tcW w:w="540" w:type="dxa"/>
            <w:tcBorders>
              <w:top w:val="single" w:color="auto" w:sz="4" w:space="0"/>
              <w:bottom w:val="single" w:color="auto" w:sz="4" w:space="0"/>
            </w:tcBorders>
            <w:tcMar/>
          </w:tcPr>
          <w:p w:rsidRPr="001C3040" w:rsidR="0094200C" w:rsidRDefault="0094200C" w14:paraId="24EA289C" w14:textId="38C456B7">
            <w:r w:rsidRPr="001C3040">
              <w:t>5.</w:t>
            </w:r>
          </w:p>
        </w:tc>
        <w:tc>
          <w:tcPr>
            <w:tcW w:w="1470" w:type="dxa"/>
            <w:tcBorders>
              <w:top w:val="single" w:color="auto" w:sz="4" w:space="0"/>
              <w:bottom w:val="single" w:color="auto" w:sz="4" w:space="0"/>
            </w:tcBorders>
            <w:tcMar/>
          </w:tcPr>
          <w:p w:rsidRPr="001C3040" w:rsidR="0094200C" w:rsidRDefault="0094200C" w14:paraId="0230E2F3" w14:textId="291EFD5A"/>
        </w:tc>
        <w:tc>
          <w:tcPr>
            <w:tcW w:w="4381" w:type="dxa"/>
            <w:tcMar/>
          </w:tcPr>
          <w:p w:rsidRPr="001C3040" w:rsidR="0094200C" w:rsidP="00783A69" w:rsidRDefault="0094200C" w14:paraId="287F36EE" w14:textId="77777777">
            <w:pPr>
              <w:jc w:val="both"/>
              <w:rPr>
                <w:rFonts w:ascii="Times New Roman" w:hAnsi="Times New Roman" w:cs="Times New Roman"/>
              </w:rPr>
            </w:pPr>
            <w:r w:rsidRPr="001C3040">
              <w:rPr>
                <w:rFonts w:ascii="Times New Roman" w:hAnsi="Times New Roman" w:cs="Times New Roman"/>
              </w:rPr>
              <w:t xml:space="preserve">Direktyvos (ES) 2018/645 priedo 1 punkte Direktyvos 2003/59/EB 1 priedo antroji pastraipa išdėstoma taip – minimalus kvalifikacijos lygis turi būti </w:t>
            </w:r>
            <w:r w:rsidRPr="001C3040">
              <w:rPr>
                <w:rFonts w:ascii="Times New Roman" w:hAnsi="Times New Roman" w:cs="Times New Roman"/>
                <w:i/>
                <w:iCs/>
              </w:rPr>
              <w:t>panašus bent į</w:t>
            </w:r>
            <w:r w:rsidRPr="001C3040">
              <w:rPr>
                <w:rFonts w:ascii="Times New Roman" w:hAnsi="Times New Roman" w:cs="Times New Roman"/>
              </w:rPr>
              <w:t xml:space="preserve"> Europos kvalifikacijų sąrangos 2 lygmenį, nustatytą 2008 m. balandžio 23 d. Europos Parlamento ir Tarybos rekomendacijos dėl Europos mokymosi visą gyvenimą kvalifikacijų sąrangos kūrimo II priede. Įstatymo projekte numatomas profesionalių vairuotojų mokymas vyks analogiškai, kaip šiuo metu vykdoma veikla ir laikantis Direktyvoje 2003/59/EB nustatyto mokymo turinio, apimties, reikalavimų mokymo centrams ir jų darbuotojams. Taigi, Įstatymo projekte numatomi pakeitimai atitinka pirmiau nurodytas Direktyvos 2003/59/EB 1 priedo nuostatas.</w:t>
            </w:r>
          </w:p>
        </w:tc>
        <w:tc>
          <w:tcPr>
            <w:tcW w:w="4229" w:type="dxa"/>
            <w:tcBorders>
              <w:top w:val="single" w:color="auto" w:sz="4" w:space="0"/>
              <w:bottom w:val="single" w:color="auto" w:sz="4" w:space="0"/>
            </w:tcBorders>
            <w:tcMar/>
          </w:tcPr>
          <w:p w:rsidRPr="001C3040" w:rsidR="00A939C7" w:rsidP="2B281452" w:rsidRDefault="0094200C" w14:paraId="4279B169" w14:textId="4FC8B19E">
            <w:pPr>
              <w:jc w:val="both"/>
              <w:rPr>
                <w:rFonts w:ascii="Times New Roman" w:hAnsi="Times New Roman" w:cs="Times New Roman"/>
              </w:rPr>
            </w:pPr>
            <w:r w:rsidRPr="2B281452" w:rsidR="2B281452">
              <w:rPr>
                <w:rFonts w:ascii="Times New Roman" w:hAnsi="Times New Roman" w:cs="Times New Roman"/>
                <w:b w:val="1"/>
                <w:bCs w:val="1"/>
              </w:rPr>
              <w:t>Neatsižvelgta</w:t>
            </w:r>
            <w:r w:rsidRPr="2B281452" w:rsidR="2B281452">
              <w:rPr>
                <w:rFonts w:ascii="Times New Roman" w:hAnsi="Times New Roman" w:cs="Times New Roman"/>
                <w:b w:val="1"/>
                <w:bCs w:val="1"/>
              </w:rPr>
              <w:t>.</w:t>
            </w:r>
            <w:r w:rsidRPr="2B281452" w:rsidR="2B281452">
              <w:rPr>
                <w:rFonts w:ascii="Times New Roman" w:hAnsi="Times New Roman" w:cs="Times New Roman"/>
                <w:b w:val="1"/>
                <w:bCs w:val="1"/>
              </w:rPr>
              <w:t xml:space="preserve"> </w:t>
            </w:r>
          </w:p>
          <w:p w:rsidRPr="001C3040" w:rsidR="00A939C7" w:rsidP="001A5B9C" w:rsidRDefault="00A939C7" w14:paraId="1E9A106E" w14:textId="7505F38F">
            <w:pPr>
              <w:jc w:val="both"/>
              <w:rPr>
                <w:rFonts w:ascii="Times New Roman" w:hAnsi="Times New Roman" w:cs="Times New Roman"/>
              </w:rPr>
            </w:pPr>
            <w:r w:rsidRPr="00D31706">
              <w:rPr>
                <w:rFonts w:ascii="Times New Roman" w:hAnsi="Times New Roman" w:cs="Times New Roman"/>
              </w:rPr>
              <w:t>Direktyvoje</w:t>
            </w:r>
            <w:r w:rsidRPr="00D31706" w:rsidR="00BD667E">
              <w:rPr>
                <w:rFonts w:ascii="Times New Roman" w:hAnsi="Times New Roman" w:cs="Times New Roman"/>
              </w:rPr>
              <w:t xml:space="preserve"> (ES) 2018/645</w:t>
            </w:r>
            <w:r w:rsidRPr="00D31706">
              <w:rPr>
                <w:rFonts w:ascii="Times New Roman" w:hAnsi="Times New Roman" w:cs="Times New Roman"/>
              </w:rPr>
              <w:t xml:space="preserve"> nurodytas tikslas</w:t>
            </w:r>
            <w:r w:rsidR="00D31706">
              <w:rPr>
                <w:rFonts w:ascii="Times New Roman" w:hAnsi="Times New Roman" w:cs="Times New Roman"/>
              </w:rPr>
              <w:t xml:space="preserve"> –</w:t>
            </w:r>
            <w:r w:rsidRPr="00D31706">
              <w:rPr>
                <w:rFonts w:ascii="Times New Roman" w:hAnsi="Times New Roman" w:cs="Times New Roman"/>
              </w:rPr>
              <w:t xml:space="preserve"> kad būtų pasiekiamas </w:t>
            </w:r>
            <w:r w:rsidRPr="00D31706" w:rsidR="00BE4F76">
              <w:rPr>
                <w:rFonts w:ascii="Times New Roman" w:hAnsi="Times New Roman" w:cs="Times New Roman"/>
              </w:rPr>
              <w:t xml:space="preserve">kvalifikacijos lygis </w:t>
            </w:r>
            <w:r w:rsidRPr="00D31706">
              <w:rPr>
                <w:rFonts w:ascii="Times New Roman" w:hAnsi="Times New Roman" w:cs="Times New Roman"/>
              </w:rPr>
              <w:t>panašus bent į Europos kvalifikacijų sąrangos 2 lygmenį</w:t>
            </w:r>
            <w:r w:rsidR="00D31706">
              <w:rPr>
                <w:rFonts w:ascii="Times New Roman" w:hAnsi="Times New Roman" w:cs="Times New Roman"/>
              </w:rPr>
              <w:t xml:space="preserve"> –</w:t>
            </w:r>
            <w:r w:rsidRPr="00D31706">
              <w:rPr>
                <w:rFonts w:ascii="Times New Roman" w:hAnsi="Times New Roman" w:cs="Times New Roman"/>
              </w:rPr>
              <w:t xml:space="preserve"> yra pasiekiamas esamu reglamentavimu</w:t>
            </w:r>
            <w:r w:rsidRPr="001C3040">
              <w:rPr>
                <w:rFonts w:ascii="Times New Roman" w:hAnsi="Times New Roman" w:cs="Times New Roman"/>
              </w:rPr>
              <w:t xml:space="preserve">, nustatytu Profesinio mokymo įstatyme, todėl manome, kad papildomo ar naujo reglamentavimo poreikio nėra. </w:t>
            </w:r>
          </w:p>
          <w:p w:rsidRPr="001C3040" w:rsidR="0094200C" w:rsidP="001A5B9C" w:rsidRDefault="0094200C" w14:paraId="6376206F" w14:textId="77777777">
            <w:pPr>
              <w:jc w:val="both"/>
              <w:rPr>
                <w:rFonts w:ascii="Times New Roman" w:hAnsi="Times New Roman" w:cs="Times New Roman"/>
              </w:rPr>
            </w:pPr>
          </w:p>
          <w:p w:rsidRPr="001C3040" w:rsidR="0094200C" w:rsidP="00C95BB5" w:rsidRDefault="0094200C" w14:paraId="45C735A4" w14:textId="77777777">
            <w:pPr>
              <w:jc w:val="both"/>
              <w:rPr>
                <w:rFonts w:ascii="Times New Roman" w:hAnsi="Times New Roman" w:cs="Times New Roman"/>
              </w:rPr>
            </w:pPr>
          </w:p>
          <w:p w:rsidRPr="001C3040" w:rsidR="0094200C" w:rsidP="009A3561" w:rsidRDefault="0094200C" w14:paraId="06619CF6" w14:textId="77777777">
            <w:pPr>
              <w:jc w:val="both"/>
              <w:rPr>
                <w:rFonts w:ascii="Times New Roman" w:hAnsi="Times New Roman" w:cs="Times New Roman"/>
                <w:b/>
                <w:highlight w:val="yellow"/>
              </w:rPr>
            </w:pPr>
            <w:r w:rsidRPr="001C3040">
              <w:rPr>
                <w:rFonts w:ascii="Times New Roman" w:hAnsi="Times New Roman" w:cs="Times New Roman"/>
              </w:rPr>
              <w:t xml:space="preserve">  </w:t>
            </w:r>
          </w:p>
        </w:tc>
      </w:tr>
      <w:tr w:rsidRPr="001C3040" w:rsidR="00100822" w:rsidTr="2B281452" w14:paraId="0C021E1B" w14:textId="77777777">
        <w:tc>
          <w:tcPr>
            <w:tcW w:w="540" w:type="dxa"/>
            <w:tcBorders>
              <w:top w:val="single" w:color="auto" w:sz="4" w:space="0"/>
              <w:bottom w:val="single" w:color="auto" w:sz="4" w:space="0"/>
            </w:tcBorders>
            <w:tcMar/>
          </w:tcPr>
          <w:p w:rsidRPr="001C3040" w:rsidR="0094200C" w:rsidRDefault="0094200C" w14:paraId="06B501E7" w14:textId="075211E4">
            <w:r w:rsidRPr="001C3040">
              <w:t>6.</w:t>
            </w:r>
          </w:p>
        </w:tc>
        <w:tc>
          <w:tcPr>
            <w:tcW w:w="1470" w:type="dxa"/>
            <w:tcBorders>
              <w:top w:val="single" w:color="auto" w:sz="4" w:space="0"/>
              <w:bottom w:val="single" w:color="auto" w:sz="4" w:space="0"/>
            </w:tcBorders>
            <w:tcMar/>
          </w:tcPr>
          <w:p w:rsidRPr="001C3040" w:rsidR="0094200C" w:rsidRDefault="0094200C" w14:paraId="510A1D5C" w14:textId="4624A404"/>
        </w:tc>
        <w:tc>
          <w:tcPr>
            <w:tcW w:w="4381" w:type="dxa"/>
            <w:tcMar/>
          </w:tcPr>
          <w:p w:rsidRPr="001C3040" w:rsidR="0094200C" w:rsidP="00C26426" w:rsidRDefault="0094200C" w14:paraId="0C153C73" w14:textId="77777777">
            <w:pPr>
              <w:jc w:val="both"/>
              <w:rPr>
                <w:rFonts w:ascii="Times New Roman" w:hAnsi="Times New Roman" w:cs="Times New Roman"/>
              </w:rPr>
            </w:pPr>
            <w:r w:rsidRPr="001C3040">
              <w:rPr>
                <w:rFonts w:ascii="Times New Roman" w:hAnsi="Times New Roman" w:cs="Times New Roman"/>
              </w:rPr>
              <w:t xml:space="preserve">Direktyvos 2003/59/EB 1 priedo 2 ir 3 skirsniuose nustatyta, kad pradinės kvalifikacijos kurso trukmė turi būti 280 valandų (teorijos mokymo) ir 20 valandų individualaus vairavimo, o pagreitintu būdu (skubos tvarka) įgyjamos pradinės kvalifikacijos mokymo trukmė turi būti 140 valandų (teorijos mokymo) ir 10 valandų individualaus vairavimo. Direktyvos 2003/59/EB 1 priedo 4 skirsnyje nustatyta, kad vairuotojų kompetencijos tobulinimo kursų trukmė turi būti 35 valandos (teorijos mokymo) kas penkerius metus. Nacionalinėje teisėje turi būti sudaryta galimybė vairuotojams baigti profesionalių vairuotojų mokymus pagal </w:t>
            </w:r>
            <w:r w:rsidRPr="001C3040">
              <w:rPr>
                <w:rFonts w:ascii="Times New Roman" w:hAnsi="Times New Roman" w:cs="Times New Roman"/>
              </w:rPr>
              <w:lastRenderedPageBreak/>
              <w:t xml:space="preserve">Direktyvoje 2003/59/EB įtvirtintą kursų trukmę. </w:t>
            </w:r>
            <w:r w:rsidRPr="001C3040">
              <w:rPr>
                <w:rFonts w:ascii="Times New Roman" w:hAnsi="Times New Roman" w:cs="Times New Roman"/>
                <w:bCs/>
              </w:rPr>
              <w:t>Profesionalių v</w:t>
            </w:r>
            <w:r w:rsidRPr="001C3040">
              <w:rPr>
                <w:rFonts w:ascii="Times New Roman" w:hAnsi="Times New Roman" w:cs="Times New Roman"/>
              </w:rPr>
              <w:t xml:space="preserve">airuotojų mokymui taikant pasikeitusių profesinį mokymą reglamentuojančių teisės aktų nuostatas, profesionalių vairuotojų mokymų trukmė tampa gerokai ilgesnė: pagal Lietuvos Respublikos profesinio mokymo įstatymo 13 straipsnio 5 dalį „profesinio mokymo programos vienų metų įprastinė apimtis yra 60 mokymosi kreditų, bet ne mažiau kaip 30 mokymosi kreditų“, o pagal Profesinio mokymo programų rengimo ir registravimo tvarkos aprašo 4 punktą „vienas mokymosi kreditas prilyginamas 27 akademinėms valandoms“. Ši gerokai ilgesnė profesionalių vairuotojų mokymų trukmė neatitiks Direktyvoje 2003/59/EB nustatytos mokymo trukmės. Atsižvelgiant į tai, tikslinga </w:t>
            </w:r>
            <w:r w:rsidRPr="001C3040">
              <w:rPr>
                <w:rFonts w:ascii="Times New Roman" w:hAnsi="Times New Roman" w:cs="Times New Roman"/>
                <w:bCs/>
              </w:rPr>
              <w:t>profesionalių</w:t>
            </w:r>
            <w:r w:rsidRPr="001C3040">
              <w:rPr>
                <w:rFonts w:ascii="Times New Roman" w:hAnsi="Times New Roman" w:cs="Times New Roman"/>
              </w:rPr>
              <w:t xml:space="preserve"> vairuotojų mokymą laikyti neformaliuoju suaugusiųjų švietimu.</w:t>
            </w:r>
          </w:p>
        </w:tc>
        <w:tc>
          <w:tcPr>
            <w:tcW w:w="4229" w:type="dxa"/>
            <w:tcBorders>
              <w:top w:val="single" w:color="auto" w:sz="4" w:space="0"/>
              <w:bottom w:val="single" w:color="auto" w:sz="4" w:space="0"/>
            </w:tcBorders>
            <w:tcMar/>
          </w:tcPr>
          <w:p w:rsidRPr="001C3040" w:rsidR="0094200C" w:rsidP="2B281452" w:rsidRDefault="0094200C" w14:paraId="25BCBC14" w14:textId="26779F95" w14:noSpellErr="1">
            <w:pPr>
              <w:jc w:val="both"/>
              <w:rPr>
                <w:rFonts w:ascii="Times New Roman" w:hAnsi="Times New Roman" w:cs="Times New Roman"/>
                <w:b w:val="1"/>
                <w:bCs w:val="1"/>
              </w:rPr>
            </w:pPr>
            <w:r w:rsidRPr="2B281452" w:rsidR="2B281452">
              <w:rPr>
                <w:rFonts w:ascii="Times New Roman" w:hAnsi="Times New Roman" w:cs="Times New Roman"/>
                <w:b w:val="1"/>
                <w:bCs w:val="1"/>
              </w:rPr>
              <w:t>Neatsižvelgta</w:t>
            </w:r>
            <w:r w:rsidRPr="2B281452" w:rsidR="2B281452">
              <w:rPr>
                <w:rFonts w:ascii="Times New Roman" w:hAnsi="Times New Roman" w:cs="Times New Roman"/>
                <w:b w:val="1"/>
                <w:bCs w:val="1"/>
              </w:rPr>
              <w:t>.</w:t>
            </w:r>
            <w:r w:rsidRPr="2B281452" w:rsidR="2B281452">
              <w:rPr>
                <w:rFonts w:ascii="Times New Roman" w:hAnsi="Times New Roman" w:cs="Times New Roman"/>
                <w:b w:val="1"/>
                <w:bCs w:val="1"/>
              </w:rPr>
              <w:t xml:space="preserve"> </w:t>
            </w:r>
          </w:p>
          <w:p w:rsidRPr="001C3040" w:rsidR="0094200C" w:rsidP="2B281452" w:rsidRDefault="0094200C" w14:paraId="04C81CB6" w14:noSpellErr="1" w14:textId="671B6822">
            <w:pPr>
              <w:jc w:val="both"/>
              <w:rPr>
                <w:rFonts w:ascii="Times New Roman" w:hAnsi="Times New Roman" w:cs="Times New Roman"/>
                <w:b w:val="1"/>
                <w:bCs w:val="1"/>
              </w:rPr>
            </w:pPr>
            <w:r w:rsidRPr="2B281452" w:rsidR="2B281452">
              <w:rPr>
                <w:rFonts w:ascii="Times New Roman" w:hAnsi="Times New Roman" w:cs="Times New Roman"/>
              </w:rPr>
              <w:t>Profesinio mokymo programos apimtis nustatoma mokymosi kreditais – mokymosi apimties vienetais, kuriais matuojami mokymosi rezultatai ir besimokančiojo darbo laikas. Atkreipiame dėmesį ir patiksliname, kad pirminiame profesiniame mokyme 1 mokymosi kredito 22 akademinės valandos skiriamos kontaktiniam darbui, konsultacijoms ir mokymosi pasiekimams vertinti, o 5 akademinės valandos – asmens savarankiškam mokymuisi, kuriam nevadovauja mokytojas; tęstinio profesinio mokymo 1 mokymosi kredito atitinkamai mažesnis –</w:t>
            </w:r>
            <w:r w:rsidRPr="2B281452" w:rsidR="2B281452">
              <w:rPr>
                <w:rFonts w:ascii="Times New Roman" w:hAnsi="Times New Roman" w:cs="Times New Roman"/>
              </w:rPr>
              <w:t xml:space="preserve"> </w:t>
            </w:r>
            <w:r w:rsidRPr="2B281452" w:rsidR="2B281452">
              <w:rPr>
                <w:rFonts w:ascii="Times New Roman" w:hAnsi="Times New Roman" w:cs="Times New Roman"/>
              </w:rPr>
              <w:t xml:space="preserve">18 akademinių valandų skiriama </w:t>
            </w:r>
            <w:r w:rsidRPr="2B281452" w:rsidR="2B281452">
              <w:rPr>
                <w:rFonts w:ascii="Times New Roman" w:hAnsi="Times New Roman" w:cs="Times New Roman"/>
              </w:rPr>
              <w:t xml:space="preserve">kontaktiniam darbui, konsultacijoms ir mokymosi pasiekimams vertinti, o 9 akademinės valandos  – asmens savarankiškam mokymuisi, kuriam nevadovauja mokytojas. Pastebime, kad pagal Profesinio mokymo programų rengimo ir registravimo tvarkos aprašo 5 punktą formaliojo profesinio mokymo programos apimtis negali būti mažesnė kaip 30 mokymosi kreditų, išskyrus tuos atvejus, kai Europos Sąjungos ar / ir nacionaliniai teisės aktai reglamentuoja kitaip, taigi programos trukmė nėra pagrindinis kriterijus priskirti ją neformaliajam suaugusiųjų švietimui. Svarbu paminėti, kad tikslinti profesinio mokymo programas, kurių turinys ir trukmė </w:t>
            </w:r>
            <w:r w:rsidRPr="2B281452" w:rsidR="2B281452">
              <w:rPr>
                <w:rFonts w:ascii="Times New Roman" w:hAnsi="Times New Roman" w:cs="Times New Roman"/>
              </w:rPr>
              <w:t xml:space="preserve">visiškai </w:t>
            </w:r>
            <w:r w:rsidRPr="2B281452" w:rsidR="2B281452">
              <w:rPr>
                <w:rFonts w:ascii="Times New Roman" w:hAnsi="Times New Roman" w:cs="Times New Roman"/>
              </w:rPr>
              <w:t>atitiktų Direktyvos (ES) 2018/645 reikalavimus</w:t>
            </w:r>
            <w:r w:rsidRPr="2B281452" w:rsidR="2B281452">
              <w:rPr>
                <w:rFonts w:ascii="Times New Roman" w:hAnsi="Times New Roman" w:cs="Times New Roman"/>
              </w:rPr>
              <w:t>,</w:t>
            </w:r>
            <w:r w:rsidRPr="2B281452" w:rsidR="2B281452">
              <w:rPr>
                <w:rFonts w:ascii="Times New Roman" w:hAnsi="Times New Roman" w:cs="Times New Roman"/>
              </w:rPr>
              <w:t xml:space="preserve"> galėsime tada, kai bus teisinis pagrindas, t. y. Direktyva (ES) 2018/645 perkelta į nacionalinę teisę, todėl labai skatiname greičiau perkelti Direktyvos nuostatas; aiškus </w:t>
            </w:r>
            <w:r w:rsidRPr="2B281452" w:rsidR="2B281452">
              <w:rPr>
                <w:rFonts w:ascii="Times New Roman" w:hAnsi="Times New Roman" w:cs="Times New Roman"/>
              </w:rPr>
              <w:t>m</w:t>
            </w:r>
            <w:r w:rsidRPr="2B281452" w:rsidR="2B281452">
              <w:rPr>
                <w:rFonts w:ascii="Times New Roman" w:hAnsi="Times New Roman" w:cs="Times New Roman"/>
              </w:rPr>
              <w:t xml:space="preserve">otorinių transporto priemonių keleiviams vežti vairuotojo ir </w:t>
            </w:r>
            <w:r w:rsidRPr="2B281452" w:rsidR="2B281452">
              <w:rPr>
                <w:rFonts w:ascii="Times New Roman" w:hAnsi="Times New Roman" w:cs="Times New Roman"/>
              </w:rPr>
              <w:t>m</w:t>
            </w:r>
            <w:r w:rsidRPr="2B281452" w:rsidR="2B281452">
              <w:rPr>
                <w:rFonts w:ascii="Times New Roman" w:hAnsi="Times New Roman" w:cs="Times New Roman"/>
              </w:rPr>
              <w:t>otorinių transporto priemonių kroviniams vežti vairuotojo kvalifikacijos apibrėžimas ir kvalifikacijos įgijimo sąlygų suderinimas su Direktyva bus galimas, kada šios dvi kvalifikacijos bus patvirtintos Transporto ir saugojimo paslaugų sektoriaus profesiniame standarte.</w:t>
            </w:r>
            <w:r w:rsidRPr="2B281452" w:rsidR="2B281452">
              <w:rPr>
                <w:rFonts w:ascii="Times New Roman" w:hAnsi="Times New Roman" w:cs="Times New Roman"/>
              </w:rPr>
              <w:t xml:space="preserve"> </w:t>
            </w:r>
          </w:p>
        </w:tc>
      </w:tr>
      <w:tr w:rsidRPr="001C3040" w:rsidR="00100822" w:rsidTr="2B281452" w14:paraId="6C524014" w14:textId="77777777">
        <w:tc>
          <w:tcPr>
            <w:tcW w:w="540" w:type="dxa"/>
            <w:tcBorders>
              <w:top w:val="single" w:color="auto" w:sz="4" w:space="0"/>
              <w:bottom w:val="single" w:color="auto" w:sz="4" w:space="0"/>
            </w:tcBorders>
            <w:tcMar/>
          </w:tcPr>
          <w:p w:rsidRPr="001C3040" w:rsidR="0094200C" w:rsidRDefault="0094200C" w14:paraId="2480DDA3" w14:textId="6560BE4A">
            <w:r w:rsidRPr="001C3040">
              <w:lastRenderedPageBreak/>
              <w:t>7.</w:t>
            </w:r>
          </w:p>
        </w:tc>
        <w:tc>
          <w:tcPr>
            <w:tcW w:w="1470" w:type="dxa"/>
            <w:tcBorders>
              <w:top w:val="single" w:color="auto" w:sz="4" w:space="0"/>
              <w:bottom w:val="single" w:color="auto" w:sz="4" w:space="0"/>
            </w:tcBorders>
            <w:tcMar/>
          </w:tcPr>
          <w:p w:rsidRPr="001C3040" w:rsidR="0094200C" w:rsidRDefault="0094200C" w14:paraId="484996D3" w14:textId="6916A33A"/>
        </w:tc>
        <w:tc>
          <w:tcPr>
            <w:tcW w:w="4381" w:type="dxa"/>
            <w:tcMar/>
          </w:tcPr>
          <w:p w:rsidRPr="001C3040" w:rsidR="0094200C" w:rsidP="00783A69" w:rsidRDefault="0094200C" w14:paraId="4A2BEC27" w14:textId="77777777">
            <w:pPr>
              <w:jc w:val="both"/>
              <w:rPr>
                <w:rFonts w:ascii="Times New Roman" w:hAnsi="Times New Roman" w:cs="Times New Roman"/>
                <w:highlight w:val="lightGray"/>
              </w:rPr>
            </w:pPr>
            <w:r w:rsidRPr="001C3040">
              <w:rPr>
                <w:rFonts w:ascii="Times New Roman" w:hAnsi="Times New Roman" w:cs="Times New Roman"/>
              </w:rPr>
              <w:t xml:space="preserve">Siekiant užtikrinti tinkamą profesionalių vairuotojų mokymo kokybę, taip pat efektyvesnę ir visapusišką kontrolę, Įstatymo projektu siūloma nustatyti, kad ne tik vairuotojų kompetencijos </w:t>
            </w:r>
            <w:r w:rsidRPr="001C3040">
              <w:rPr>
                <w:rFonts w:ascii="Times New Roman" w:hAnsi="Times New Roman" w:cs="Times New Roman"/>
                <w:bCs/>
              </w:rPr>
              <w:t>įgijimo</w:t>
            </w:r>
            <w:r w:rsidRPr="001C3040">
              <w:rPr>
                <w:rFonts w:ascii="Times New Roman" w:hAnsi="Times New Roman" w:cs="Times New Roman"/>
              </w:rPr>
              <w:t xml:space="preserve"> kursai, bet ir vairuotojų kompetencijos tobulinimo kursai būtų užbaigiami egzaminu. Mokymo centrai privalėtų daryti kompetencijos egzamino, praktinio vairavimo įskaitos ir kompetencijos tobulinimo egzamino vaizdo ir garso įrašus pagal Vyriausybės įgaliotos institucijos nustatytus reikalavimus. Toks pasiteisinęs kontrolės metodas taikomas vykdant vairuotojų mokymą ir papildomą vairuotojų mokymą. Vairuotojų kompetencijos </w:t>
            </w:r>
            <w:r w:rsidRPr="001C3040">
              <w:rPr>
                <w:rFonts w:ascii="Times New Roman" w:hAnsi="Times New Roman" w:cs="Times New Roman"/>
                <w:bCs/>
              </w:rPr>
              <w:t>įgijimo</w:t>
            </w:r>
            <w:r w:rsidRPr="001C3040">
              <w:rPr>
                <w:rFonts w:ascii="Times New Roman" w:hAnsi="Times New Roman" w:cs="Times New Roman"/>
              </w:rPr>
              <w:t xml:space="preserve"> ir vairuotojų kompetencijos tobulinimo kursų rengimo priežiūrą vykdys Lietuvos transporto saugos administracija, turinti atitinkamos mokymo kursų priežiūros patirties, kompetencijos, resursų ir galinti užtikrinti Direktyvos 2003/59/EB 1 priedo 5 skirsnio 5.2.2 papunktyje nurodomą tinkamą profesionalių vairuotojų mokymo kursų ir egzaminavimo organizavimą.</w:t>
            </w:r>
          </w:p>
        </w:tc>
        <w:tc>
          <w:tcPr>
            <w:tcW w:w="4229" w:type="dxa"/>
            <w:tcBorders>
              <w:top w:val="single" w:color="auto" w:sz="4" w:space="0"/>
              <w:bottom w:val="single" w:color="auto" w:sz="4" w:space="0"/>
            </w:tcBorders>
            <w:tcMar/>
          </w:tcPr>
          <w:p w:rsidRPr="001C3040" w:rsidR="0094200C" w:rsidP="00192AD5" w:rsidRDefault="0094200C" w14:paraId="120F634C" w14:textId="77777777">
            <w:pPr>
              <w:tabs>
                <w:tab w:val="left" w:pos="0"/>
                <w:tab w:val="left" w:pos="1276"/>
              </w:tabs>
              <w:contextualSpacing/>
              <w:jc w:val="both"/>
              <w:rPr>
                <w:rFonts w:ascii="Times New Roman" w:hAnsi="Times New Roman" w:eastAsia="Times New Roman" w:cs="Times New Roman"/>
                <w:b/>
              </w:rPr>
            </w:pPr>
            <w:r w:rsidRPr="001C3040">
              <w:rPr>
                <w:rFonts w:ascii="Times New Roman" w:hAnsi="Times New Roman" w:eastAsia="Times New Roman" w:cs="Times New Roman"/>
                <w:b/>
              </w:rPr>
              <w:t>Neatsižvelgta.</w:t>
            </w:r>
          </w:p>
          <w:p w:rsidRPr="001C3040" w:rsidR="0094200C" w:rsidP="00D31706" w:rsidRDefault="0094200C" w14:paraId="736106E4" w14:textId="099A6B2C">
            <w:pPr>
              <w:tabs>
                <w:tab w:val="left" w:pos="0"/>
                <w:tab w:val="left" w:pos="1276"/>
              </w:tabs>
              <w:contextualSpacing/>
              <w:jc w:val="both"/>
              <w:rPr>
                <w:rFonts w:ascii="Times New Roman" w:hAnsi="Times New Roman" w:cs="Times New Roman"/>
                <w:b/>
              </w:rPr>
            </w:pPr>
            <w:r w:rsidRPr="001C3040">
              <w:rPr>
                <w:rFonts w:ascii="Times New Roman" w:hAnsi="Times New Roman" w:eastAsia="Times New Roman" w:cs="Times New Roman"/>
              </w:rPr>
              <w:t>Nors Direktyva</w:t>
            </w:r>
            <w:r w:rsidRPr="001C3040">
              <w:rPr>
                <w:rFonts w:ascii="Times New Roman" w:hAnsi="Times New Roman" w:eastAsia="Calibri" w:cs="Times New Roman"/>
              </w:rPr>
              <w:t xml:space="preserve"> </w:t>
            </w:r>
            <w:r w:rsidRPr="001C3040" w:rsidR="00BD667E">
              <w:rPr>
                <w:rFonts w:ascii="Times New Roman" w:hAnsi="Times New Roman" w:eastAsia="Calibri" w:cs="Times New Roman"/>
              </w:rPr>
              <w:t xml:space="preserve">2003/59/EB </w:t>
            </w:r>
            <w:r w:rsidRPr="001C3040">
              <w:rPr>
                <w:rFonts w:ascii="Times New Roman" w:hAnsi="Times New Roman" w:eastAsia="Calibri" w:cs="Times New Roman"/>
              </w:rPr>
              <w:t xml:space="preserve">„suteikia valstybėms narėms galimybę </w:t>
            </w:r>
            <w:r w:rsidRPr="001C3040">
              <w:rPr>
                <w:rFonts w:ascii="Times New Roman" w:hAnsi="Times New Roman" w:eastAsia="Calibri" w:cs="Times New Roman"/>
                <w:bCs/>
              </w:rPr>
              <w:t xml:space="preserve">labai lanksčiai spręsti, kaip įgyvendinti direktyvą“, tačiau </w:t>
            </w:r>
            <w:r w:rsidRPr="001C3040">
              <w:rPr>
                <w:rFonts w:ascii="Times New Roman" w:hAnsi="Times New Roman" w:eastAsia="Times New Roman" w:cs="Times New Roman"/>
                <w:bCs/>
              </w:rPr>
              <w:t>iš šios nuostatos</w:t>
            </w:r>
            <w:r w:rsidRPr="001C3040">
              <w:rPr>
                <w:rFonts w:ascii="Times New Roman" w:hAnsi="Times New Roman" w:eastAsia="Times New Roman" w:cs="Times New Roman"/>
              </w:rPr>
              <w:t xml:space="preserve"> galima suprasti, kad siekiama kuo griežčiau kontroliuoti mokymo centrus, vairuotojų tobulinimo kursus užbaigti egzaminu, kurio nenumato </w:t>
            </w:r>
            <w:r w:rsidR="00D31706">
              <w:rPr>
                <w:rFonts w:ascii="Times New Roman" w:hAnsi="Times New Roman" w:eastAsia="Times New Roman" w:cs="Times New Roman"/>
              </w:rPr>
              <w:t>D</w:t>
            </w:r>
            <w:r w:rsidRPr="001C3040">
              <w:rPr>
                <w:rFonts w:ascii="Times New Roman" w:hAnsi="Times New Roman" w:eastAsia="Times New Roman" w:cs="Times New Roman"/>
              </w:rPr>
              <w:t>irektyva. Direktyvoje</w:t>
            </w:r>
            <w:r w:rsidR="00D31706">
              <w:rPr>
                <w:rFonts w:ascii="Times New Roman" w:hAnsi="Times New Roman" w:eastAsia="Times New Roman" w:cs="Times New Roman"/>
              </w:rPr>
              <w:t xml:space="preserve"> </w:t>
            </w:r>
            <w:r w:rsidRPr="001C3040" w:rsidR="00D27D29">
              <w:rPr>
                <w:rFonts w:ascii="Times New Roman" w:hAnsi="Times New Roman" w:eastAsia="Times New Roman" w:cs="Times New Roman"/>
              </w:rPr>
              <w:t>(ES) 2018/645</w:t>
            </w:r>
            <w:r w:rsidRPr="001C3040" w:rsidR="00BD667E">
              <w:rPr>
                <w:rFonts w:ascii="Times New Roman" w:hAnsi="Times New Roman" w:eastAsia="Times New Roman" w:cs="Times New Roman"/>
              </w:rPr>
              <w:t xml:space="preserve"> </w:t>
            </w:r>
            <w:r w:rsidRPr="001C3040">
              <w:rPr>
                <w:rFonts w:ascii="Times New Roman" w:hAnsi="Times New Roman" w:eastAsia="Times New Roman" w:cs="Times New Roman"/>
              </w:rPr>
              <w:t xml:space="preserve">numatyta, kad „kvalifikacijos kėlimas – tai mokymas, leidžiantis PKP turėtojams atnaujinti jų darbui svarbias žinias, ypatingą dėmesį skiriant kelių eismo saugumui, darbuotojų sveikatai ir saugai ir vairavimo poveikio aplinkai mažinimui“. „Kvalifikacijos kėlimu siekiama pagilinti kai kurių dalykų išmanymą ir pakartoti juos“. Direktyva </w:t>
            </w:r>
            <w:r w:rsidRPr="001C3040" w:rsidR="007A6350">
              <w:rPr>
                <w:rFonts w:ascii="Times New Roman" w:hAnsi="Times New Roman" w:eastAsia="Times New Roman" w:cs="Times New Roman"/>
              </w:rPr>
              <w:t xml:space="preserve">(ES) 2018/645 </w:t>
            </w:r>
            <w:r w:rsidRPr="001C3040">
              <w:rPr>
                <w:rFonts w:ascii="Times New Roman" w:hAnsi="Times New Roman" w:eastAsia="Times New Roman" w:cs="Times New Roman"/>
              </w:rPr>
              <w:t xml:space="preserve">akcentuoja, kad būtų atsižvelgiama į konkrečius vairuotojo mokymo poreikius. Direktyva </w:t>
            </w:r>
            <w:r w:rsidRPr="001C3040" w:rsidR="00BD667E">
              <w:rPr>
                <w:rFonts w:ascii="Times New Roman" w:hAnsi="Times New Roman" w:eastAsia="Times New Roman" w:cs="Times New Roman"/>
              </w:rPr>
              <w:t xml:space="preserve">2003/59/EB </w:t>
            </w:r>
            <w:r w:rsidRPr="001C3040">
              <w:rPr>
                <w:rFonts w:ascii="Times New Roman" w:hAnsi="Times New Roman" w:eastAsia="Times New Roman" w:cs="Times New Roman"/>
              </w:rPr>
              <w:t xml:space="preserve">numato, kad mokymo pabaigoje (ne kvalifikacijos kėlimo pabaigoje) „valstybės narės kompetentingos institucijos arba jų paskiriama įstaiga surengia vairuotojui rašytinį arba žodinį egzaminą“. Iš pateiktos pozicijos galima manyti, kad egzaminą vykdys pati vairuotojus mokiusi įstaiga, o Transporto saugos administracija </w:t>
            </w:r>
            <w:r w:rsidRPr="001C3040">
              <w:rPr>
                <w:rFonts w:ascii="Times New Roman" w:hAnsi="Times New Roman" w:eastAsia="Times New Roman" w:cs="Times New Roman"/>
              </w:rPr>
              <w:lastRenderedPageBreak/>
              <w:t xml:space="preserve">atliks priežiūros vaidmenį. Tai prieštarauja </w:t>
            </w:r>
            <w:r w:rsidRPr="001C3040" w:rsidR="000D2D04">
              <w:rPr>
                <w:rFonts w:ascii="Times New Roman" w:hAnsi="Times New Roman" w:eastAsia="Times New Roman" w:cs="Times New Roman"/>
              </w:rPr>
              <w:t xml:space="preserve">minėtai </w:t>
            </w:r>
            <w:r w:rsidRPr="001C3040">
              <w:rPr>
                <w:rFonts w:ascii="Times New Roman" w:hAnsi="Times New Roman" w:eastAsia="Times New Roman" w:cs="Times New Roman"/>
              </w:rPr>
              <w:t xml:space="preserve">Direktyvai. Atkreipiamas dėmesys, kad šiuo metu asmenų įgytas kompetencijas (teorines ir praktines žinias) atitinkamai kvalifikacijai įgyti teisės aktų nustatyta tvarka vertina akredituotos kompetencijų vertinimo institucijos, </w:t>
            </w:r>
            <w:r w:rsidRPr="001C3040" w:rsidR="00C61BE9">
              <w:rPr>
                <w:rFonts w:ascii="Times New Roman" w:hAnsi="Times New Roman" w:eastAsia="Times New Roman" w:cs="Times New Roman"/>
              </w:rPr>
              <w:t>mokymas yra atskirtas nuo kompetencijų vertinimo</w:t>
            </w:r>
            <w:r w:rsidR="00D31706">
              <w:rPr>
                <w:rFonts w:ascii="Times New Roman" w:hAnsi="Times New Roman" w:eastAsia="Times New Roman" w:cs="Times New Roman"/>
              </w:rPr>
              <w:t>,</w:t>
            </w:r>
            <w:r w:rsidRPr="001C3040" w:rsidR="00C61BE9">
              <w:rPr>
                <w:rFonts w:ascii="Times New Roman" w:hAnsi="Times New Roman" w:eastAsia="Times New Roman" w:cs="Times New Roman"/>
              </w:rPr>
              <w:t xml:space="preserve"> </w:t>
            </w:r>
            <w:r w:rsidRPr="001C3040">
              <w:rPr>
                <w:rFonts w:ascii="Times New Roman" w:hAnsi="Times New Roman" w:eastAsia="Times New Roman" w:cs="Times New Roman"/>
              </w:rPr>
              <w:t xml:space="preserve">kas atitinka Direktyvos </w:t>
            </w:r>
            <w:r w:rsidRPr="001C3040" w:rsidR="00472B53">
              <w:rPr>
                <w:rFonts w:ascii="Times New Roman" w:hAnsi="Times New Roman" w:eastAsia="Times New Roman" w:cs="Times New Roman"/>
              </w:rPr>
              <w:t xml:space="preserve">2003/59/EB </w:t>
            </w:r>
            <w:r w:rsidRPr="001C3040">
              <w:rPr>
                <w:rFonts w:ascii="Times New Roman" w:hAnsi="Times New Roman" w:eastAsia="Times New Roman" w:cs="Times New Roman"/>
              </w:rPr>
              <w:t>nuostatas.</w:t>
            </w:r>
          </w:p>
        </w:tc>
      </w:tr>
      <w:tr w:rsidRPr="001C3040" w:rsidR="000121CB" w:rsidTr="2B281452" w14:paraId="07C49276" w14:textId="77777777">
        <w:tc>
          <w:tcPr>
            <w:tcW w:w="540" w:type="dxa"/>
            <w:tcBorders>
              <w:top w:val="single" w:color="auto" w:sz="4" w:space="0"/>
              <w:bottom w:val="single" w:color="auto" w:sz="4" w:space="0"/>
            </w:tcBorders>
            <w:tcMar/>
          </w:tcPr>
          <w:p w:rsidRPr="001C3040" w:rsidR="000121CB" w:rsidRDefault="000121CB" w14:paraId="3F611306" w14:textId="4AAF62F6">
            <w:r w:rsidRPr="001C3040">
              <w:lastRenderedPageBreak/>
              <w:t xml:space="preserve">8. </w:t>
            </w:r>
          </w:p>
        </w:tc>
        <w:tc>
          <w:tcPr>
            <w:tcW w:w="1470" w:type="dxa"/>
            <w:tcBorders>
              <w:top w:val="single" w:color="auto" w:sz="4" w:space="0"/>
              <w:bottom w:val="single" w:color="auto" w:sz="4" w:space="0"/>
            </w:tcBorders>
            <w:tcMar/>
          </w:tcPr>
          <w:p w:rsidRPr="001C3040" w:rsidR="000121CB" w:rsidRDefault="000121CB" w14:paraId="0A23AB5E" w14:textId="77777777"/>
        </w:tc>
        <w:tc>
          <w:tcPr>
            <w:tcW w:w="4381" w:type="dxa"/>
            <w:tcMar/>
          </w:tcPr>
          <w:p w:rsidRPr="001C3040" w:rsidR="000121CB" w:rsidP="00783A69" w:rsidRDefault="000121CB" w14:paraId="1571F4FE" w14:textId="08A3AFFB">
            <w:pPr>
              <w:jc w:val="both"/>
              <w:rPr>
                <w:rFonts w:ascii="Times New Roman" w:hAnsi="Times New Roman" w:cs="Times New Roman"/>
              </w:rPr>
            </w:pPr>
            <w:r w:rsidRPr="001C3040">
              <w:rPr>
                <w:rFonts w:ascii="Times New Roman" w:hAnsi="Times New Roman" w:cs="Times New Roman"/>
              </w:rPr>
              <w:t xml:space="preserve">Po kelis metus trukusių įvairaus formato diskusijų dėl Įstatymo projekto nuostatų išryškėjo poreikis, kad profesionalių vairuotojų mokymas, jokiu būdu nepažeidžiant Direktyvos 2003/59/EB reikalavimų, būtų organizuojamas ir vykdomas kuo lanksčiau ir galėtų kaip įmanoma greičiau tenkinti besikeičiančius verslo poreikius, pavyzdžiui, kad profesionalių vairuotojų mokymas būtų vykdomas ne vien valstybine kalba, bet ir kitomis kalbomis (anglų, rusų ir kt.). Tai aktualu įdarbinamiems ir jau dirbantiems trečiųjų šalių vairuotojams, o jų skaičius kasmet auga (2021 m. užfiksuota beveik 70 tūkst. </w:t>
            </w:r>
            <w:r w:rsidRPr="001C3040" w:rsidR="00A6524D">
              <w:rPr>
                <w:rFonts w:ascii="Times New Roman" w:hAnsi="Times New Roman" w:cs="Times New Roman"/>
              </w:rPr>
              <w:t>G</w:t>
            </w:r>
            <w:r w:rsidRPr="001C3040">
              <w:rPr>
                <w:rFonts w:ascii="Times New Roman" w:hAnsi="Times New Roman" w:cs="Times New Roman"/>
              </w:rPr>
              <w:t>aliojančių trečiųjų šalių vairuotojų liudijimų). Deja, esamas profesionalių vairuotojų mokymo modelis reikiamu lankstumu nepasižymi.</w:t>
            </w:r>
          </w:p>
        </w:tc>
        <w:tc>
          <w:tcPr>
            <w:tcW w:w="4229" w:type="dxa"/>
            <w:tcBorders>
              <w:top w:val="single" w:color="auto" w:sz="4" w:space="0"/>
              <w:bottom w:val="single" w:color="auto" w:sz="4" w:space="0"/>
            </w:tcBorders>
            <w:tcMar/>
          </w:tcPr>
          <w:p w:rsidRPr="001C3040" w:rsidR="00241F54" w:rsidP="000121CB" w:rsidRDefault="00241F54" w14:paraId="76D5F218" w14:textId="5631E4AE">
            <w:pPr>
              <w:tabs>
                <w:tab w:val="left" w:pos="0"/>
                <w:tab w:val="left" w:pos="1276"/>
              </w:tabs>
              <w:contextualSpacing/>
              <w:jc w:val="both"/>
              <w:rPr>
                <w:rFonts w:ascii="Times New Roman" w:hAnsi="Times New Roman" w:eastAsia="Times New Roman" w:cs="Times New Roman"/>
                <w:b/>
              </w:rPr>
            </w:pPr>
            <w:r w:rsidRPr="001C3040">
              <w:rPr>
                <w:rFonts w:ascii="Times New Roman" w:hAnsi="Times New Roman" w:eastAsia="Times New Roman" w:cs="Times New Roman"/>
                <w:b/>
              </w:rPr>
              <w:t>Neatsižvelgta</w:t>
            </w:r>
            <w:r w:rsidR="00A35DA4">
              <w:rPr>
                <w:rFonts w:ascii="Times New Roman" w:hAnsi="Times New Roman" w:eastAsia="Times New Roman" w:cs="Times New Roman"/>
                <w:b/>
              </w:rPr>
              <w:t>.</w:t>
            </w:r>
            <w:r w:rsidRPr="001C3040">
              <w:rPr>
                <w:rFonts w:ascii="Times New Roman" w:hAnsi="Times New Roman" w:eastAsia="Times New Roman" w:cs="Times New Roman"/>
                <w:b/>
              </w:rPr>
              <w:t xml:space="preserve"> </w:t>
            </w:r>
          </w:p>
          <w:p w:rsidRPr="001C3040" w:rsidR="000121CB" w:rsidP="28733E31" w:rsidRDefault="000121CB" w14:paraId="4FD05E75" w14:noSpellErr="1" w14:textId="08583174">
            <w:pPr>
              <w:tabs>
                <w:tab w:val="left" w:pos="0"/>
                <w:tab w:val="left" w:pos="1276"/>
              </w:tabs>
              <w:contextualSpacing/>
              <w:jc w:val="both"/>
              <w:rPr>
                <w:rFonts w:ascii="Times New Roman" w:hAnsi="Times New Roman" w:eastAsia="Times New Roman" w:cs="Times New Roman"/>
              </w:rPr>
            </w:pPr>
            <w:r w:rsidRPr="28733E31" w:rsidR="28733E31">
              <w:rPr>
                <w:rFonts w:ascii="Times New Roman" w:hAnsi="Times New Roman" w:eastAsia="Times New Roman" w:cs="Times New Roman"/>
              </w:rPr>
              <w:t xml:space="preserve">Pažymėtina, kad </w:t>
            </w:r>
            <w:r w:rsidRPr="28733E31" w:rsidR="28733E31">
              <w:rPr>
                <w:rFonts w:ascii="Times New Roman" w:hAnsi="Times New Roman" w:eastAsia="Times New Roman" w:cs="Times New Roman"/>
              </w:rPr>
              <w:t xml:space="preserve">visuose sektoriuose auga trečiųjų šalių piliečių įdarbinimo poreikis, todėl </w:t>
            </w:r>
            <w:r w:rsidRPr="28733E31" w:rsidR="28733E31">
              <w:rPr>
                <w:rFonts w:ascii="Times New Roman" w:hAnsi="Times New Roman" w:eastAsia="Times New Roman" w:cs="Times New Roman"/>
              </w:rPr>
              <w:t xml:space="preserve">mokymo procesas gali būti organizuojamas ta kalba, kuria kalba mokiniai, nėra teisinio pagrindo, kuris neleistų mokyti užsienio kalba. </w:t>
            </w:r>
            <w:r w:rsidRPr="28733E31" w:rsidR="28733E31">
              <w:rPr>
                <w:rFonts w:ascii="Times New Roman" w:hAnsi="Times New Roman" w:eastAsia="Times New Roman" w:cs="Times New Roman"/>
              </w:rPr>
              <w:t>Nekorektiška teigti, kad „šios profesijos atstovai bus priversti vykti mokytis į kitas ES valstybes, kur reikalavimai bus daug paprastesni, o jų mokymo pažymėjimai bus pripažįstami visoje ES“</w:t>
            </w:r>
            <w:r w:rsidRPr="28733E31" w:rsidR="28733E31">
              <w:rPr>
                <w:rFonts w:ascii="Times New Roman" w:hAnsi="Times New Roman" w:eastAsia="Times New Roman" w:cs="Times New Roman"/>
              </w:rPr>
              <w:t>.</w:t>
            </w:r>
            <w:r w:rsidRPr="28733E31" w:rsidR="28733E31">
              <w:rPr>
                <w:rFonts w:ascii="Times New Roman" w:hAnsi="Times New Roman" w:eastAsia="Times New Roman" w:cs="Times New Roman"/>
              </w:rPr>
              <w:t xml:space="preserve"> Direktyvos 2003/59/EB 9</w:t>
            </w:r>
            <w:r w:rsidRPr="28733E31" w:rsidR="28733E31">
              <w:rPr>
                <w:rFonts w:ascii="Times New Roman" w:hAnsi="Times New Roman" w:eastAsia="Times New Roman" w:cs="Times New Roman"/>
              </w:rPr>
              <w:t> </w:t>
            </w:r>
            <w:r w:rsidRPr="28733E31" w:rsidR="28733E31">
              <w:rPr>
                <w:rFonts w:ascii="Times New Roman" w:hAnsi="Times New Roman" w:eastAsia="Times New Roman" w:cs="Times New Roman"/>
              </w:rPr>
              <w:t>straipsnyje nustatyta, kad „šios direktyvos  1 straipsnio a punkte nurodyti vairuotojai šios direktyvos 5 straipsnyje nurodytą pradinę kvalifikaciją įgyja valstybėje narėje, kurioje yra jų įprastinė gyvenamoji vieta, kaip apibrėžta Direktyvos 2006/126/EB 12</w:t>
            </w:r>
            <w:r w:rsidRPr="28733E31" w:rsidR="28733E31">
              <w:rPr>
                <w:rFonts w:ascii="Times New Roman" w:hAnsi="Times New Roman" w:eastAsia="Times New Roman" w:cs="Times New Roman"/>
              </w:rPr>
              <w:t> </w:t>
            </w:r>
            <w:r w:rsidRPr="28733E31" w:rsidR="28733E31">
              <w:rPr>
                <w:rFonts w:ascii="Times New Roman" w:hAnsi="Times New Roman" w:eastAsia="Times New Roman" w:cs="Times New Roman"/>
              </w:rPr>
              <w:t xml:space="preserve">straipsnyje“. Kita situacija, kai siekiama kelti kvalifikaciją. Vairuotojai kursą gali išklausyti valstybėje narėje, kurioje jie nuolatos gyvena, arba valstybėje narėje, kurioje dirba. </w:t>
            </w:r>
          </w:p>
        </w:tc>
      </w:tr>
      <w:tr w:rsidRPr="001C3040" w:rsidR="00100822" w:rsidTr="2B281452" w14:paraId="0DF33883" w14:textId="77777777">
        <w:tc>
          <w:tcPr>
            <w:tcW w:w="540" w:type="dxa"/>
            <w:tcBorders>
              <w:top w:val="single" w:color="auto" w:sz="4" w:space="0"/>
              <w:bottom w:val="single" w:color="auto" w:sz="4" w:space="0"/>
            </w:tcBorders>
            <w:tcMar/>
          </w:tcPr>
          <w:p w:rsidRPr="001C3040" w:rsidR="0094200C" w:rsidRDefault="000121CB" w14:paraId="29B1DD5D" w14:textId="35F654FE">
            <w:r w:rsidRPr="001C3040">
              <w:t>9</w:t>
            </w:r>
            <w:r w:rsidRPr="001C3040" w:rsidR="0094200C">
              <w:t>.</w:t>
            </w:r>
          </w:p>
        </w:tc>
        <w:tc>
          <w:tcPr>
            <w:tcW w:w="1470" w:type="dxa"/>
            <w:tcBorders>
              <w:top w:val="single" w:color="auto" w:sz="4" w:space="0"/>
              <w:bottom w:val="single" w:color="auto" w:sz="4" w:space="0"/>
            </w:tcBorders>
            <w:tcMar/>
          </w:tcPr>
          <w:p w:rsidRPr="001C3040" w:rsidR="0094200C" w:rsidRDefault="0094200C" w14:paraId="2A7124CC" w14:textId="7EC36976"/>
        </w:tc>
        <w:tc>
          <w:tcPr>
            <w:tcW w:w="4381" w:type="dxa"/>
            <w:tcMar/>
          </w:tcPr>
          <w:p w:rsidRPr="001C3040" w:rsidR="0094200C" w:rsidP="00783A69" w:rsidRDefault="0094200C" w14:paraId="519D5E61" w14:textId="77777777">
            <w:pPr>
              <w:jc w:val="both"/>
              <w:rPr>
                <w:rFonts w:ascii="Times New Roman" w:hAnsi="Times New Roman" w:cs="Times New Roman"/>
              </w:rPr>
            </w:pPr>
            <w:r w:rsidRPr="001C3040">
              <w:rPr>
                <w:rFonts w:ascii="Times New Roman" w:hAnsi="Times New Roman" w:cs="Times New Roman"/>
              </w:rPr>
              <w:t>Nepaisant visų Įstatymo projekto rengimo metu išryškėjusių teisinių ir praktinių esamo profesionalių vairuotojų mokymo modelio trūkumų (netinkamo teisinio reglamentavimo, nepakankamo profesinio mokymo sistemos lankstumo, silpnos priežiūros ir kt.), nustatytų darbo rinkos ir krovinių bei keleivių vežimo srities problemų ir aiškiai tarpinstituciniuose pasitarimuose verslo įvardytų poreikių ir lūkesčių, Nutarimo projekto nuostatomis formuojama nepriimtina Vyriausybės pozicija nekeisti esamos profesionalių vairuotojų mokymo sistemos ir nespręsti per ilgą laiką susikaupusių profesionalių vairuotojų mokymo problemų.</w:t>
            </w:r>
          </w:p>
        </w:tc>
        <w:tc>
          <w:tcPr>
            <w:tcW w:w="4229" w:type="dxa"/>
            <w:tcBorders>
              <w:top w:val="single" w:color="auto" w:sz="4" w:space="0"/>
              <w:bottom w:val="single" w:color="auto" w:sz="4" w:space="0"/>
            </w:tcBorders>
            <w:tcMar/>
          </w:tcPr>
          <w:p w:rsidRPr="001C3040" w:rsidR="0094200C" w:rsidP="00192AD5" w:rsidRDefault="0094200C" w14:paraId="1D3A98E4" w14:textId="531EC0F9">
            <w:pPr>
              <w:tabs>
                <w:tab w:val="left" w:pos="0"/>
                <w:tab w:val="left" w:pos="1276"/>
              </w:tabs>
              <w:contextualSpacing/>
              <w:jc w:val="both"/>
              <w:rPr>
                <w:rFonts w:ascii="Times New Roman" w:hAnsi="Times New Roman" w:eastAsia="Times New Roman" w:cs="Times New Roman"/>
                <w:b/>
              </w:rPr>
            </w:pPr>
            <w:r w:rsidRPr="001C3040">
              <w:rPr>
                <w:rFonts w:ascii="Times New Roman" w:hAnsi="Times New Roman" w:eastAsia="Times New Roman" w:cs="Times New Roman"/>
                <w:b/>
              </w:rPr>
              <w:t>Neatsižvelgta</w:t>
            </w:r>
            <w:r w:rsidR="00A35DA4">
              <w:rPr>
                <w:rFonts w:ascii="Times New Roman" w:hAnsi="Times New Roman" w:eastAsia="Times New Roman" w:cs="Times New Roman"/>
                <w:b/>
              </w:rPr>
              <w:t>.</w:t>
            </w:r>
            <w:r w:rsidRPr="001C3040">
              <w:rPr>
                <w:rFonts w:ascii="Times New Roman" w:hAnsi="Times New Roman" w:eastAsia="Times New Roman" w:cs="Times New Roman"/>
                <w:b/>
              </w:rPr>
              <w:t xml:space="preserve"> </w:t>
            </w:r>
          </w:p>
          <w:p w:rsidRPr="001C3040" w:rsidR="00DB21AB" w:rsidP="0060196A" w:rsidRDefault="0094200C" w14:paraId="76D93DFE" w14:textId="4C4EB9DC">
            <w:pPr>
              <w:tabs>
                <w:tab w:val="left" w:pos="0"/>
                <w:tab w:val="left" w:pos="1276"/>
              </w:tabs>
              <w:contextualSpacing/>
              <w:jc w:val="both"/>
              <w:rPr>
                <w:rFonts w:ascii="Times New Roman" w:hAnsi="Times New Roman" w:eastAsia="Times New Roman" w:cs="Times New Roman"/>
                <w:bCs/>
              </w:rPr>
            </w:pPr>
            <w:r w:rsidRPr="001C3040">
              <w:rPr>
                <w:rFonts w:ascii="Times New Roman" w:hAnsi="Times New Roman" w:eastAsia="Times New Roman" w:cs="Times New Roman"/>
                <w:bCs/>
              </w:rPr>
              <w:t>Ministerijos nuomone,</w:t>
            </w:r>
            <w:r w:rsidRPr="001C3040" w:rsidR="0063443B">
              <w:rPr>
                <w:rFonts w:ascii="Times New Roman" w:hAnsi="Times New Roman" w:eastAsia="Times New Roman" w:cs="Times New Roman"/>
                <w:bCs/>
              </w:rPr>
              <w:t xml:space="preserve"> </w:t>
            </w:r>
            <w:r w:rsidRPr="001C3040" w:rsidR="00C33A48">
              <w:rPr>
                <w:rFonts w:ascii="Times New Roman" w:hAnsi="Times New Roman" w:eastAsia="Times New Roman" w:cs="Times New Roman"/>
                <w:bCs/>
              </w:rPr>
              <w:t>problemos, esančios profesionalių vairuotojų mokymo sistemoje, galėtų būti išsprendžiamos nekeičiant įstatymo, pvz</w:t>
            </w:r>
            <w:r w:rsidRPr="001C3040" w:rsidR="00DF68B2">
              <w:rPr>
                <w:rFonts w:ascii="Times New Roman" w:hAnsi="Times New Roman" w:eastAsia="Times New Roman" w:cs="Times New Roman"/>
                <w:bCs/>
              </w:rPr>
              <w:t>.</w:t>
            </w:r>
            <w:r w:rsidR="00D31706">
              <w:rPr>
                <w:rFonts w:ascii="Times New Roman" w:hAnsi="Times New Roman" w:eastAsia="Times New Roman" w:cs="Times New Roman"/>
                <w:bCs/>
              </w:rPr>
              <w:t>,</w:t>
            </w:r>
            <w:r w:rsidRPr="001C3040" w:rsidR="00C33A48">
              <w:rPr>
                <w:rFonts w:ascii="Times New Roman" w:hAnsi="Times New Roman" w:eastAsia="Times New Roman" w:cs="Times New Roman"/>
                <w:bCs/>
              </w:rPr>
              <w:t xml:space="preserve"> visų pirma, priimant</w:t>
            </w:r>
            <w:r w:rsidR="00D31706">
              <w:rPr>
                <w:rFonts w:ascii="Times New Roman" w:hAnsi="Times New Roman" w:eastAsia="Times New Roman" w:cs="Times New Roman"/>
                <w:bCs/>
              </w:rPr>
              <w:t xml:space="preserve"> </w:t>
            </w:r>
            <w:r w:rsidRPr="001C3040" w:rsidR="0060196A">
              <w:rPr>
                <w:rFonts w:ascii="Times New Roman" w:hAnsi="Times New Roman" w:eastAsia="Times New Roman" w:cs="Times New Roman"/>
                <w:bCs/>
              </w:rPr>
              <w:t>Transporto ir saugojimo paslaugų sektoriaus profesinio</w:t>
            </w:r>
            <w:r w:rsidRPr="001C3040" w:rsidR="00DB21AB">
              <w:rPr>
                <w:rFonts w:ascii="Times New Roman" w:hAnsi="Times New Roman" w:eastAsia="Times New Roman" w:cs="Times New Roman"/>
                <w:bCs/>
              </w:rPr>
              <w:t xml:space="preserve"> standart</w:t>
            </w:r>
            <w:r w:rsidRPr="001C3040" w:rsidR="00C33A48">
              <w:rPr>
                <w:rFonts w:ascii="Times New Roman" w:hAnsi="Times New Roman" w:eastAsia="Times New Roman" w:cs="Times New Roman"/>
                <w:bCs/>
              </w:rPr>
              <w:t>ą</w:t>
            </w:r>
            <w:r w:rsidRPr="001C3040" w:rsidR="00DB21AB">
              <w:rPr>
                <w:rFonts w:ascii="Times New Roman" w:hAnsi="Times New Roman" w:eastAsia="Times New Roman" w:cs="Times New Roman"/>
                <w:bCs/>
              </w:rPr>
              <w:t>,</w:t>
            </w:r>
            <w:r w:rsidRPr="001C3040" w:rsidR="00C33A48">
              <w:rPr>
                <w:rFonts w:ascii="Times New Roman" w:hAnsi="Times New Roman" w:eastAsia="Times New Roman" w:cs="Times New Roman"/>
                <w:bCs/>
              </w:rPr>
              <w:t xml:space="preserve"> kurio rengimas užtruko, </w:t>
            </w:r>
            <w:r w:rsidRPr="001C3040" w:rsidR="00BB4166">
              <w:rPr>
                <w:rFonts w:ascii="Times New Roman" w:hAnsi="Times New Roman" w:eastAsia="Times New Roman" w:cs="Times New Roman"/>
                <w:bCs/>
              </w:rPr>
              <w:t>minėtame standarte su</w:t>
            </w:r>
            <w:r w:rsidRPr="001C3040" w:rsidR="00C33A48">
              <w:rPr>
                <w:rFonts w:ascii="Times New Roman" w:hAnsi="Times New Roman" w:eastAsia="Times New Roman" w:cs="Times New Roman"/>
                <w:bCs/>
              </w:rPr>
              <w:t>derinant</w:t>
            </w:r>
            <w:r w:rsidRPr="001C3040" w:rsidR="00DB21AB">
              <w:rPr>
                <w:rFonts w:ascii="Times New Roman" w:hAnsi="Times New Roman" w:eastAsia="Times New Roman" w:cs="Times New Roman"/>
                <w:bCs/>
              </w:rPr>
              <w:t xml:space="preserve"> </w:t>
            </w:r>
            <w:r w:rsidRPr="001C3040" w:rsidR="00C33A48">
              <w:rPr>
                <w:rFonts w:ascii="Times New Roman" w:hAnsi="Times New Roman" w:eastAsia="Times New Roman" w:cs="Times New Roman"/>
                <w:bCs/>
              </w:rPr>
              <w:t>m</w:t>
            </w:r>
            <w:r w:rsidRPr="001C3040" w:rsidR="00DB21AB">
              <w:rPr>
                <w:rFonts w:ascii="Times New Roman" w:hAnsi="Times New Roman" w:eastAsia="Times New Roman" w:cs="Times New Roman"/>
                <w:bCs/>
              </w:rPr>
              <w:t xml:space="preserve">otorinių transporto priemonių keleiviams vežti vairuotojo ir </w:t>
            </w:r>
            <w:r w:rsidRPr="001C3040" w:rsidR="00C33A48">
              <w:rPr>
                <w:rFonts w:ascii="Times New Roman" w:hAnsi="Times New Roman" w:eastAsia="Times New Roman" w:cs="Times New Roman"/>
                <w:bCs/>
              </w:rPr>
              <w:t>m</w:t>
            </w:r>
            <w:r w:rsidRPr="001C3040" w:rsidR="00DB21AB">
              <w:rPr>
                <w:rFonts w:ascii="Times New Roman" w:hAnsi="Times New Roman" w:eastAsia="Times New Roman" w:cs="Times New Roman"/>
                <w:bCs/>
              </w:rPr>
              <w:t xml:space="preserve">otorinių transporto priemonių kroviniams vežti vairuotojo kvalifikacijos apibrėžimą ir kvalifikacijos įgijimo </w:t>
            </w:r>
            <w:r w:rsidRPr="001C3040" w:rsidR="00BB4166">
              <w:rPr>
                <w:rFonts w:ascii="Times New Roman" w:hAnsi="Times New Roman" w:eastAsia="Times New Roman" w:cs="Times New Roman"/>
                <w:bCs/>
              </w:rPr>
              <w:t>sąlygas.</w:t>
            </w:r>
            <w:r w:rsidRPr="001C3040" w:rsidR="00DB21AB">
              <w:rPr>
                <w:rFonts w:ascii="Times New Roman" w:hAnsi="Times New Roman" w:eastAsia="Times New Roman" w:cs="Times New Roman"/>
                <w:bCs/>
              </w:rPr>
              <w:t xml:space="preserve"> </w:t>
            </w:r>
          </w:p>
          <w:p w:rsidRPr="001C3040" w:rsidR="00DB21AB" w:rsidP="0060196A" w:rsidRDefault="00DB21AB" w14:paraId="5B7CA5A6" w14:textId="77777777">
            <w:pPr>
              <w:tabs>
                <w:tab w:val="left" w:pos="0"/>
                <w:tab w:val="left" w:pos="1276"/>
              </w:tabs>
              <w:contextualSpacing/>
              <w:jc w:val="both"/>
              <w:rPr>
                <w:rFonts w:ascii="Times New Roman" w:hAnsi="Times New Roman" w:eastAsia="Times New Roman" w:cs="Times New Roman"/>
                <w:bCs/>
              </w:rPr>
            </w:pPr>
          </w:p>
          <w:p w:rsidRPr="001C3040" w:rsidR="0094200C" w:rsidP="00DB21AB" w:rsidRDefault="0060196A" w14:paraId="6C081AA6" w14:textId="7D85E8CA">
            <w:pPr>
              <w:tabs>
                <w:tab w:val="left" w:pos="0"/>
                <w:tab w:val="left" w:pos="1276"/>
              </w:tabs>
              <w:contextualSpacing/>
              <w:jc w:val="both"/>
              <w:rPr>
                <w:rFonts w:ascii="Times New Roman" w:hAnsi="Times New Roman" w:eastAsia="Times New Roman" w:cs="Times New Roman"/>
                <w:bCs/>
                <w:highlight w:val="yellow"/>
              </w:rPr>
            </w:pPr>
            <w:r w:rsidRPr="001C3040">
              <w:rPr>
                <w:rFonts w:ascii="Times New Roman" w:hAnsi="Times New Roman" w:eastAsia="Times New Roman" w:cs="Times New Roman"/>
                <w:bCs/>
              </w:rPr>
              <w:t xml:space="preserve">  </w:t>
            </w:r>
          </w:p>
        </w:tc>
      </w:tr>
      <w:tr w:rsidRPr="001C3040" w:rsidR="00100822" w:rsidTr="2B281452" w14:paraId="4F3E2C47" w14:textId="77777777">
        <w:tc>
          <w:tcPr>
            <w:tcW w:w="540" w:type="dxa"/>
            <w:tcBorders>
              <w:top w:val="single" w:color="auto" w:sz="4" w:space="0"/>
              <w:bottom w:val="single" w:color="auto" w:sz="4" w:space="0"/>
            </w:tcBorders>
            <w:tcMar/>
          </w:tcPr>
          <w:p w:rsidRPr="001C3040" w:rsidR="0094200C" w:rsidRDefault="000121CB" w14:paraId="59918351" w14:textId="61CE2779">
            <w:r w:rsidRPr="001C3040">
              <w:t>10</w:t>
            </w:r>
            <w:r w:rsidRPr="001C3040" w:rsidR="0094200C">
              <w:t>.</w:t>
            </w:r>
          </w:p>
        </w:tc>
        <w:tc>
          <w:tcPr>
            <w:tcW w:w="1470" w:type="dxa"/>
            <w:tcBorders>
              <w:top w:val="single" w:color="auto" w:sz="4" w:space="0"/>
              <w:bottom w:val="single" w:color="auto" w:sz="4" w:space="0"/>
            </w:tcBorders>
            <w:tcMar/>
          </w:tcPr>
          <w:p w:rsidRPr="001C3040" w:rsidR="0094200C" w:rsidRDefault="0094200C" w14:paraId="46CBA3C6" w14:textId="2785F840"/>
        </w:tc>
        <w:tc>
          <w:tcPr>
            <w:tcW w:w="4381" w:type="dxa"/>
            <w:tcMar/>
          </w:tcPr>
          <w:p w:rsidRPr="001C3040" w:rsidR="0094200C" w:rsidP="00783A69" w:rsidRDefault="0094200C" w14:paraId="0D56C6E3" w14:textId="77777777">
            <w:pPr>
              <w:jc w:val="both"/>
              <w:rPr>
                <w:rFonts w:ascii="Times New Roman" w:hAnsi="Times New Roman" w:cs="Times New Roman"/>
                <w:highlight w:val="lightGray"/>
              </w:rPr>
            </w:pPr>
            <w:r w:rsidRPr="001C3040">
              <w:rPr>
                <w:rFonts w:ascii="Times New Roman" w:hAnsi="Times New Roman" w:cs="Times New Roman"/>
              </w:rPr>
              <w:t xml:space="preserve">Siekiant žaliojo kurso tikslų siūlome Nutarimo projektą papildyti pasiūlymu Seimui tikslinti Įstatymo projektą jį papildant Direktyvos (ES) 2018/645 2 straipsnyje nustatytu Direktyvos 2006/126/EB 6 straipsnio 4 dalies papildymu c) punktu, kuriuo nustatoma išimtis dėl alternatyviaisiais degalais varomų transporto priemonių, t. y. kad Lietuvos Respublika savo teritorijoje galėtų leisti vairuoti „alternatyviaisiais degalais varomas transporto </w:t>
            </w:r>
            <w:r w:rsidRPr="001C3040">
              <w:rPr>
                <w:rFonts w:ascii="Times New Roman" w:hAnsi="Times New Roman" w:cs="Times New Roman"/>
              </w:rPr>
              <w:lastRenderedPageBreak/>
              <w:t xml:space="preserve">priemones, nurodytas Tarybos direktyvos 96/53/EB (*5) 2 straipsnyje, kurių didžiausia leidžiamoji masė yra didesnė kaip 3 500 kg, bet neviršija 4 250 kg, prekių vežimui be priekabos, kai nurodytas transporto priemones vairuoja asmenys, turintys bent prieš dvejus metus išduotą B kategorijos vairuotojo pažymėjimą, jeigu 3 500 kg masė viršijama tik dėl didesnės varomosios sistemos masės, palyginti su tokio paties dydžio transporto priemonės, turinčios įprastą kibirkštinio uždegimo arba slėginio uždegimo principu veikiantį vidaus degimo variklį, varymo sistema, ir jeigu </w:t>
            </w:r>
            <w:proofErr w:type="spellStart"/>
            <w:r w:rsidRPr="001C3040">
              <w:rPr>
                <w:rFonts w:ascii="Times New Roman" w:hAnsi="Times New Roman" w:cs="Times New Roman"/>
              </w:rPr>
              <w:t>krovumas</w:t>
            </w:r>
            <w:proofErr w:type="spellEnd"/>
            <w:r w:rsidRPr="001C3040">
              <w:rPr>
                <w:rFonts w:ascii="Times New Roman" w:hAnsi="Times New Roman" w:cs="Times New Roman"/>
              </w:rPr>
              <w:t xml:space="preserve"> nėra didesnis palyginti su ta pačia transporto priemone“.</w:t>
            </w:r>
          </w:p>
        </w:tc>
        <w:tc>
          <w:tcPr>
            <w:tcW w:w="4229" w:type="dxa"/>
            <w:tcBorders>
              <w:top w:val="single" w:color="auto" w:sz="4" w:space="0"/>
              <w:bottom w:val="single" w:color="auto" w:sz="4" w:space="0"/>
            </w:tcBorders>
            <w:tcMar/>
          </w:tcPr>
          <w:p w:rsidRPr="001C3040" w:rsidR="0094200C" w:rsidP="00192AD5" w:rsidRDefault="0094200C" w14:paraId="5518B1C7" w14:textId="5DDE0186">
            <w:pPr>
              <w:tabs>
                <w:tab w:val="left" w:pos="0"/>
                <w:tab w:val="left" w:pos="1276"/>
              </w:tabs>
              <w:contextualSpacing/>
              <w:jc w:val="both"/>
              <w:rPr>
                <w:rFonts w:ascii="Times New Roman" w:hAnsi="Times New Roman" w:eastAsia="Times New Roman" w:cs="Times New Roman"/>
                <w:b/>
              </w:rPr>
            </w:pPr>
            <w:r w:rsidRPr="001C3040">
              <w:rPr>
                <w:rFonts w:ascii="Times New Roman" w:hAnsi="Times New Roman" w:eastAsia="Times New Roman" w:cs="Times New Roman"/>
                <w:b/>
              </w:rPr>
              <w:lastRenderedPageBreak/>
              <w:t>Neatsižvelgta</w:t>
            </w:r>
            <w:r w:rsidR="00A35DA4">
              <w:rPr>
                <w:rFonts w:ascii="Times New Roman" w:hAnsi="Times New Roman" w:eastAsia="Times New Roman" w:cs="Times New Roman"/>
                <w:b/>
              </w:rPr>
              <w:t>.</w:t>
            </w:r>
          </w:p>
          <w:p w:rsidRPr="001C3040" w:rsidR="0094200C" w:rsidP="00192AD5" w:rsidRDefault="0094200C" w14:paraId="2F690BCA" w14:textId="31B2B9DA">
            <w:pPr>
              <w:tabs>
                <w:tab w:val="left" w:pos="0"/>
                <w:tab w:val="left" w:pos="1276"/>
              </w:tabs>
              <w:contextualSpacing/>
              <w:jc w:val="both"/>
              <w:rPr>
                <w:rFonts w:ascii="Times New Roman" w:hAnsi="Times New Roman" w:eastAsia="Times New Roman" w:cs="Times New Roman"/>
                <w:bCs/>
              </w:rPr>
            </w:pPr>
            <w:r w:rsidRPr="001C3040">
              <w:rPr>
                <w:rFonts w:ascii="Times New Roman" w:hAnsi="Times New Roman" w:eastAsia="Times New Roman" w:cs="Times New Roman"/>
                <w:bCs/>
              </w:rPr>
              <w:t>Ministerija, vykdydama Ministr</w:t>
            </w:r>
            <w:r w:rsidR="00E12268">
              <w:rPr>
                <w:rFonts w:ascii="Times New Roman" w:hAnsi="Times New Roman" w:eastAsia="Times New Roman" w:cs="Times New Roman"/>
                <w:bCs/>
              </w:rPr>
              <w:t>o</w:t>
            </w:r>
            <w:r w:rsidRPr="001C3040">
              <w:rPr>
                <w:rFonts w:ascii="Times New Roman" w:hAnsi="Times New Roman" w:eastAsia="Times New Roman" w:cs="Times New Roman"/>
                <w:bCs/>
              </w:rPr>
              <w:t xml:space="preserve"> Pirminink</w:t>
            </w:r>
            <w:r w:rsidR="00E12268">
              <w:rPr>
                <w:rFonts w:ascii="Times New Roman" w:hAnsi="Times New Roman" w:eastAsia="Times New Roman" w:cs="Times New Roman"/>
                <w:bCs/>
              </w:rPr>
              <w:t>o</w:t>
            </w:r>
            <w:r w:rsidRPr="001C3040">
              <w:rPr>
                <w:rFonts w:ascii="Times New Roman" w:hAnsi="Times New Roman" w:eastAsia="Times New Roman" w:cs="Times New Roman"/>
                <w:bCs/>
              </w:rPr>
              <w:t xml:space="preserve"> pavedimą, įformintą Vyriausybės kancler</w:t>
            </w:r>
            <w:r w:rsidR="00E12268">
              <w:rPr>
                <w:rFonts w:ascii="Times New Roman" w:hAnsi="Times New Roman" w:eastAsia="Times New Roman" w:cs="Times New Roman"/>
                <w:bCs/>
              </w:rPr>
              <w:t>io</w:t>
            </w:r>
            <w:r w:rsidRPr="001C3040">
              <w:rPr>
                <w:rFonts w:ascii="Times New Roman" w:hAnsi="Times New Roman" w:eastAsia="Times New Roman" w:cs="Times New Roman"/>
                <w:bCs/>
              </w:rPr>
              <w:t xml:space="preserve"> 2021 m. liepos 21 d. rezoliucija Nr. S-2297, turėjo parengti išvadą</w:t>
            </w:r>
            <w:r w:rsidRPr="001C3040">
              <w:rPr>
                <w:rFonts w:ascii="Times New Roman" w:hAnsi="Times New Roman" w:eastAsia="Times New Roman" w:cs="Times New Roman"/>
                <w:b/>
              </w:rPr>
              <w:t xml:space="preserve"> </w:t>
            </w:r>
            <w:r w:rsidRPr="001C3040">
              <w:rPr>
                <w:rFonts w:ascii="Times New Roman" w:hAnsi="Times New Roman" w:eastAsia="Times New Roman" w:cs="Times New Roman"/>
                <w:bCs/>
              </w:rPr>
              <w:t xml:space="preserve">dėl Lietuvos Respublikos Seimo narių A. </w:t>
            </w:r>
            <w:proofErr w:type="spellStart"/>
            <w:r w:rsidRPr="001C3040">
              <w:rPr>
                <w:rFonts w:ascii="Times New Roman" w:hAnsi="Times New Roman" w:eastAsia="Times New Roman" w:cs="Times New Roman"/>
                <w:bCs/>
              </w:rPr>
              <w:t>Bauros</w:t>
            </w:r>
            <w:proofErr w:type="spellEnd"/>
            <w:r w:rsidRPr="001C3040">
              <w:rPr>
                <w:rFonts w:ascii="Times New Roman" w:hAnsi="Times New Roman" w:eastAsia="Times New Roman" w:cs="Times New Roman"/>
                <w:bCs/>
              </w:rPr>
              <w:t xml:space="preserve">, S. Jovaišos, E. Pupinio, K. </w:t>
            </w:r>
            <w:proofErr w:type="spellStart"/>
            <w:r w:rsidRPr="001C3040">
              <w:rPr>
                <w:rFonts w:ascii="Times New Roman" w:hAnsi="Times New Roman" w:eastAsia="Times New Roman" w:cs="Times New Roman"/>
                <w:bCs/>
              </w:rPr>
              <w:t>Bacvinkos</w:t>
            </w:r>
            <w:proofErr w:type="spellEnd"/>
            <w:r w:rsidRPr="001C3040">
              <w:rPr>
                <w:rFonts w:ascii="Times New Roman" w:hAnsi="Times New Roman" w:eastAsia="Times New Roman" w:cs="Times New Roman"/>
                <w:bCs/>
              </w:rPr>
              <w:t xml:space="preserve"> 2020 m. gegužės 7 d., Seimo narių A. </w:t>
            </w:r>
            <w:proofErr w:type="spellStart"/>
            <w:r w:rsidRPr="001C3040">
              <w:rPr>
                <w:rFonts w:ascii="Times New Roman" w:hAnsi="Times New Roman" w:eastAsia="Times New Roman" w:cs="Times New Roman"/>
                <w:bCs/>
              </w:rPr>
              <w:t>Papirtienės</w:t>
            </w:r>
            <w:proofErr w:type="spellEnd"/>
            <w:r w:rsidRPr="001C3040">
              <w:rPr>
                <w:rFonts w:ascii="Times New Roman" w:hAnsi="Times New Roman" w:eastAsia="Times New Roman" w:cs="Times New Roman"/>
                <w:bCs/>
              </w:rPr>
              <w:t xml:space="preserve"> ir L. Jonaičio 2020 m. gegužės 12 d. pasiūlymų ir Seimo Švietimo ir mokslo komiteto 2020 m. </w:t>
            </w:r>
            <w:r w:rsidRPr="001C3040">
              <w:rPr>
                <w:rFonts w:ascii="Times New Roman" w:hAnsi="Times New Roman" w:eastAsia="Times New Roman" w:cs="Times New Roman"/>
                <w:bCs/>
              </w:rPr>
              <w:lastRenderedPageBreak/>
              <w:t>gegužės 19 d. išvadoje išdėstytų pasiūlymų dėl Lietuvos Respublikos saugaus eismo automobilių keliais įstatymo Nr. VIII-2043 2, 9, 10, 14, 17, 22, 23, 27</w:t>
            </w:r>
            <w:r w:rsidRPr="001C3040">
              <w:rPr>
                <w:rFonts w:ascii="Times New Roman" w:hAnsi="Times New Roman" w:eastAsia="Times New Roman" w:cs="Times New Roman"/>
                <w:bCs/>
                <w:vertAlign w:val="superscript"/>
              </w:rPr>
              <w:t>2</w:t>
            </w:r>
            <w:r w:rsidRPr="001C3040">
              <w:rPr>
                <w:rFonts w:ascii="Times New Roman" w:hAnsi="Times New Roman" w:eastAsia="Times New Roman" w:cs="Times New Roman"/>
                <w:bCs/>
              </w:rPr>
              <w:t xml:space="preserve"> straipsnių ir priedo pakeitimo ir įstatymo papildymo 14</w:t>
            </w:r>
            <w:r w:rsidRPr="001C3040">
              <w:rPr>
                <w:rFonts w:ascii="Times New Roman" w:hAnsi="Times New Roman" w:eastAsia="Times New Roman" w:cs="Times New Roman"/>
                <w:bCs/>
                <w:vertAlign w:val="superscript"/>
              </w:rPr>
              <w:t>1</w:t>
            </w:r>
            <w:r w:rsidRPr="001C3040">
              <w:rPr>
                <w:rFonts w:ascii="Times New Roman" w:hAnsi="Times New Roman" w:eastAsia="Times New Roman" w:cs="Times New Roman"/>
                <w:bCs/>
              </w:rPr>
              <w:t xml:space="preserve"> ir 14</w:t>
            </w:r>
            <w:r w:rsidRPr="001C3040">
              <w:rPr>
                <w:rFonts w:ascii="Times New Roman" w:hAnsi="Times New Roman" w:eastAsia="Times New Roman" w:cs="Times New Roman"/>
                <w:bCs/>
                <w:vertAlign w:val="superscript"/>
              </w:rPr>
              <w:t>2</w:t>
            </w:r>
            <w:r w:rsidRPr="001C3040">
              <w:rPr>
                <w:rFonts w:ascii="Times New Roman" w:hAnsi="Times New Roman" w:eastAsia="Times New Roman" w:cs="Times New Roman"/>
                <w:bCs/>
              </w:rPr>
              <w:t xml:space="preserve"> straipsniais ir 2 priedu įstatymo projektui Nr. XIIIP-4637. Į nutarimo projektą papildomo punkto dėl žaliojo kurso įtraukimas negalimas, nes tai nėra pasiūlymų objektas. </w:t>
            </w:r>
          </w:p>
          <w:p w:rsidRPr="001C3040" w:rsidR="0094200C" w:rsidP="00192AD5" w:rsidRDefault="0094200C" w14:paraId="6BF61ED2" w14:textId="77777777">
            <w:pPr>
              <w:tabs>
                <w:tab w:val="left" w:pos="0"/>
                <w:tab w:val="left" w:pos="1276"/>
              </w:tabs>
              <w:contextualSpacing/>
              <w:jc w:val="both"/>
              <w:rPr>
                <w:rFonts w:ascii="Times New Roman" w:hAnsi="Times New Roman" w:eastAsia="Times New Roman" w:cs="Times New Roman"/>
                <w:b/>
              </w:rPr>
            </w:pPr>
          </w:p>
          <w:p w:rsidRPr="001C3040" w:rsidR="0094200C" w:rsidP="00192AD5" w:rsidRDefault="0094200C" w14:paraId="5C094158" w14:textId="77777777">
            <w:pPr>
              <w:tabs>
                <w:tab w:val="left" w:pos="0"/>
                <w:tab w:val="left" w:pos="1276"/>
              </w:tabs>
              <w:contextualSpacing/>
              <w:jc w:val="both"/>
              <w:rPr>
                <w:rFonts w:ascii="Times New Roman" w:hAnsi="Times New Roman" w:eastAsia="Times New Roman" w:cs="Times New Roman"/>
                <w:b/>
                <w:highlight w:val="lightGray"/>
              </w:rPr>
            </w:pPr>
          </w:p>
          <w:p w:rsidRPr="001C3040" w:rsidR="0094200C" w:rsidP="00192AD5" w:rsidRDefault="0094200C" w14:paraId="179F78F8" w14:textId="77777777">
            <w:pPr>
              <w:tabs>
                <w:tab w:val="left" w:pos="0"/>
                <w:tab w:val="left" w:pos="1276"/>
              </w:tabs>
              <w:contextualSpacing/>
              <w:jc w:val="both"/>
              <w:rPr>
                <w:rFonts w:ascii="Times New Roman" w:hAnsi="Times New Roman" w:eastAsia="Times New Roman" w:cs="Times New Roman"/>
                <w:b/>
                <w:highlight w:val="lightGray"/>
              </w:rPr>
            </w:pPr>
          </w:p>
          <w:p w:rsidRPr="001C3040" w:rsidR="0094200C" w:rsidP="00192AD5" w:rsidRDefault="0094200C" w14:paraId="5BF0836E" w14:textId="77777777">
            <w:pPr>
              <w:tabs>
                <w:tab w:val="left" w:pos="0"/>
                <w:tab w:val="left" w:pos="1276"/>
              </w:tabs>
              <w:contextualSpacing/>
              <w:jc w:val="both"/>
              <w:rPr>
                <w:rFonts w:ascii="Times New Roman" w:hAnsi="Times New Roman" w:eastAsia="Times New Roman" w:cs="Times New Roman"/>
                <w:b/>
                <w:highlight w:val="lightGray"/>
              </w:rPr>
            </w:pPr>
          </w:p>
          <w:p w:rsidRPr="001C3040" w:rsidR="0094200C" w:rsidP="00192AD5" w:rsidRDefault="0094200C" w14:paraId="34EEFBC9" w14:textId="77777777">
            <w:pPr>
              <w:tabs>
                <w:tab w:val="left" w:pos="0"/>
                <w:tab w:val="left" w:pos="1276"/>
              </w:tabs>
              <w:contextualSpacing/>
              <w:jc w:val="both"/>
              <w:rPr>
                <w:rFonts w:ascii="Times New Roman" w:hAnsi="Times New Roman" w:eastAsia="Times New Roman" w:cs="Times New Roman"/>
                <w:b/>
                <w:highlight w:val="lightGray"/>
              </w:rPr>
            </w:pPr>
          </w:p>
        </w:tc>
      </w:tr>
      <w:tr w:rsidRPr="001C3040" w:rsidR="00100822" w:rsidTr="2B281452" w14:paraId="4C5BF5D8" w14:textId="77777777">
        <w:tc>
          <w:tcPr>
            <w:tcW w:w="540" w:type="dxa"/>
            <w:tcBorders>
              <w:top w:val="single" w:color="auto" w:sz="4" w:space="0"/>
              <w:bottom w:val="single" w:color="auto" w:sz="4" w:space="0"/>
            </w:tcBorders>
            <w:tcMar/>
          </w:tcPr>
          <w:p w:rsidRPr="001C3040" w:rsidR="0094200C" w:rsidRDefault="000121CB" w14:paraId="2B4A515A" w14:textId="598E3CBB">
            <w:pPr>
              <w:rPr>
                <w:rFonts w:ascii="Times New Roman" w:hAnsi="Times New Roman" w:cs="Times New Roman"/>
              </w:rPr>
            </w:pPr>
            <w:r w:rsidRPr="001C3040">
              <w:rPr>
                <w:rFonts w:ascii="Times New Roman" w:hAnsi="Times New Roman" w:cs="Times New Roman"/>
              </w:rPr>
              <w:lastRenderedPageBreak/>
              <w:t>11</w:t>
            </w:r>
            <w:r w:rsidRPr="001C3040" w:rsidR="0094200C">
              <w:rPr>
                <w:rFonts w:ascii="Times New Roman" w:hAnsi="Times New Roman" w:cs="Times New Roman"/>
              </w:rPr>
              <w:t>.</w:t>
            </w:r>
          </w:p>
        </w:tc>
        <w:tc>
          <w:tcPr>
            <w:tcW w:w="1470" w:type="dxa"/>
            <w:tcBorders>
              <w:top w:val="single" w:color="auto" w:sz="4" w:space="0"/>
              <w:bottom w:val="single" w:color="auto" w:sz="4" w:space="0"/>
            </w:tcBorders>
            <w:tcMar/>
          </w:tcPr>
          <w:p w:rsidRPr="001C3040" w:rsidR="0094200C" w:rsidRDefault="0094200C" w14:paraId="1F358CF7" w14:textId="3E67B2FC">
            <w:pPr>
              <w:rPr>
                <w:rFonts w:ascii="Times New Roman" w:hAnsi="Times New Roman" w:cs="Times New Roman"/>
              </w:rPr>
            </w:pPr>
            <w:r w:rsidRPr="001C3040">
              <w:rPr>
                <w:rFonts w:ascii="Times New Roman" w:hAnsi="Times New Roman" w:cs="Times New Roman"/>
              </w:rPr>
              <w:t>Tarptautinio transporto ir logistikos aljanso 2021 m. rugsėjo 3 d. raštas Nr. S-33</w:t>
            </w:r>
          </w:p>
        </w:tc>
        <w:tc>
          <w:tcPr>
            <w:tcW w:w="4381" w:type="dxa"/>
            <w:tcMar/>
          </w:tcPr>
          <w:p w:rsidRPr="001C3040" w:rsidR="0094200C" w:rsidP="2B281452" w:rsidRDefault="0094200C" w14:paraId="646DAC28" w14:noSpellErr="1" w14:textId="5155F4E8">
            <w:pPr>
              <w:jc w:val="both"/>
              <w:rPr>
                <w:rFonts w:ascii="Times New Roman" w:hAnsi="Times New Roman" w:cs="Times New Roman"/>
              </w:rPr>
            </w:pPr>
            <w:r w:rsidRPr="2B281452" w:rsidR="2B281452">
              <w:rPr>
                <w:rFonts w:ascii="Times New Roman" w:hAnsi="Times New Roman" w:cs="Times New Roman"/>
              </w:rPr>
              <w:t>Dėl Nutarimo projekto rengimo proceso ir teisėkūros procedūrų laikymosi išreikštas nepasitenkinimas dėl ministerijos delsimo ir pozicijos, kai 2019 m. lapkričio 21 d. tarpinstituciniame pasitarime buvo sutarta 95 kodo vairuotojų mokymą priskirti neformaliajam mokymui, kurio metu įgyjama kompetencija, o šio mokymo organizavimą ir kontrolę priskirti Susisiekimo ministerijai. Klausiama, kodėl išvadą pavesta rengti Švietimo, mokslo ir sporto ministerijai</w:t>
            </w:r>
            <w:r w:rsidRPr="2B281452" w:rsidR="2B281452">
              <w:rPr>
                <w:rFonts w:ascii="Times New Roman" w:hAnsi="Times New Roman" w:cs="Times New Roman"/>
              </w:rPr>
              <w:t>.</w:t>
            </w:r>
            <w:r w:rsidRPr="2B281452" w:rsidR="2B281452">
              <w:rPr>
                <w:rFonts w:ascii="Times New Roman" w:hAnsi="Times New Roman" w:cs="Times New Roman"/>
              </w:rPr>
              <w:t xml:space="preserve"> </w:t>
            </w:r>
          </w:p>
          <w:p w:rsidRPr="001C3040" w:rsidR="0094200C" w:rsidP="00783A69" w:rsidRDefault="0094200C" w14:paraId="5E725EDC" w14:textId="77777777">
            <w:pPr>
              <w:jc w:val="both"/>
              <w:rPr>
                <w:rFonts w:ascii="Times New Roman" w:hAnsi="Times New Roman" w:cs="Times New Roman"/>
              </w:rPr>
            </w:pPr>
          </w:p>
        </w:tc>
        <w:tc>
          <w:tcPr>
            <w:tcW w:w="4229" w:type="dxa"/>
            <w:tcBorders>
              <w:top w:val="single" w:color="auto" w:sz="4" w:space="0"/>
              <w:bottom w:val="single" w:color="auto" w:sz="4" w:space="0"/>
            </w:tcBorders>
            <w:tcMar/>
          </w:tcPr>
          <w:p w:rsidRPr="001C3040" w:rsidR="0094200C" w:rsidP="00192AD5" w:rsidRDefault="0094200C" w14:paraId="64AE0013" w14:textId="77777777">
            <w:pPr>
              <w:tabs>
                <w:tab w:val="left" w:pos="0"/>
                <w:tab w:val="left" w:pos="1276"/>
              </w:tabs>
              <w:contextualSpacing/>
              <w:jc w:val="both"/>
              <w:rPr>
                <w:rFonts w:ascii="Times New Roman" w:hAnsi="Times New Roman" w:eastAsia="Times New Roman" w:cs="Times New Roman"/>
                <w:b/>
                <w:bCs/>
              </w:rPr>
            </w:pPr>
            <w:r w:rsidRPr="001C3040">
              <w:rPr>
                <w:rFonts w:ascii="Times New Roman" w:hAnsi="Times New Roman" w:eastAsia="Times New Roman" w:cs="Times New Roman"/>
                <w:b/>
                <w:bCs/>
              </w:rPr>
              <w:t>Neatsižvelgta.</w:t>
            </w:r>
          </w:p>
          <w:p w:rsidRPr="001C3040" w:rsidR="0094200C" w:rsidP="00E12268" w:rsidRDefault="0094200C" w14:paraId="0245D729" w14:textId="1481C615">
            <w:pPr>
              <w:tabs>
                <w:tab w:val="left" w:pos="0"/>
                <w:tab w:val="left" w:pos="1276"/>
              </w:tabs>
              <w:contextualSpacing/>
              <w:jc w:val="both"/>
              <w:rPr>
                <w:rFonts w:ascii="Times New Roman" w:hAnsi="Times New Roman" w:eastAsia="Times New Roman" w:cs="Times New Roman"/>
                <w:b/>
              </w:rPr>
            </w:pPr>
            <w:r w:rsidRPr="001C3040">
              <w:rPr>
                <w:rFonts w:ascii="Times New Roman" w:hAnsi="Times New Roman" w:eastAsia="Times New Roman" w:cs="Times New Roman"/>
              </w:rPr>
              <w:t xml:space="preserve">Ministerija negali komentuoti, kodėl buvo nuspręsta Vyriausybės išvadą dėl Lietuvos Respublikos Seimo narių A. </w:t>
            </w:r>
            <w:proofErr w:type="spellStart"/>
            <w:r w:rsidRPr="001C3040">
              <w:rPr>
                <w:rFonts w:ascii="Times New Roman" w:hAnsi="Times New Roman" w:eastAsia="Times New Roman" w:cs="Times New Roman"/>
              </w:rPr>
              <w:t>Bauros</w:t>
            </w:r>
            <w:proofErr w:type="spellEnd"/>
            <w:r w:rsidRPr="001C3040">
              <w:rPr>
                <w:rFonts w:ascii="Times New Roman" w:hAnsi="Times New Roman" w:eastAsia="Times New Roman" w:cs="Times New Roman"/>
              </w:rPr>
              <w:t xml:space="preserve">, S. Jovaišos, E. Pupinio, K. </w:t>
            </w:r>
            <w:proofErr w:type="spellStart"/>
            <w:r w:rsidRPr="001C3040">
              <w:rPr>
                <w:rFonts w:ascii="Times New Roman" w:hAnsi="Times New Roman" w:eastAsia="Times New Roman" w:cs="Times New Roman"/>
              </w:rPr>
              <w:t>Bacvinkos</w:t>
            </w:r>
            <w:proofErr w:type="spellEnd"/>
            <w:r w:rsidRPr="001C3040">
              <w:rPr>
                <w:rFonts w:ascii="Times New Roman" w:hAnsi="Times New Roman" w:eastAsia="Times New Roman" w:cs="Times New Roman"/>
              </w:rPr>
              <w:t xml:space="preserve"> 2020 m. gegužės 7 d., Seimo narių A. </w:t>
            </w:r>
            <w:proofErr w:type="spellStart"/>
            <w:r w:rsidRPr="001C3040">
              <w:rPr>
                <w:rFonts w:ascii="Times New Roman" w:hAnsi="Times New Roman" w:eastAsia="Times New Roman" w:cs="Times New Roman"/>
              </w:rPr>
              <w:t>Papirtienės</w:t>
            </w:r>
            <w:proofErr w:type="spellEnd"/>
            <w:r w:rsidRPr="001C3040">
              <w:rPr>
                <w:rFonts w:ascii="Times New Roman" w:hAnsi="Times New Roman" w:eastAsia="Times New Roman" w:cs="Times New Roman"/>
              </w:rPr>
              <w:t xml:space="preserve"> ir L. Jonaičio 2020 m. gegužės 12 d. pasiūlymų ir Seimo Švietimo ir mokslo komiteto 2020 m. gegužės 19 d. išvadoje išdėstytų pasiūlymų dėl Lietuvos Respublikos saugaus eismo automobilių keliais įstatymo Nr. VIII-2043 2, 9, 10, 14, 17, 22, 23, 27</w:t>
            </w:r>
            <w:r w:rsidRPr="001C3040">
              <w:rPr>
                <w:rFonts w:ascii="Times New Roman" w:hAnsi="Times New Roman" w:eastAsia="Times New Roman" w:cs="Times New Roman"/>
                <w:vertAlign w:val="superscript"/>
              </w:rPr>
              <w:t>2</w:t>
            </w:r>
            <w:r w:rsidRPr="001C3040">
              <w:rPr>
                <w:rFonts w:ascii="Times New Roman" w:hAnsi="Times New Roman" w:eastAsia="Times New Roman" w:cs="Times New Roman"/>
              </w:rPr>
              <w:t xml:space="preserve"> straipsnių ir priedo pakeitimo ir įstatymo papildymo 14</w:t>
            </w:r>
            <w:r w:rsidRPr="001C3040">
              <w:rPr>
                <w:rFonts w:ascii="Times New Roman" w:hAnsi="Times New Roman" w:eastAsia="Times New Roman" w:cs="Times New Roman"/>
                <w:vertAlign w:val="superscript"/>
              </w:rPr>
              <w:t>1</w:t>
            </w:r>
            <w:r w:rsidRPr="001C3040">
              <w:rPr>
                <w:rFonts w:ascii="Times New Roman" w:hAnsi="Times New Roman" w:eastAsia="Times New Roman" w:cs="Times New Roman"/>
              </w:rPr>
              <w:t xml:space="preserve"> ir 14</w:t>
            </w:r>
            <w:r w:rsidRPr="001C3040">
              <w:rPr>
                <w:rFonts w:ascii="Times New Roman" w:hAnsi="Times New Roman" w:eastAsia="Times New Roman" w:cs="Times New Roman"/>
                <w:vertAlign w:val="superscript"/>
              </w:rPr>
              <w:t>2</w:t>
            </w:r>
            <w:r w:rsidRPr="001C3040">
              <w:rPr>
                <w:rFonts w:ascii="Times New Roman" w:hAnsi="Times New Roman" w:eastAsia="Times New Roman" w:cs="Times New Roman"/>
              </w:rPr>
              <w:t xml:space="preserve"> straipsniais ir 2 priedu įstatymo projektui Nr. XIIIP-4637 pavest</w:t>
            </w:r>
            <w:r w:rsidR="00E12268">
              <w:rPr>
                <w:rFonts w:ascii="Times New Roman" w:hAnsi="Times New Roman" w:eastAsia="Times New Roman" w:cs="Times New Roman"/>
              </w:rPr>
              <w:t>i</w:t>
            </w:r>
            <w:r w:rsidRPr="001C3040">
              <w:rPr>
                <w:rFonts w:ascii="Times New Roman" w:hAnsi="Times New Roman" w:eastAsia="Times New Roman" w:cs="Times New Roman"/>
              </w:rPr>
              <w:t xml:space="preserve"> parengti ministerijai. Išvada parengta įgyvendinant Ministr</w:t>
            </w:r>
            <w:r w:rsidR="00E12268">
              <w:rPr>
                <w:rFonts w:ascii="Times New Roman" w:hAnsi="Times New Roman" w:eastAsia="Times New Roman" w:cs="Times New Roman"/>
              </w:rPr>
              <w:t>o</w:t>
            </w:r>
            <w:r w:rsidRPr="001C3040">
              <w:rPr>
                <w:rFonts w:ascii="Times New Roman" w:hAnsi="Times New Roman" w:eastAsia="Times New Roman" w:cs="Times New Roman"/>
              </w:rPr>
              <w:t xml:space="preserve"> Pirminink</w:t>
            </w:r>
            <w:r w:rsidR="00E12268">
              <w:rPr>
                <w:rFonts w:ascii="Times New Roman" w:hAnsi="Times New Roman" w:eastAsia="Times New Roman" w:cs="Times New Roman"/>
              </w:rPr>
              <w:t>o</w:t>
            </w:r>
            <w:r w:rsidRPr="001C3040">
              <w:rPr>
                <w:rFonts w:ascii="Times New Roman" w:hAnsi="Times New Roman" w:eastAsia="Times New Roman" w:cs="Times New Roman"/>
              </w:rPr>
              <w:t xml:space="preserve"> pavedimą, įformintą Vyriausybės kancler</w:t>
            </w:r>
            <w:r w:rsidR="00E12268">
              <w:rPr>
                <w:rFonts w:ascii="Times New Roman" w:hAnsi="Times New Roman" w:eastAsia="Times New Roman" w:cs="Times New Roman"/>
              </w:rPr>
              <w:t>io</w:t>
            </w:r>
            <w:r w:rsidRPr="001C3040">
              <w:rPr>
                <w:rFonts w:ascii="Times New Roman" w:hAnsi="Times New Roman" w:eastAsia="Times New Roman" w:cs="Times New Roman"/>
              </w:rPr>
              <w:t xml:space="preserve"> 2021 m. liepos 21 d. rezoliucija Nr. S-2297. </w:t>
            </w:r>
          </w:p>
        </w:tc>
      </w:tr>
      <w:tr w:rsidRPr="001C3040" w:rsidR="00100822" w:rsidTr="2B281452" w14:paraId="4EC1581B" w14:textId="77777777">
        <w:tc>
          <w:tcPr>
            <w:tcW w:w="540" w:type="dxa"/>
            <w:tcBorders>
              <w:top w:val="single" w:color="auto" w:sz="4" w:space="0"/>
              <w:bottom w:val="single" w:color="auto" w:sz="4" w:space="0"/>
            </w:tcBorders>
            <w:tcMar/>
          </w:tcPr>
          <w:p w:rsidRPr="001C3040" w:rsidR="0094200C" w:rsidRDefault="000121CB" w14:paraId="264CB410" w14:textId="3584C169">
            <w:pPr>
              <w:rPr>
                <w:rFonts w:ascii="Times New Roman" w:hAnsi="Times New Roman" w:cs="Times New Roman"/>
              </w:rPr>
            </w:pPr>
            <w:r w:rsidRPr="001C3040">
              <w:rPr>
                <w:rFonts w:ascii="Times New Roman" w:hAnsi="Times New Roman" w:cs="Times New Roman"/>
              </w:rPr>
              <w:t>12</w:t>
            </w:r>
            <w:r w:rsidRPr="001C3040" w:rsidR="0094200C">
              <w:rPr>
                <w:rFonts w:ascii="Times New Roman" w:hAnsi="Times New Roman" w:cs="Times New Roman"/>
              </w:rPr>
              <w:t>.</w:t>
            </w:r>
          </w:p>
        </w:tc>
        <w:tc>
          <w:tcPr>
            <w:tcW w:w="1470" w:type="dxa"/>
            <w:tcBorders>
              <w:top w:val="single" w:color="auto" w:sz="4" w:space="0"/>
              <w:bottom w:val="single" w:color="auto" w:sz="4" w:space="0"/>
            </w:tcBorders>
            <w:tcMar/>
          </w:tcPr>
          <w:p w:rsidRPr="001C3040" w:rsidR="0094200C" w:rsidRDefault="0094200C" w14:paraId="7EF330EA" w14:textId="5D1FC16F">
            <w:pPr>
              <w:rPr>
                <w:rFonts w:ascii="Times New Roman" w:hAnsi="Times New Roman" w:cs="Times New Roman"/>
              </w:rPr>
            </w:pPr>
          </w:p>
        </w:tc>
        <w:tc>
          <w:tcPr>
            <w:tcW w:w="4381" w:type="dxa"/>
            <w:tcMar/>
          </w:tcPr>
          <w:p w:rsidRPr="001C3040" w:rsidR="0094200C" w:rsidP="00AD7E29" w:rsidRDefault="0094200C" w14:paraId="52A882DC" w14:textId="77777777">
            <w:pPr>
              <w:jc w:val="both"/>
              <w:rPr>
                <w:rFonts w:ascii="Times New Roman" w:hAnsi="Times New Roman" w:cs="Times New Roman"/>
              </w:rPr>
            </w:pPr>
            <w:r w:rsidRPr="001C3040">
              <w:rPr>
                <w:rFonts w:ascii="Times New Roman" w:hAnsi="Times New Roman" w:cs="Times New Roman"/>
              </w:rPr>
              <w:t>Pažymėtina, kad Direktyva (ES) 2018/645 nenumato reikalavimų dėl privalomo profesionalių vairuotojų mokymo modelio, todėl Europos Sąjungos valstybės narės turi teisę nustatyti tokį reglamentavimą, kad 95 kodo mokymai galėtų būti vykdomi ir per formalųjį vairuotojų profesinį mokymą, ir per neformalųjį suaugusiųjų švietimą.</w:t>
            </w:r>
          </w:p>
          <w:p w:rsidRPr="001C3040" w:rsidR="0094200C" w:rsidP="00783A69" w:rsidRDefault="0094200C" w14:paraId="25B10385" w14:textId="77777777">
            <w:pPr>
              <w:jc w:val="both"/>
              <w:rPr>
                <w:rFonts w:ascii="Times New Roman" w:hAnsi="Times New Roman" w:cs="Times New Roman"/>
              </w:rPr>
            </w:pPr>
          </w:p>
        </w:tc>
        <w:tc>
          <w:tcPr>
            <w:tcW w:w="4229" w:type="dxa"/>
            <w:tcBorders>
              <w:top w:val="single" w:color="auto" w:sz="4" w:space="0"/>
              <w:bottom w:val="single" w:color="auto" w:sz="4" w:space="0"/>
            </w:tcBorders>
            <w:tcMar/>
          </w:tcPr>
          <w:p w:rsidRPr="001C3040" w:rsidR="0094200C" w:rsidP="00AD7E29" w:rsidRDefault="0094200C" w14:paraId="12E0D7BE" w14:textId="77777777">
            <w:pPr>
              <w:tabs>
                <w:tab w:val="left" w:pos="0"/>
                <w:tab w:val="left" w:pos="1276"/>
              </w:tabs>
              <w:contextualSpacing/>
              <w:jc w:val="both"/>
              <w:rPr>
                <w:rFonts w:ascii="Times New Roman" w:hAnsi="Times New Roman" w:eastAsia="Times New Roman" w:cs="Times New Roman"/>
                <w:b/>
                <w:bCs/>
              </w:rPr>
            </w:pPr>
            <w:r w:rsidRPr="001C3040">
              <w:rPr>
                <w:rFonts w:ascii="Times New Roman" w:hAnsi="Times New Roman" w:eastAsia="Times New Roman" w:cs="Times New Roman"/>
                <w:b/>
                <w:bCs/>
              </w:rPr>
              <w:t>Neatsižvelgta.</w:t>
            </w:r>
          </w:p>
          <w:p w:rsidRPr="001C3040" w:rsidR="0094200C" w:rsidP="6109AE72" w:rsidRDefault="0094200C" w14:paraId="56C14001" w14:noSpellErr="1" w14:textId="2083A3F7">
            <w:pPr>
              <w:tabs>
                <w:tab w:val="left" w:pos="0"/>
                <w:tab w:val="left" w:pos="1276"/>
              </w:tabs>
              <w:contextualSpacing/>
              <w:jc w:val="both"/>
              <w:rPr>
                <w:rFonts w:ascii="Times New Roman" w:hAnsi="Times New Roman" w:eastAsia="Times New Roman" w:cs="Times New Roman"/>
                <w:b w:val="1"/>
                <w:bCs w:val="1"/>
              </w:rPr>
            </w:pPr>
            <w:r w:rsidRPr="6109AE72" w:rsidR="6109AE72">
              <w:rPr>
                <w:rFonts w:ascii="Times New Roman" w:hAnsi="Times New Roman" w:eastAsia="Times New Roman" w:cs="Times New Roman"/>
              </w:rPr>
              <w:t xml:space="preserve">Direktyvos (ES) 2018/645 priedo 1 punktas, kuriuo keičiamas Direktyvos 2003/59/EB 1 priedas, nurodo, kad „minimalus kvalifikacijos lygis turi būti panašus bent į Europos kvalifikacijų sąrangos 2 lygmenį, nustatytą 2008 m. balandžio 23 d. Europos Parlamento ir Tarybos rekomendacijos (dėl Europos mokymosi visą gyvenimą kvalifikacijų sąrangos kūrimo) II priede“. Kyla abejonių dėl prieinamumo ir sklandumo įgyti kvalifikaciją, jeigu mokymas bus organizuojamas pagal neformaliojo švietimo programas. Tokiu atveju asmuo, baigęs neformaliojo švietimo programą, privalės kreiptis į kompetencijas vertinančią instituciją, demonstruoti turimas darbo patirties ar įgytas kompetencijas, kad būtų pripažinta atitinkamo lygio kvalifikacija. Taip asmeniui sudaromas papildomas rūpestis, imlus laikui ir finansams, skirtingai negu mokymasis iš karto pagal kvalifikaciją </w:t>
            </w:r>
            <w:r w:rsidRPr="6109AE72" w:rsidR="6109AE72">
              <w:rPr>
                <w:rFonts w:ascii="Times New Roman" w:hAnsi="Times New Roman" w:eastAsia="Times New Roman" w:cs="Times New Roman"/>
              </w:rPr>
              <w:t>teikiančią formalią programą. Valstybė privalo užtikrinti, kad kuo daugiau asmenų įgytų kvalifikaciją, neišskiriant vienos konkrečios profesijos – vairuotojų. Ypa</w:t>
            </w:r>
            <w:r w:rsidRPr="6109AE72" w:rsidR="6109AE72">
              <w:rPr>
                <w:rFonts w:ascii="Times New Roman" w:hAnsi="Times New Roman" w:eastAsia="Times New Roman" w:cs="Times New Roman"/>
              </w:rPr>
              <w:t>č</w:t>
            </w:r>
            <w:r w:rsidRPr="6109AE72" w:rsidR="6109AE72">
              <w:rPr>
                <w:rFonts w:ascii="Times New Roman" w:hAnsi="Times New Roman" w:eastAsia="Times New Roman" w:cs="Times New Roman"/>
              </w:rPr>
              <w:t xml:space="preserve"> svarbu sudaryti palankias bei patrauklias sąlygas siekti kvalifikacijos, neatimti šios galimybės, juo labiau sąmoningai nesudaryti sudėtingesnio kelią tą kvalifikaciją įgyti. </w:t>
            </w:r>
          </w:p>
        </w:tc>
      </w:tr>
      <w:tr w:rsidRPr="001C3040" w:rsidR="00100822" w:rsidTr="2B281452" w14:paraId="0ABBFEAD" w14:textId="77777777">
        <w:tc>
          <w:tcPr>
            <w:tcW w:w="540" w:type="dxa"/>
            <w:tcBorders>
              <w:top w:val="single" w:color="auto" w:sz="4" w:space="0"/>
              <w:bottom w:val="single" w:color="auto" w:sz="4" w:space="0"/>
            </w:tcBorders>
            <w:tcMar/>
          </w:tcPr>
          <w:p w:rsidRPr="001C3040" w:rsidR="0094200C" w:rsidRDefault="000121CB" w14:paraId="32214F9A" w14:textId="5D47F713">
            <w:pPr>
              <w:rPr>
                <w:rFonts w:ascii="Times New Roman" w:hAnsi="Times New Roman" w:cs="Times New Roman"/>
              </w:rPr>
            </w:pPr>
            <w:r w:rsidRPr="001C3040">
              <w:rPr>
                <w:rFonts w:ascii="Times New Roman" w:hAnsi="Times New Roman" w:cs="Times New Roman"/>
              </w:rPr>
              <w:lastRenderedPageBreak/>
              <w:t>13</w:t>
            </w:r>
            <w:r w:rsidRPr="001C3040" w:rsidR="0094200C">
              <w:rPr>
                <w:rFonts w:ascii="Times New Roman" w:hAnsi="Times New Roman" w:cs="Times New Roman"/>
              </w:rPr>
              <w:t>.</w:t>
            </w:r>
          </w:p>
        </w:tc>
        <w:tc>
          <w:tcPr>
            <w:tcW w:w="1470" w:type="dxa"/>
            <w:tcBorders>
              <w:top w:val="single" w:color="auto" w:sz="4" w:space="0"/>
              <w:bottom w:val="single" w:color="auto" w:sz="4" w:space="0"/>
            </w:tcBorders>
            <w:tcMar/>
          </w:tcPr>
          <w:p w:rsidRPr="001C3040" w:rsidR="0094200C" w:rsidRDefault="0094200C" w14:paraId="6A5DD34E" w14:textId="67A4A380">
            <w:pPr>
              <w:rPr>
                <w:rFonts w:ascii="Times New Roman" w:hAnsi="Times New Roman" w:cs="Times New Roman"/>
              </w:rPr>
            </w:pPr>
          </w:p>
        </w:tc>
        <w:tc>
          <w:tcPr>
            <w:tcW w:w="4381" w:type="dxa"/>
            <w:tcMar/>
          </w:tcPr>
          <w:p w:rsidRPr="001C3040" w:rsidR="0094200C" w:rsidP="00205976" w:rsidRDefault="0094200C" w14:paraId="2C804CD3" w14:textId="17551CD3">
            <w:pPr>
              <w:jc w:val="both"/>
              <w:rPr>
                <w:rFonts w:ascii="Times New Roman" w:hAnsi="Times New Roman" w:cs="Times New Roman"/>
              </w:rPr>
            </w:pPr>
            <w:r w:rsidRPr="001C3040">
              <w:rPr>
                <w:rFonts w:ascii="Times New Roman" w:hAnsi="Times New Roman" w:cs="Times New Roman"/>
              </w:rPr>
              <w:t>„</w:t>
            </w:r>
            <w:r w:rsidRPr="001C3040" w:rsidR="00D46FBE">
              <w:rPr>
                <w:rFonts w:ascii="Times New Roman" w:hAnsi="Times New Roman" w:cs="Times New Roman"/>
                <w:i/>
                <w:iCs/>
              </w:rPr>
              <w:t>S</w:t>
            </w:r>
            <w:r w:rsidRPr="001C3040">
              <w:rPr>
                <w:rFonts w:ascii="Times New Roman" w:hAnsi="Times New Roman" w:cs="Times New Roman"/>
                <w:i/>
                <w:iCs/>
              </w:rPr>
              <w:t>iūlomu Susisiekimo ministerijos parengtu Lietuvos Respublikos saugaus eismo automobilių keliais įstatymo Nr. VIII-2043 2, 9, 10, 14, 17, 22, 23, 272 straipsnių ir priedo pakeitimo ir įstatymo papildymo l41 ir 142 straipsniais ir 2 priedu įstatymo projektu Nr. XIIIP-4637 numatoma steigti mokymo centrus, nustatyti mokymo centrams reikalavimus, nustatyti teisės vykdyti vairuotojų kompetencijos ir (arba) vairuotojų kompetencijos tobulinimo kursus juridiniams asmenims suteikimą, šios teisės sustabdymą, sustabdymo panaikinimą ir teisės vykdyti vairuotojų kompetencijos ir (arba) vairuotojų kompetencijos tobulinimo kursus panaikinimą. Toks teisinis reguliavimas iškreiptų profesinio mokymo sistemą ir sukurtų vairuotojų mokymo, kuris priskiriamas formaliajam profesiniam mokymui, alternatyvą...</w:t>
            </w:r>
            <w:r w:rsidRPr="001C3040">
              <w:rPr>
                <w:rFonts w:ascii="Times New Roman" w:hAnsi="Times New Roman" w:cs="Times New Roman"/>
              </w:rPr>
              <w:t xml:space="preserve">“. Šioje vietoje </w:t>
            </w:r>
            <w:r w:rsidRPr="001C3040">
              <w:rPr>
                <w:rFonts w:ascii="Times New Roman" w:hAnsi="Times New Roman" w:cs="Times New Roman"/>
                <w:bCs/>
              </w:rPr>
              <w:t xml:space="preserve">prašome įvertinti Nutarimo projekto atitikimą Lietuvos Respublikos konkurencijos įstatymo 4 straipsnio 2 daliai ir kreiptis į Lietuvos Respublikos konkurencijos tarybą bei Ekonomikos ir inovacijų ministeriją. </w:t>
            </w:r>
            <w:r w:rsidRPr="001C3040">
              <w:rPr>
                <w:rFonts w:ascii="Times New Roman" w:hAnsi="Times New Roman" w:cs="Times New Roman"/>
              </w:rPr>
              <w:t xml:space="preserve">Taip pat siekiant įvertinti siūlomo Nutarimo projekto atitikimą antikorupciniu požiūriu, </w:t>
            </w:r>
            <w:r w:rsidRPr="001C3040">
              <w:rPr>
                <w:rFonts w:ascii="Times New Roman" w:hAnsi="Times New Roman" w:cs="Times New Roman"/>
                <w:bCs/>
              </w:rPr>
              <w:t>prašome įvertinti Nutarimo projekto atitikimą Lietuvos Respublikos korupcijos prevencijos įstatymo 8 straipsniui.</w:t>
            </w:r>
          </w:p>
        </w:tc>
        <w:tc>
          <w:tcPr>
            <w:tcW w:w="4229" w:type="dxa"/>
            <w:tcBorders>
              <w:top w:val="single" w:color="auto" w:sz="4" w:space="0"/>
              <w:bottom w:val="single" w:color="auto" w:sz="4" w:space="0"/>
            </w:tcBorders>
            <w:tcMar/>
          </w:tcPr>
          <w:p w:rsidRPr="001C3040" w:rsidR="0094200C" w:rsidP="00AD7E29" w:rsidRDefault="0094200C" w14:paraId="51100D4C" w14:textId="77777777">
            <w:pPr>
              <w:tabs>
                <w:tab w:val="left" w:pos="0"/>
                <w:tab w:val="left" w:pos="1276"/>
              </w:tabs>
              <w:contextualSpacing/>
              <w:jc w:val="both"/>
              <w:rPr>
                <w:rFonts w:ascii="Times New Roman" w:hAnsi="Times New Roman" w:eastAsia="Times New Roman" w:cs="Times New Roman"/>
                <w:b/>
                <w:bCs/>
              </w:rPr>
            </w:pPr>
            <w:r w:rsidRPr="001C3040">
              <w:rPr>
                <w:rFonts w:ascii="Times New Roman" w:hAnsi="Times New Roman" w:eastAsia="Times New Roman" w:cs="Times New Roman"/>
                <w:b/>
                <w:bCs/>
              </w:rPr>
              <w:t xml:space="preserve">Neatsižvelgta. </w:t>
            </w:r>
          </w:p>
          <w:p w:rsidRPr="001C3040" w:rsidR="0094200C" w:rsidP="00E12268" w:rsidRDefault="0094200C" w14:paraId="402FF44D" w14:textId="7FAD8493">
            <w:pPr>
              <w:tabs>
                <w:tab w:val="left" w:pos="0"/>
                <w:tab w:val="left" w:pos="1276"/>
              </w:tabs>
              <w:contextualSpacing/>
              <w:jc w:val="both"/>
              <w:rPr>
                <w:rFonts w:ascii="Times New Roman" w:hAnsi="Times New Roman" w:eastAsia="Times New Roman" w:cs="Times New Roman"/>
              </w:rPr>
            </w:pPr>
            <w:r w:rsidRPr="001C3040">
              <w:rPr>
                <w:rFonts w:ascii="Times New Roman" w:hAnsi="Times New Roman" w:eastAsia="Times New Roman" w:cs="Times New Roman"/>
              </w:rPr>
              <w:t>Ministerija nemato būtinybės kreiptis į Lietuvos Respublikos konkurencijos tarybą bei Ekonomikos ir inovacijų ministeriją, kadangi jokios konkurencijos ar korupcijos apraiškų neįžvelgia. Pagal Formaliojo profesinio mokymo licencijavimo taisykles, patvirtintas</w:t>
            </w:r>
            <w:r w:rsidRPr="001C3040">
              <w:rPr>
                <w:rFonts w:ascii="Times New Roman" w:hAnsi="Times New Roman" w:eastAsia="Times New Roman" w:cs="Times New Roman"/>
                <w:b/>
                <w:bCs/>
              </w:rPr>
              <w:t xml:space="preserve"> </w:t>
            </w:r>
            <w:r w:rsidRPr="001C3040">
              <w:rPr>
                <w:rFonts w:ascii="Times New Roman" w:hAnsi="Times New Roman" w:eastAsia="Times New Roman" w:cs="Times New Roman"/>
              </w:rPr>
              <w:t>Lietuvos Respublikos Vyriausybės 2004 m. birželio 29 d. nutarimu Nr. 822 „Dėl Formaliojo profesinio mokymo licencijavimo taisyklių patvirtinimo“, reikalavimai yra vienodi visiems profesinio mokymo teikėjams: tiek iš valstybės biudžeto finansuojamiems, tiek privatiems teikėjams, kurie turi teisę pasirinkti vykdyti formaliojo profesinio mokymo programą ar jos modulį, įregistruotą valstybės Studijų, mokymo programų</w:t>
            </w:r>
            <w:r w:rsidR="00E12268">
              <w:rPr>
                <w:rFonts w:ascii="Times New Roman" w:hAnsi="Times New Roman" w:eastAsia="Times New Roman" w:cs="Times New Roman"/>
              </w:rPr>
              <w:t xml:space="preserve"> ir</w:t>
            </w:r>
            <w:r w:rsidRPr="001C3040">
              <w:rPr>
                <w:rFonts w:ascii="Times New Roman" w:hAnsi="Times New Roman" w:eastAsia="Times New Roman" w:cs="Times New Roman"/>
              </w:rPr>
              <w:t xml:space="preserve"> kvalifikacijų registre. Pastebime, kad reikalavimai licencijai gauti ne griežtesni, negu numatoma teikiamame </w:t>
            </w:r>
            <w:r w:rsidRPr="001C3040" w:rsidR="00CE4064">
              <w:rPr>
                <w:rFonts w:ascii="Times New Roman" w:hAnsi="Times New Roman" w:eastAsia="Times New Roman" w:cs="Times New Roman"/>
              </w:rPr>
              <w:t>Į</w:t>
            </w:r>
            <w:r w:rsidRPr="001C3040">
              <w:rPr>
                <w:rFonts w:ascii="Times New Roman" w:hAnsi="Times New Roman" w:eastAsia="Times New Roman" w:cs="Times New Roman"/>
              </w:rPr>
              <w:t>statymo projekte</w:t>
            </w:r>
            <w:r w:rsidR="00E12268">
              <w:rPr>
                <w:rFonts w:ascii="Times New Roman" w:hAnsi="Times New Roman" w:eastAsia="Times New Roman" w:cs="Times New Roman"/>
              </w:rPr>
              <w:t>,</w:t>
            </w:r>
            <w:r w:rsidRPr="001C3040">
              <w:rPr>
                <w:rFonts w:ascii="Times New Roman" w:hAnsi="Times New Roman" w:eastAsia="Times New Roman" w:cs="Times New Roman"/>
              </w:rPr>
              <w:t xml:space="preserve"> ir taip </w:t>
            </w:r>
            <w:r w:rsidRPr="001C3040">
              <w:rPr>
                <w:rFonts w:ascii="Times New Roman" w:hAnsi="Times New Roman" w:cs="Times New Roman"/>
              </w:rPr>
              <w:t xml:space="preserve">pat </w:t>
            </w:r>
            <w:r w:rsidR="00E12268">
              <w:rPr>
                <w:rFonts w:ascii="Times New Roman" w:hAnsi="Times New Roman" w:cs="Times New Roman"/>
              </w:rPr>
              <w:t xml:space="preserve">visiškai </w:t>
            </w:r>
            <w:r w:rsidRPr="001C3040">
              <w:rPr>
                <w:rFonts w:ascii="Times New Roman" w:hAnsi="Times New Roman" w:cs="Times New Roman"/>
              </w:rPr>
              <w:t>atitinka Direktyvoje nurodytus reikalavimus licencijavimui.</w:t>
            </w:r>
          </w:p>
        </w:tc>
      </w:tr>
      <w:tr w:rsidRPr="001C3040" w:rsidR="00100822" w:rsidTr="2B281452" w14:paraId="3AE63942" w14:textId="77777777">
        <w:tc>
          <w:tcPr>
            <w:tcW w:w="540" w:type="dxa"/>
            <w:tcBorders>
              <w:top w:val="single" w:color="auto" w:sz="4" w:space="0"/>
              <w:bottom w:val="single" w:color="auto" w:sz="4" w:space="0"/>
            </w:tcBorders>
            <w:tcMar/>
          </w:tcPr>
          <w:p w:rsidRPr="001C3040" w:rsidR="0094200C" w:rsidRDefault="000121CB" w14:paraId="2C4B4575" w14:textId="7E58F882">
            <w:pPr>
              <w:rPr>
                <w:rFonts w:ascii="Times New Roman" w:hAnsi="Times New Roman" w:cs="Times New Roman"/>
              </w:rPr>
            </w:pPr>
            <w:r w:rsidRPr="001C3040">
              <w:rPr>
                <w:rFonts w:ascii="Times New Roman" w:hAnsi="Times New Roman" w:cs="Times New Roman"/>
              </w:rPr>
              <w:t>14</w:t>
            </w:r>
            <w:r w:rsidRPr="001C3040" w:rsidR="0094200C">
              <w:rPr>
                <w:rFonts w:ascii="Times New Roman" w:hAnsi="Times New Roman" w:cs="Times New Roman"/>
              </w:rPr>
              <w:t>.</w:t>
            </w:r>
          </w:p>
        </w:tc>
        <w:tc>
          <w:tcPr>
            <w:tcW w:w="1470" w:type="dxa"/>
            <w:tcBorders>
              <w:top w:val="single" w:color="auto" w:sz="4" w:space="0"/>
              <w:bottom w:val="single" w:color="auto" w:sz="4" w:space="0"/>
            </w:tcBorders>
            <w:tcMar/>
          </w:tcPr>
          <w:p w:rsidRPr="001C3040" w:rsidR="0094200C" w:rsidRDefault="0094200C" w14:paraId="6925D803" w14:textId="42F78237">
            <w:pPr>
              <w:rPr>
                <w:rFonts w:ascii="Times New Roman" w:hAnsi="Times New Roman" w:cs="Times New Roman"/>
              </w:rPr>
            </w:pPr>
          </w:p>
        </w:tc>
        <w:tc>
          <w:tcPr>
            <w:tcW w:w="4381" w:type="dxa"/>
            <w:tcMar/>
          </w:tcPr>
          <w:p w:rsidRPr="001C3040" w:rsidR="0094200C" w:rsidP="2B281452" w:rsidRDefault="0094200C" w14:paraId="4454BCA5" w14:noSpellErr="1" w14:textId="62FA8A57">
            <w:pPr>
              <w:jc w:val="both"/>
              <w:rPr>
                <w:rFonts w:ascii="Times New Roman" w:hAnsi="Times New Roman" w:cs="Times New Roman"/>
              </w:rPr>
            </w:pPr>
            <w:r w:rsidRPr="2B281452" w:rsidR="2B281452">
              <w:rPr>
                <w:rFonts w:ascii="Times New Roman" w:hAnsi="Times New Roman" w:cs="Times New Roman"/>
              </w:rPr>
              <w:t>P</w:t>
            </w:r>
            <w:r w:rsidRPr="2B281452" w:rsidR="2B281452">
              <w:rPr>
                <w:rFonts w:ascii="Times New Roman" w:hAnsi="Times New Roman" w:cs="Times New Roman"/>
              </w:rPr>
              <w:t>ateikti teisinius argumentus kodėl</w:t>
            </w:r>
            <w:r w:rsidRPr="2B281452" w:rsidR="2B281452">
              <w:rPr>
                <w:rFonts w:ascii="Times New Roman" w:hAnsi="Times New Roman" w:cs="Times New Roman"/>
                <w:b w:val="1"/>
                <w:bCs w:val="1"/>
              </w:rPr>
              <w:t xml:space="preserve"> </w:t>
            </w:r>
            <w:r w:rsidRPr="2B281452" w:rsidR="2B281452">
              <w:rPr>
                <w:rFonts w:ascii="Times New Roman" w:hAnsi="Times New Roman" w:cs="Times New Roman"/>
              </w:rPr>
              <w:t xml:space="preserve">Nutarimo projektu teigiama, kad </w:t>
            </w:r>
            <w:r w:rsidRPr="2B281452" w:rsidR="2B281452">
              <w:rPr>
                <w:rFonts w:ascii="Times New Roman" w:hAnsi="Times New Roman" w:cs="Times New Roman"/>
                <w:i w:val="1"/>
                <w:iCs w:val="1"/>
              </w:rPr>
              <w:t>„tai pačiai veiklai (</w:t>
            </w:r>
            <w:r w:rsidRPr="2B281452" w:rsidR="2B281452">
              <w:rPr>
                <w:rFonts w:ascii="Times New Roman" w:hAnsi="Times New Roman" w:cs="Times New Roman"/>
              </w:rPr>
              <w:t>ne</w:t>
            </w:r>
            <w:r w:rsidRPr="2B281452" w:rsidR="2B281452">
              <w:rPr>
                <w:rFonts w:ascii="Times New Roman" w:hAnsi="Times New Roman" w:cs="Times New Roman"/>
                <w:i w:val="1"/>
                <w:iCs w:val="1"/>
              </w:rPr>
              <w:t xml:space="preserve">)turėtų būti taikomos tarpusavyje nederančios nuostatos, Įstatymo projekto nuostatos, reglamentuojančios vairuotojų profesinį rengimą ir Lietuvos Respublikos švietimo įstatymo bei Profesinio mokymo įstatymo nuostatos, reglamentuojančios pirminį ir tęstinį, formalųjį ir neformalųjį profesinį mokymą“ </w:t>
            </w:r>
            <w:r w:rsidRPr="2B281452" w:rsidR="2B281452">
              <w:rPr>
                <w:rFonts w:ascii="Times New Roman" w:hAnsi="Times New Roman" w:cs="Times New Roman"/>
              </w:rPr>
              <w:t xml:space="preserve">jei dabar galiojančio </w:t>
            </w:r>
            <w:r w:rsidRPr="2B281452" w:rsidR="2B281452">
              <w:rPr>
                <w:rFonts w:ascii="Times New Roman" w:hAnsi="Times New Roman" w:cs="Times New Roman"/>
              </w:rPr>
              <w:t>Į</w:t>
            </w:r>
            <w:r w:rsidRPr="2B281452" w:rsidR="2B281452">
              <w:rPr>
                <w:rFonts w:ascii="Times New Roman" w:hAnsi="Times New Roman" w:cs="Times New Roman"/>
              </w:rPr>
              <w:t xml:space="preserve">statymo 1 straipsnyje nustatyta, kad viena iš </w:t>
            </w:r>
            <w:r w:rsidRPr="2B281452" w:rsidR="2B281452">
              <w:rPr>
                <w:rFonts w:ascii="Times New Roman" w:hAnsi="Times New Roman" w:cs="Times New Roman"/>
              </w:rPr>
              <w:t xml:space="preserve">Įstatymo </w:t>
            </w:r>
            <w:r w:rsidRPr="2B281452" w:rsidR="2B281452">
              <w:rPr>
                <w:rFonts w:ascii="Times New Roman" w:hAnsi="Times New Roman" w:cs="Times New Roman"/>
              </w:rPr>
              <w:t xml:space="preserve"> paskirčių yra nustatyti eismo dalyvių (tarp jų – vairuotojų) mokymą. </w:t>
            </w:r>
            <w:r w:rsidRPr="2B281452" w:rsidR="2B281452">
              <w:rPr>
                <w:rFonts w:ascii="Times New Roman" w:hAnsi="Times New Roman" w:cs="Times New Roman"/>
              </w:rPr>
              <w:t>Įstatymas</w:t>
            </w:r>
            <w:r w:rsidRPr="2B281452" w:rsidR="2B281452">
              <w:rPr>
                <w:rFonts w:ascii="Times New Roman" w:hAnsi="Times New Roman" w:cs="Times New Roman"/>
              </w:rPr>
              <w:t xml:space="preserve"> nustato visą eilę transporto priemonių vairuotojams taikomų mokymų – vairuotojų mokymas (</w:t>
            </w:r>
            <w:r w:rsidRPr="2B281452" w:rsidR="2B281452">
              <w:rPr>
                <w:rFonts w:ascii="Times New Roman" w:hAnsi="Times New Roman" w:cs="Times New Roman"/>
              </w:rPr>
              <w:t xml:space="preserve">Įstatymo </w:t>
            </w:r>
            <w:r w:rsidRPr="2B281452" w:rsidR="2B281452">
              <w:rPr>
                <w:rFonts w:ascii="Times New Roman" w:hAnsi="Times New Roman" w:cs="Times New Roman"/>
              </w:rPr>
              <w:t xml:space="preserve"> 2 straipsnio 94 dalis, 10 straipsnio 1 dalies 9 punktas ir kt.), papildomas vairuotojų mokymas (</w:t>
            </w:r>
            <w:r w:rsidRPr="2B281452" w:rsidR="2B281452">
              <w:rPr>
                <w:rFonts w:ascii="Times New Roman" w:hAnsi="Times New Roman" w:cs="Times New Roman"/>
              </w:rPr>
              <w:t xml:space="preserve">Įstatymo </w:t>
            </w:r>
            <w:r w:rsidRPr="2B281452" w:rsidR="2B281452">
              <w:rPr>
                <w:rFonts w:ascii="Times New Roman" w:hAnsi="Times New Roman" w:cs="Times New Roman"/>
              </w:rPr>
              <w:t xml:space="preserve"> 2 straipsnio 46 dalis, 10 straipsnio 1 dalies 10 ir 12 punktai, 13 straipsnio 15 dalis ir </w:t>
            </w:r>
            <w:r w:rsidRPr="2B281452" w:rsidR="2B281452">
              <w:rPr>
                <w:rFonts w:ascii="Times New Roman" w:hAnsi="Times New Roman" w:cs="Times New Roman"/>
              </w:rPr>
              <w:t>kt.), specialiųjų transporto priemonių vairuotojų mokymas (</w:t>
            </w:r>
            <w:r w:rsidRPr="2B281452" w:rsidR="2B281452">
              <w:rPr>
                <w:rFonts w:ascii="Times New Roman" w:hAnsi="Times New Roman" w:cs="Times New Roman"/>
              </w:rPr>
              <w:t xml:space="preserve">Įstatymo </w:t>
            </w:r>
            <w:r w:rsidRPr="2B281452" w:rsidR="2B281452">
              <w:rPr>
                <w:rFonts w:ascii="Times New Roman" w:hAnsi="Times New Roman" w:cs="Times New Roman"/>
              </w:rPr>
              <w:t xml:space="preserve"> 2 straipsnio 66 dalis, 10 straipsnio 5 dalies 7 punktas), šeimos narių, siekiančių įgyti teisę vairuoti B kategorijos motorines transporto priemones, mokymas (</w:t>
            </w:r>
            <w:r w:rsidRPr="2B281452" w:rsidR="2B281452">
              <w:rPr>
                <w:rFonts w:ascii="Times New Roman" w:hAnsi="Times New Roman" w:cs="Times New Roman"/>
              </w:rPr>
              <w:t xml:space="preserve">Įstatymo </w:t>
            </w:r>
            <w:r w:rsidRPr="2B281452" w:rsidR="2B281452">
              <w:rPr>
                <w:rFonts w:ascii="Times New Roman" w:hAnsi="Times New Roman" w:cs="Times New Roman"/>
              </w:rPr>
              <w:t xml:space="preserve"> 10 straipsnio 1 dalies 13 punktas, 21 straipsnio 2 dalis), mokymas teikti pirmąją pagalbą (</w:t>
            </w:r>
            <w:r w:rsidRPr="2B281452" w:rsidR="2B281452">
              <w:rPr>
                <w:rFonts w:ascii="Times New Roman" w:hAnsi="Times New Roman" w:cs="Times New Roman"/>
              </w:rPr>
              <w:t xml:space="preserve">Įstatymo </w:t>
            </w:r>
            <w:r w:rsidRPr="2B281452" w:rsidR="2B281452">
              <w:rPr>
                <w:rFonts w:ascii="Times New Roman" w:hAnsi="Times New Roman" w:cs="Times New Roman"/>
              </w:rPr>
              <w:t xml:space="preserve"> 10 straipsnio 3 dalies 2 punktas), traktorių ir savaeigių mašinų vairuotojų rengimo ir teisės vairuoti šias transporto priemones mokymas (</w:t>
            </w:r>
            <w:r w:rsidRPr="2B281452" w:rsidR="2B281452">
              <w:rPr>
                <w:rFonts w:ascii="Times New Roman" w:hAnsi="Times New Roman" w:cs="Times New Roman"/>
              </w:rPr>
              <w:t xml:space="preserve">Įstatymo </w:t>
            </w:r>
            <w:r w:rsidRPr="2B281452" w:rsidR="2B281452">
              <w:rPr>
                <w:rFonts w:ascii="Times New Roman" w:hAnsi="Times New Roman" w:cs="Times New Roman"/>
              </w:rPr>
              <w:t xml:space="preserve"> 10 straipsnio 6 dalies 4 punktas). Pažymėtina, kad pagal Lietuvos Respublikos pavojingų krovinių vežimo automobilių, geležinkelių ir vidaus vandenų transportu įstatymo 8 straipsnio 3 dalies 2 punktą Susisiekimo ministerija nustato ir pavojingųjų krovinių vežimo saugos specialistų mokymo ir egzaminavimo tvarką.</w:t>
            </w:r>
          </w:p>
        </w:tc>
        <w:tc>
          <w:tcPr>
            <w:tcW w:w="4229" w:type="dxa"/>
            <w:tcBorders>
              <w:top w:val="single" w:color="auto" w:sz="4" w:space="0"/>
              <w:bottom w:val="single" w:color="auto" w:sz="4" w:space="0"/>
            </w:tcBorders>
            <w:tcMar/>
          </w:tcPr>
          <w:p w:rsidRPr="001C3040" w:rsidR="0094200C" w:rsidP="00AD7E29" w:rsidRDefault="0094200C" w14:paraId="01D5CDBA" w14:textId="77777777">
            <w:pPr>
              <w:tabs>
                <w:tab w:val="left" w:pos="0"/>
                <w:tab w:val="left" w:pos="1276"/>
              </w:tabs>
              <w:contextualSpacing/>
              <w:jc w:val="both"/>
              <w:rPr>
                <w:rFonts w:ascii="Times New Roman" w:hAnsi="Times New Roman" w:eastAsia="Times New Roman" w:cs="Times New Roman"/>
                <w:b/>
                <w:bCs/>
              </w:rPr>
            </w:pPr>
            <w:r w:rsidRPr="001C3040">
              <w:rPr>
                <w:rFonts w:ascii="Times New Roman" w:hAnsi="Times New Roman" w:eastAsia="Times New Roman" w:cs="Times New Roman"/>
                <w:b/>
                <w:bCs/>
              </w:rPr>
              <w:lastRenderedPageBreak/>
              <w:t xml:space="preserve">Neatsižvelgta. </w:t>
            </w:r>
          </w:p>
          <w:p w:rsidRPr="001C3040" w:rsidR="0094200C" w:rsidP="00AD7E29" w:rsidRDefault="005332CE" w14:paraId="02420C80" w14:textId="6E26776A">
            <w:pPr>
              <w:tabs>
                <w:tab w:val="left" w:pos="0"/>
                <w:tab w:val="left" w:pos="1276"/>
              </w:tabs>
              <w:contextualSpacing/>
              <w:jc w:val="both"/>
              <w:rPr>
                <w:rFonts w:ascii="Times New Roman" w:hAnsi="Times New Roman" w:eastAsia="Times New Roman" w:cs="Times New Roman"/>
              </w:rPr>
            </w:pPr>
            <w:r w:rsidRPr="001C3040">
              <w:rPr>
                <w:rFonts w:ascii="Times New Roman" w:hAnsi="Times New Roman" w:eastAsia="Times New Roman" w:cs="Times New Roman"/>
              </w:rPr>
              <w:t>Argumentai nurodyti</w:t>
            </w:r>
            <w:r w:rsidRPr="001C3040" w:rsidR="0094200C">
              <w:rPr>
                <w:rFonts w:ascii="Times New Roman" w:hAnsi="Times New Roman" w:eastAsia="Times New Roman" w:cs="Times New Roman"/>
              </w:rPr>
              <w:t xml:space="preserve"> </w:t>
            </w:r>
            <w:r w:rsidRPr="001C3040">
              <w:rPr>
                <w:rFonts w:ascii="Times New Roman" w:hAnsi="Times New Roman" w:eastAsia="Times New Roman" w:cs="Times New Roman"/>
              </w:rPr>
              <w:t xml:space="preserve">derinimo </w:t>
            </w:r>
            <w:r w:rsidRPr="001C3040" w:rsidR="007054F9">
              <w:rPr>
                <w:rFonts w:ascii="Times New Roman" w:hAnsi="Times New Roman" w:eastAsia="Times New Roman" w:cs="Times New Roman"/>
              </w:rPr>
              <w:t>pažymos 2 punkte</w:t>
            </w:r>
            <w:r w:rsidRPr="001C3040">
              <w:rPr>
                <w:rFonts w:ascii="Times New Roman" w:hAnsi="Times New Roman" w:eastAsia="Times New Roman" w:cs="Times New Roman"/>
              </w:rPr>
              <w:t>.</w:t>
            </w:r>
            <w:r w:rsidRPr="001C3040" w:rsidR="0094200C">
              <w:rPr>
                <w:rFonts w:ascii="Times New Roman" w:hAnsi="Times New Roman" w:eastAsia="Times New Roman" w:cs="Times New Roman"/>
              </w:rPr>
              <w:t xml:space="preserve"> </w:t>
            </w:r>
          </w:p>
        </w:tc>
      </w:tr>
      <w:tr w:rsidRPr="001C3040" w:rsidR="00100822" w:rsidTr="2B281452" w14:paraId="3EB5D19F" w14:textId="77777777">
        <w:tc>
          <w:tcPr>
            <w:tcW w:w="540" w:type="dxa"/>
            <w:tcBorders>
              <w:top w:val="single" w:color="auto" w:sz="4" w:space="0"/>
              <w:bottom w:val="single" w:color="auto" w:sz="4" w:space="0"/>
            </w:tcBorders>
            <w:tcMar/>
          </w:tcPr>
          <w:p w:rsidRPr="001C3040" w:rsidR="0094200C" w:rsidRDefault="000121CB" w14:paraId="4AAB94CC" w14:textId="1EEDFAA1">
            <w:pPr>
              <w:rPr>
                <w:rFonts w:ascii="Times New Roman" w:hAnsi="Times New Roman" w:cs="Times New Roman"/>
              </w:rPr>
            </w:pPr>
            <w:r w:rsidRPr="001C3040">
              <w:rPr>
                <w:rFonts w:ascii="Times New Roman" w:hAnsi="Times New Roman" w:cs="Times New Roman"/>
              </w:rPr>
              <w:t>15</w:t>
            </w:r>
            <w:r w:rsidRPr="001C3040" w:rsidR="0094200C">
              <w:rPr>
                <w:rFonts w:ascii="Times New Roman" w:hAnsi="Times New Roman" w:cs="Times New Roman"/>
              </w:rPr>
              <w:t>.</w:t>
            </w:r>
          </w:p>
        </w:tc>
        <w:tc>
          <w:tcPr>
            <w:tcW w:w="1470" w:type="dxa"/>
            <w:tcBorders>
              <w:top w:val="single" w:color="auto" w:sz="4" w:space="0"/>
              <w:bottom w:val="single" w:color="auto" w:sz="4" w:space="0"/>
            </w:tcBorders>
            <w:tcMar/>
          </w:tcPr>
          <w:p w:rsidRPr="001C3040" w:rsidR="0094200C" w:rsidRDefault="0094200C" w14:paraId="2D2F70A4" w14:textId="5EB46C4C">
            <w:pPr>
              <w:rPr>
                <w:rFonts w:ascii="Times New Roman" w:hAnsi="Times New Roman" w:cs="Times New Roman"/>
              </w:rPr>
            </w:pPr>
          </w:p>
        </w:tc>
        <w:tc>
          <w:tcPr>
            <w:tcW w:w="4381" w:type="dxa"/>
            <w:tcMar/>
          </w:tcPr>
          <w:p w:rsidRPr="001C3040" w:rsidR="0094200C" w:rsidP="00100A0D" w:rsidRDefault="0094200C" w14:paraId="10010358" w14:textId="77777777">
            <w:pPr>
              <w:jc w:val="both"/>
              <w:rPr>
                <w:rFonts w:ascii="Times New Roman" w:hAnsi="Times New Roman" w:cs="Times New Roman"/>
              </w:rPr>
            </w:pPr>
            <w:r w:rsidRPr="001C3040">
              <w:rPr>
                <w:rFonts w:ascii="Times New Roman" w:hAnsi="Times New Roman" w:cs="Times New Roman"/>
                <w:i/>
                <w:iCs/>
              </w:rPr>
              <w:t xml:space="preserve">Dėl Nutarimo projekto teisinio reguliavimo pasekmių. </w:t>
            </w:r>
            <w:r w:rsidRPr="001C3040">
              <w:rPr>
                <w:rFonts w:ascii="Times New Roman" w:hAnsi="Times New Roman" w:cs="Times New Roman"/>
              </w:rPr>
              <w:t>Pritarus Nutarimo projektui, 95 kodo pirminio mokymo trukmė profesionaliems vairuotojams išilgės bent tris kartus bei pabrangs bent du kartus. Atitinkamai šios profesijos atstovai bus priversti vykti mokytis į kitas ES valstybes, kur reikalavimai bus daug paprastesni, o jų mokymo pažymėjimai bus pripažįstami visoje ES. Tai vertiname kaip papildomos administracinės ir finansinės naštos atsiradimą mūsų sektoriui.</w:t>
            </w:r>
          </w:p>
          <w:p w:rsidRPr="001C3040" w:rsidR="0094200C" w:rsidP="00F603C9" w:rsidRDefault="0094200C" w14:paraId="11EA108D" w14:textId="77777777">
            <w:pPr>
              <w:jc w:val="both"/>
              <w:rPr>
                <w:rFonts w:ascii="Times New Roman" w:hAnsi="Times New Roman" w:cs="Times New Roman"/>
                <w:b/>
                <w:bCs/>
              </w:rPr>
            </w:pPr>
          </w:p>
        </w:tc>
        <w:tc>
          <w:tcPr>
            <w:tcW w:w="4229" w:type="dxa"/>
            <w:tcBorders>
              <w:top w:val="single" w:color="auto" w:sz="4" w:space="0"/>
              <w:bottom w:val="single" w:color="auto" w:sz="4" w:space="0"/>
            </w:tcBorders>
            <w:tcMar/>
          </w:tcPr>
          <w:p w:rsidRPr="001C3040" w:rsidR="0094200C" w:rsidP="00481BF7" w:rsidRDefault="0094200C" w14:paraId="5B89B2EF" w14:textId="3EC3FD1B">
            <w:pPr>
              <w:tabs>
                <w:tab w:val="left" w:pos="0"/>
                <w:tab w:val="left" w:pos="1276"/>
              </w:tabs>
              <w:contextualSpacing/>
              <w:jc w:val="both"/>
              <w:rPr>
                <w:rFonts w:ascii="Times New Roman" w:hAnsi="Times New Roman" w:eastAsia="Times New Roman" w:cs="Times New Roman"/>
                <w:b/>
                <w:bCs/>
              </w:rPr>
            </w:pPr>
            <w:r w:rsidRPr="001C3040">
              <w:rPr>
                <w:rFonts w:ascii="Times New Roman" w:hAnsi="Times New Roman" w:eastAsia="Times New Roman" w:cs="Times New Roman"/>
                <w:b/>
                <w:bCs/>
              </w:rPr>
              <w:t>Neatsižvelgta</w:t>
            </w:r>
            <w:r w:rsidR="00A35DA4">
              <w:rPr>
                <w:rFonts w:ascii="Times New Roman" w:hAnsi="Times New Roman" w:eastAsia="Times New Roman" w:cs="Times New Roman"/>
                <w:b/>
                <w:bCs/>
              </w:rPr>
              <w:t>.</w:t>
            </w:r>
          </w:p>
          <w:p w:rsidRPr="001C3040" w:rsidR="0094200C" w:rsidP="00E12268" w:rsidRDefault="0094200C" w14:paraId="0C4E9BA5" w14:textId="31897C49">
            <w:pPr>
              <w:tabs>
                <w:tab w:val="left" w:pos="0"/>
                <w:tab w:val="left" w:pos="1276"/>
              </w:tabs>
              <w:contextualSpacing/>
              <w:jc w:val="both"/>
              <w:rPr>
                <w:rFonts w:ascii="Times New Roman" w:hAnsi="Times New Roman" w:eastAsia="Times New Roman" w:cs="Times New Roman"/>
                <w:b/>
                <w:bCs/>
              </w:rPr>
            </w:pPr>
            <w:r w:rsidRPr="001C3040">
              <w:rPr>
                <w:rFonts w:ascii="Times New Roman" w:hAnsi="Times New Roman" w:eastAsia="Times New Roman" w:cs="Times New Roman"/>
              </w:rPr>
              <w:t>Nekorektiška teigti, kad šios profesijos atstovai bus priversti vykti mokytis į kitas ES valstybes, nes</w:t>
            </w:r>
            <w:r w:rsidRPr="001C3040">
              <w:rPr>
                <w:rFonts w:ascii="Times New Roman" w:hAnsi="Times New Roman" w:eastAsia="Times New Roman" w:cs="Times New Roman"/>
                <w:b/>
                <w:bCs/>
              </w:rPr>
              <w:t xml:space="preserve"> </w:t>
            </w:r>
            <w:r w:rsidRPr="001C3040">
              <w:rPr>
                <w:rFonts w:ascii="Times New Roman" w:hAnsi="Times New Roman" w:eastAsia="Times New Roman" w:cs="Times New Roman"/>
              </w:rPr>
              <w:t>Direktyvos 2003/59/EB 9 straipsnyje nustatyta, kad, „šios direktyvos 1</w:t>
            </w:r>
            <w:r w:rsidR="00E12268">
              <w:rPr>
                <w:rFonts w:ascii="Times New Roman" w:hAnsi="Times New Roman" w:eastAsia="Times New Roman" w:cs="Times New Roman"/>
              </w:rPr>
              <w:t> </w:t>
            </w:r>
            <w:r w:rsidRPr="001C3040">
              <w:rPr>
                <w:rFonts w:ascii="Times New Roman" w:hAnsi="Times New Roman" w:eastAsia="Times New Roman" w:cs="Times New Roman"/>
              </w:rPr>
              <w:t>straipsnio a punkte nurodyti vairuotojai šios direktyvos 5 straipsnyje nurodytą pradinę kvalifikaciją įgyja valstybėje narėje, kurioje yra jų įprastinė gyvenamoji vieta, kaip apibrėžta Direktyvos 2006/126/EB 12 straipsnyje“. Atskirai galima paminėti kvalifikacijos kėlimą. Vairuotojai kursą gali išklausyti valstybėje narėje, kurioje jie nuolatos gyvena, arba valstybėje narėje, kurioje dirba. Direktyva numato, kad kursas išklausomas, o keičiamu Saugaus eismo automobilių keliais įstatymo projektu siūloma įvesti egzaminą, numatomas jo filmavimas, kontroliavimas ir t.</w:t>
            </w:r>
            <w:r w:rsidR="00E12268">
              <w:rPr>
                <w:rFonts w:ascii="Times New Roman" w:hAnsi="Times New Roman" w:eastAsia="Times New Roman" w:cs="Times New Roman"/>
              </w:rPr>
              <w:t> </w:t>
            </w:r>
            <w:r w:rsidRPr="001C3040">
              <w:rPr>
                <w:rFonts w:ascii="Times New Roman" w:hAnsi="Times New Roman" w:eastAsia="Times New Roman" w:cs="Times New Roman"/>
              </w:rPr>
              <w:t xml:space="preserve">t. Įvertinus tai, iš tiesų vairuotojams bus akstinas kursus išklausyti kitoje šalyje. Juo labiau kad jie neprivalo trukti savaitę, o gali būti išdėstyti per penkerius metus ir išklausomi dalimis vairuotojui patogioje mokymo įstaigoje. Lieka neaiški situacija dėl tariamos papildomos administracinės ir finansinės naštos transporto sektoriui. </w:t>
            </w:r>
            <w:r w:rsidRPr="001C3040" w:rsidR="003328A9">
              <w:rPr>
                <w:rFonts w:ascii="Times New Roman" w:hAnsi="Times New Roman" w:eastAsia="Times New Roman" w:cs="Times New Roman"/>
              </w:rPr>
              <w:t>Ministerijos nuomone</w:t>
            </w:r>
            <w:r w:rsidRPr="001C3040" w:rsidR="00737E59">
              <w:rPr>
                <w:rFonts w:ascii="Times New Roman" w:hAnsi="Times New Roman" w:eastAsia="Times New Roman" w:cs="Times New Roman"/>
              </w:rPr>
              <w:t xml:space="preserve">, darbdaviams neturėtų būti papildoma finansinė našta, nes asmens įgytų kompetencijų vertimo ir </w:t>
            </w:r>
            <w:r w:rsidRPr="001C3040" w:rsidR="00164415">
              <w:rPr>
                <w:rFonts w:ascii="Times New Roman" w:hAnsi="Times New Roman" w:eastAsia="Times New Roman" w:cs="Times New Roman"/>
              </w:rPr>
              <w:t>kvalifikacijų</w:t>
            </w:r>
            <w:r w:rsidRPr="001C3040" w:rsidR="00737E59">
              <w:rPr>
                <w:rFonts w:ascii="Times New Roman" w:hAnsi="Times New Roman" w:eastAsia="Times New Roman" w:cs="Times New Roman"/>
              </w:rPr>
              <w:t xml:space="preserve"> </w:t>
            </w:r>
            <w:r w:rsidRPr="001C3040" w:rsidR="00164415">
              <w:rPr>
                <w:rFonts w:ascii="Times New Roman" w:hAnsi="Times New Roman" w:eastAsia="Times New Roman" w:cs="Times New Roman"/>
              </w:rPr>
              <w:t>suteikimo</w:t>
            </w:r>
            <w:r w:rsidRPr="001C3040" w:rsidR="00737E59">
              <w:rPr>
                <w:rFonts w:ascii="Times New Roman" w:hAnsi="Times New Roman" w:eastAsia="Times New Roman" w:cs="Times New Roman"/>
              </w:rPr>
              <w:t xml:space="preserve"> sistema veikia ir dabar</w:t>
            </w:r>
            <w:r w:rsidRPr="001C3040" w:rsidR="000A52A2">
              <w:rPr>
                <w:rFonts w:ascii="Times New Roman" w:hAnsi="Times New Roman" w:eastAsia="Times New Roman" w:cs="Times New Roman"/>
              </w:rPr>
              <w:t xml:space="preserve"> nesukeldama naujų papildomų kaštų, kitaip nei tai galėtų atsirasti priėmus numatomą Įstatymo projektą.</w:t>
            </w:r>
          </w:p>
        </w:tc>
      </w:tr>
      <w:tr w:rsidRPr="001C3040" w:rsidR="00100822" w:rsidTr="2B281452" w14:paraId="4ED0FE8D" w14:textId="77777777">
        <w:tc>
          <w:tcPr>
            <w:tcW w:w="540" w:type="dxa"/>
            <w:tcBorders>
              <w:top w:val="single" w:color="auto" w:sz="4" w:space="0"/>
              <w:bottom w:val="single" w:color="auto" w:sz="4" w:space="0"/>
            </w:tcBorders>
            <w:tcMar/>
          </w:tcPr>
          <w:p w:rsidRPr="001C3040" w:rsidR="0094200C" w:rsidRDefault="000121CB" w14:paraId="3762CC45" w14:textId="03071EB7">
            <w:pPr>
              <w:rPr>
                <w:rFonts w:ascii="Times New Roman" w:hAnsi="Times New Roman" w:cs="Times New Roman"/>
              </w:rPr>
            </w:pPr>
            <w:r w:rsidRPr="001C3040">
              <w:rPr>
                <w:rFonts w:ascii="Times New Roman" w:hAnsi="Times New Roman" w:cs="Times New Roman"/>
              </w:rPr>
              <w:t>16.</w:t>
            </w:r>
          </w:p>
        </w:tc>
        <w:tc>
          <w:tcPr>
            <w:tcW w:w="1470" w:type="dxa"/>
            <w:tcBorders>
              <w:top w:val="single" w:color="auto" w:sz="4" w:space="0"/>
              <w:bottom w:val="single" w:color="auto" w:sz="4" w:space="0"/>
            </w:tcBorders>
            <w:tcMar/>
          </w:tcPr>
          <w:p w:rsidRPr="001C3040" w:rsidR="001E47C5" w:rsidP="001E47C5" w:rsidRDefault="001E47C5" w14:paraId="5CFE8334" w14:textId="77777777">
            <w:pPr>
              <w:rPr>
                <w:rFonts w:ascii="Times New Roman" w:hAnsi="Times New Roman" w:cs="Times New Roman"/>
              </w:rPr>
            </w:pPr>
            <w:r w:rsidRPr="001C3040">
              <w:rPr>
                <w:rFonts w:ascii="Times New Roman" w:hAnsi="Times New Roman" w:cs="Times New Roman"/>
              </w:rPr>
              <w:t xml:space="preserve">Lietuvos nacionalinės vežėjų </w:t>
            </w:r>
            <w:r w:rsidRPr="001C3040">
              <w:rPr>
                <w:rFonts w:ascii="Times New Roman" w:hAnsi="Times New Roman" w:cs="Times New Roman"/>
              </w:rPr>
              <w:lastRenderedPageBreak/>
              <w:t>automobiliais asociacijos „LINAVA“</w:t>
            </w:r>
          </w:p>
          <w:p w:rsidRPr="001C3040" w:rsidR="0094200C" w:rsidP="001E47C5" w:rsidRDefault="001E47C5" w14:paraId="2C30D5E9" w14:textId="2AFC4147">
            <w:pPr>
              <w:rPr>
                <w:rFonts w:ascii="Times New Roman" w:hAnsi="Times New Roman" w:cs="Times New Roman"/>
              </w:rPr>
            </w:pPr>
            <w:r w:rsidRPr="001C3040">
              <w:rPr>
                <w:rFonts w:ascii="Times New Roman" w:hAnsi="Times New Roman" w:cs="Times New Roman"/>
              </w:rPr>
              <w:t>2021 m. rugsėjo 3 d. raštas Nr. S-1083</w:t>
            </w:r>
          </w:p>
        </w:tc>
        <w:tc>
          <w:tcPr>
            <w:tcW w:w="4381" w:type="dxa"/>
            <w:tcMar/>
          </w:tcPr>
          <w:p w:rsidRPr="001C3040" w:rsidR="0094200C" w:rsidP="00100A0D" w:rsidRDefault="0094200C" w14:paraId="688B0C91" w14:textId="77777777">
            <w:pPr>
              <w:jc w:val="both"/>
              <w:rPr>
                <w:rFonts w:ascii="Times New Roman" w:hAnsi="Times New Roman" w:cs="Times New Roman"/>
                <w:iCs/>
              </w:rPr>
            </w:pPr>
            <w:r w:rsidRPr="001C3040">
              <w:rPr>
                <w:rFonts w:ascii="Times New Roman" w:hAnsi="Times New Roman" w:cs="Times New Roman"/>
                <w:iCs/>
              </w:rPr>
              <w:lastRenderedPageBreak/>
              <w:t xml:space="preserve">Direktyva nereikalauja, kad 95 kodo mokymas būtų priskirtas formaliajam profesiniam </w:t>
            </w:r>
            <w:r w:rsidRPr="001C3040">
              <w:rPr>
                <w:rFonts w:ascii="Times New Roman" w:hAnsi="Times New Roman" w:cs="Times New Roman"/>
                <w:iCs/>
              </w:rPr>
              <w:lastRenderedPageBreak/>
              <w:t xml:space="preserve">mokymui, tačiau Lietuvoje jis yra priskirtas būtent formalaus profesinio mokymo sričiai. </w:t>
            </w:r>
          </w:p>
        </w:tc>
        <w:tc>
          <w:tcPr>
            <w:tcW w:w="4229" w:type="dxa"/>
            <w:tcBorders>
              <w:top w:val="single" w:color="auto" w:sz="4" w:space="0"/>
              <w:bottom w:val="single" w:color="auto" w:sz="4" w:space="0"/>
            </w:tcBorders>
            <w:tcMar/>
          </w:tcPr>
          <w:p w:rsidRPr="001C3040" w:rsidR="0094200C" w:rsidP="00481BF7" w:rsidRDefault="0094200C" w14:paraId="71D122D0" w14:textId="3303D8A7">
            <w:pPr>
              <w:tabs>
                <w:tab w:val="left" w:pos="0"/>
                <w:tab w:val="left" w:pos="1276"/>
              </w:tabs>
              <w:contextualSpacing/>
              <w:jc w:val="both"/>
              <w:rPr>
                <w:rFonts w:ascii="Times New Roman" w:hAnsi="Times New Roman" w:eastAsia="Times New Roman" w:cs="Times New Roman"/>
                <w:b/>
                <w:bCs/>
              </w:rPr>
            </w:pPr>
            <w:r w:rsidRPr="001C3040">
              <w:rPr>
                <w:rFonts w:ascii="Times New Roman" w:hAnsi="Times New Roman" w:eastAsia="Times New Roman" w:cs="Times New Roman"/>
                <w:b/>
                <w:bCs/>
              </w:rPr>
              <w:lastRenderedPageBreak/>
              <w:t>Neatsižvelgta</w:t>
            </w:r>
            <w:r w:rsidR="00A35DA4">
              <w:rPr>
                <w:rFonts w:ascii="Times New Roman" w:hAnsi="Times New Roman" w:eastAsia="Times New Roman" w:cs="Times New Roman"/>
                <w:b/>
                <w:bCs/>
              </w:rPr>
              <w:t>.</w:t>
            </w:r>
          </w:p>
          <w:p w:rsidRPr="001C3040" w:rsidR="00330F7B" w:rsidP="00E12268" w:rsidRDefault="0094200C" w14:paraId="396E12B8" w14:textId="105C4913">
            <w:pPr>
              <w:tabs>
                <w:tab w:val="left" w:pos="0"/>
                <w:tab w:val="left" w:pos="1276"/>
              </w:tabs>
              <w:contextualSpacing/>
              <w:jc w:val="both"/>
              <w:rPr>
                <w:rFonts w:ascii="Times New Roman" w:hAnsi="Times New Roman" w:eastAsia="Times New Roman" w:cs="Times New Roman"/>
                <w:bCs/>
              </w:rPr>
            </w:pPr>
            <w:r w:rsidRPr="001C3040">
              <w:rPr>
                <w:rFonts w:ascii="Times New Roman" w:hAnsi="Times New Roman" w:eastAsia="Times New Roman" w:cs="Times New Roman"/>
                <w:bCs/>
              </w:rPr>
              <w:t xml:space="preserve">Direktyva 2003/59/EB, kaip nurodoma jos aiškinamajame memorandume, suteikia </w:t>
            </w:r>
            <w:r w:rsidRPr="001C3040">
              <w:rPr>
                <w:rFonts w:ascii="Times New Roman" w:hAnsi="Times New Roman" w:eastAsia="Times New Roman" w:cs="Times New Roman"/>
                <w:bCs/>
              </w:rPr>
              <w:lastRenderedPageBreak/>
              <w:t>valstybėms narėms galimyb</w:t>
            </w:r>
            <w:r w:rsidR="00E12268">
              <w:rPr>
                <w:rFonts w:ascii="Times New Roman" w:hAnsi="Times New Roman" w:eastAsia="Times New Roman" w:cs="Times New Roman"/>
                <w:bCs/>
              </w:rPr>
              <w:t>ę</w:t>
            </w:r>
            <w:r w:rsidRPr="001C3040">
              <w:rPr>
                <w:rFonts w:ascii="Times New Roman" w:hAnsi="Times New Roman" w:eastAsia="Times New Roman" w:cs="Times New Roman"/>
                <w:bCs/>
              </w:rPr>
              <w:t xml:space="preserve"> lanksčiai spręsti direktyv</w:t>
            </w:r>
            <w:r w:rsidRPr="001C3040" w:rsidR="005E7319">
              <w:rPr>
                <w:rFonts w:ascii="Times New Roman" w:hAnsi="Times New Roman" w:eastAsia="Times New Roman" w:cs="Times New Roman"/>
                <w:bCs/>
              </w:rPr>
              <w:t>os įgyvendinimą</w:t>
            </w:r>
            <w:r w:rsidRPr="001C3040">
              <w:rPr>
                <w:rFonts w:ascii="Times New Roman" w:hAnsi="Times New Roman" w:eastAsia="Times New Roman" w:cs="Times New Roman"/>
                <w:bCs/>
              </w:rPr>
              <w:t>, kiekviena valstybė narė turi teisę priimti jai tinkamiausią vairuotojų mokymo modelį</w:t>
            </w:r>
            <w:r w:rsidRPr="001C3040" w:rsidR="00330F7B">
              <w:rPr>
                <w:rFonts w:ascii="Times New Roman" w:hAnsi="Times New Roman" w:eastAsia="Times New Roman" w:cs="Times New Roman"/>
                <w:bCs/>
              </w:rPr>
              <w:t xml:space="preserve">, tačiau </w:t>
            </w:r>
            <w:r w:rsidR="00E12268">
              <w:rPr>
                <w:rFonts w:ascii="Times New Roman" w:hAnsi="Times New Roman" w:eastAsia="Times New Roman" w:cs="Times New Roman"/>
                <w:bCs/>
              </w:rPr>
              <w:t>kartu</w:t>
            </w:r>
            <w:r w:rsidRPr="001C3040" w:rsidR="00330F7B">
              <w:rPr>
                <w:rFonts w:ascii="Times New Roman" w:hAnsi="Times New Roman" w:eastAsia="Times New Roman" w:cs="Times New Roman"/>
                <w:bCs/>
              </w:rPr>
              <w:t xml:space="preserve"> svarbu pažymėti, kad Direktyva 2003/59/EB numato</w:t>
            </w:r>
            <w:r w:rsidRPr="001C3040" w:rsidR="001E47C5">
              <w:rPr>
                <w:rFonts w:ascii="Times New Roman" w:hAnsi="Times New Roman" w:eastAsia="Times New Roman" w:cs="Times New Roman"/>
                <w:bCs/>
              </w:rPr>
              <w:t xml:space="preserve"> vairuotojams </w:t>
            </w:r>
            <w:r w:rsidRPr="001C3040" w:rsidR="00330F7B">
              <w:rPr>
                <w:rFonts w:ascii="Times New Roman" w:hAnsi="Times New Roman" w:eastAsia="Times New Roman" w:cs="Times New Roman"/>
                <w:bCs/>
              </w:rPr>
              <w:t>pradinę kvalifikaciją ir</w:t>
            </w:r>
            <w:r w:rsidRPr="001C3040" w:rsidR="00A86BCD">
              <w:rPr>
                <w:rFonts w:ascii="Times New Roman" w:hAnsi="Times New Roman" w:eastAsia="Times New Roman" w:cs="Times New Roman"/>
                <w:bCs/>
              </w:rPr>
              <w:t xml:space="preserve">, </w:t>
            </w:r>
            <w:r w:rsidRPr="001C3040" w:rsidR="00330F7B">
              <w:rPr>
                <w:rFonts w:ascii="Times New Roman" w:hAnsi="Times New Roman" w:eastAsia="Times New Roman" w:cs="Times New Roman"/>
                <w:bCs/>
              </w:rPr>
              <w:t xml:space="preserve">kaip jau minėta derinimo pažymos </w:t>
            </w:r>
            <w:r w:rsidRPr="001C3040" w:rsidR="00231AC5">
              <w:rPr>
                <w:rFonts w:ascii="Times New Roman" w:hAnsi="Times New Roman" w:eastAsia="Times New Roman" w:cs="Times New Roman"/>
                <w:bCs/>
              </w:rPr>
              <w:t xml:space="preserve">12 </w:t>
            </w:r>
            <w:r w:rsidRPr="001C3040" w:rsidR="00330F7B">
              <w:rPr>
                <w:rFonts w:ascii="Times New Roman" w:hAnsi="Times New Roman" w:eastAsia="Times New Roman" w:cs="Times New Roman"/>
                <w:bCs/>
              </w:rPr>
              <w:t>punkte, minimalus kvalifikacijos lygis turi būti panašus bent į Europos kv</w:t>
            </w:r>
            <w:r w:rsidRPr="001C3040" w:rsidR="00A86BCD">
              <w:rPr>
                <w:rFonts w:ascii="Times New Roman" w:hAnsi="Times New Roman" w:eastAsia="Times New Roman" w:cs="Times New Roman"/>
                <w:bCs/>
              </w:rPr>
              <w:t>alifikacijų sąrangos 2 lygmenį. Kvalifikacija visų pirma įgyjama mokantis pagal formaliojo profesinio mokymo programas</w:t>
            </w:r>
            <w:r w:rsidRPr="001C3040" w:rsidR="00E276EE">
              <w:rPr>
                <w:rFonts w:ascii="Times New Roman" w:hAnsi="Times New Roman" w:eastAsia="Times New Roman" w:cs="Times New Roman"/>
                <w:bCs/>
              </w:rPr>
              <w:t>. Neformaliojo švietimo programos ar darbo patirtis sudaro galimybę įgyti kompetencijas, kurios vėliau gali virsti tam tikra kvalifikacija.</w:t>
            </w:r>
            <w:r w:rsidRPr="001C3040" w:rsidR="00A86BCD">
              <w:rPr>
                <w:rFonts w:ascii="Times New Roman" w:hAnsi="Times New Roman" w:eastAsia="Times New Roman" w:cs="Times New Roman"/>
                <w:bCs/>
              </w:rPr>
              <w:t xml:space="preserve"> </w:t>
            </w:r>
          </w:p>
        </w:tc>
      </w:tr>
      <w:tr w:rsidRPr="001C3040" w:rsidR="00100822" w:rsidTr="2B281452" w14:paraId="15DC4A32" w14:textId="77777777">
        <w:tc>
          <w:tcPr>
            <w:tcW w:w="540" w:type="dxa"/>
            <w:tcBorders>
              <w:top w:val="single" w:color="auto" w:sz="4" w:space="0"/>
              <w:bottom w:val="single" w:color="auto" w:sz="4" w:space="0"/>
            </w:tcBorders>
            <w:tcMar/>
          </w:tcPr>
          <w:p w:rsidRPr="001C3040" w:rsidR="0094200C" w:rsidRDefault="000121CB" w14:paraId="02944CDB" w14:textId="66129B70">
            <w:pPr>
              <w:rPr>
                <w:rFonts w:ascii="Times New Roman" w:hAnsi="Times New Roman" w:cs="Times New Roman"/>
              </w:rPr>
            </w:pPr>
            <w:r w:rsidRPr="001C3040">
              <w:rPr>
                <w:rFonts w:ascii="Times New Roman" w:hAnsi="Times New Roman" w:cs="Times New Roman"/>
              </w:rPr>
              <w:lastRenderedPageBreak/>
              <w:t>17</w:t>
            </w:r>
            <w:r w:rsidRPr="001C3040" w:rsidR="0094200C">
              <w:rPr>
                <w:rFonts w:ascii="Times New Roman" w:hAnsi="Times New Roman" w:cs="Times New Roman"/>
              </w:rPr>
              <w:t>.</w:t>
            </w:r>
          </w:p>
        </w:tc>
        <w:tc>
          <w:tcPr>
            <w:tcW w:w="1470" w:type="dxa"/>
            <w:tcBorders>
              <w:top w:val="single" w:color="auto" w:sz="4" w:space="0"/>
              <w:bottom w:val="single" w:color="auto" w:sz="4" w:space="0"/>
            </w:tcBorders>
            <w:tcMar/>
          </w:tcPr>
          <w:p w:rsidRPr="001C3040" w:rsidR="0094200C" w:rsidRDefault="0094200C" w14:paraId="42C23BAB" w14:textId="64433D52">
            <w:pPr>
              <w:rPr>
                <w:rFonts w:ascii="Times New Roman" w:hAnsi="Times New Roman" w:cs="Times New Roman"/>
              </w:rPr>
            </w:pPr>
          </w:p>
        </w:tc>
        <w:tc>
          <w:tcPr>
            <w:tcW w:w="4381" w:type="dxa"/>
            <w:tcMar/>
          </w:tcPr>
          <w:p w:rsidRPr="001C3040" w:rsidR="0094200C" w:rsidP="00100A0D" w:rsidRDefault="0094200C" w14:paraId="3077DDCC" w14:textId="448AB29C">
            <w:pPr>
              <w:jc w:val="both"/>
              <w:rPr>
                <w:rFonts w:ascii="Times New Roman" w:hAnsi="Times New Roman" w:cs="Times New Roman"/>
                <w:iCs/>
                <w:highlight w:val="yellow"/>
              </w:rPr>
            </w:pPr>
            <w:r w:rsidRPr="001C3040">
              <w:rPr>
                <w:rFonts w:ascii="Times New Roman" w:hAnsi="Times New Roman" w:cs="Times New Roman"/>
                <w:iCs/>
              </w:rPr>
              <w:t>Profesionalių vairuotojų mokymą nacionalinėje teisėje tiksling</w:t>
            </w:r>
            <w:r w:rsidRPr="001C3040" w:rsidR="004640B9">
              <w:rPr>
                <w:rFonts w:ascii="Times New Roman" w:hAnsi="Times New Roman" w:cs="Times New Roman"/>
                <w:iCs/>
              </w:rPr>
              <w:t>a</w:t>
            </w:r>
            <w:r w:rsidRPr="001C3040">
              <w:rPr>
                <w:rFonts w:ascii="Times New Roman" w:hAnsi="Times New Roman" w:cs="Times New Roman"/>
                <w:iCs/>
              </w:rPr>
              <w:t xml:space="preserve"> laikyti ne vairuotojo kvalifikacija, bet vairuotojo kompetencija. Tokia pozicija atitinka Direktyvos 2003/59/EB nuostatas. Asociacijos nuomone, ŠMSM, versdama direktyvą, padarė vertimo klaidą ir žodį „</w:t>
            </w:r>
            <w:proofErr w:type="spellStart"/>
            <w:r w:rsidRPr="001C3040">
              <w:rPr>
                <w:rFonts w:ascii="Times New Roman" w:hAnsi="Times New Roman" w:cs="Times New Roman"/>
                <w:i/>
                <w:iCs/>
              </w:rPr>
              <w:t>competence</w:t>
            </w:r>
            <w:proofErr w:type="spellEnd"/>
            <w:r w:rsidRPr="001C3040">
              <w:rPr>
                <w:rFonts w:ascii="Times New Roman" w:hAnsi="Times New Roman" w:cs="Times New Roman"/>
                <w:iCs/>
              </w:rPr>
              <w:t>“ (iš anglų k. „</w:t>
            </w:r>
            <w:r w:rsidRPr="001C3040">
              <w:rPr>
                <w:rFonts w:ascii="Times New Roman" w:hAnsi="Times New Roman" w:cs="Times New Roman"/>
                <w:i/>
                <w:iCs/>
              </w:rPr>
              <w:t>kompetencija“</w:t>
            </w:r>
            <w:r w:rsidRPr="001C3040">
              <w:rPr>
                <w:rFonts w:ascii="Times New Roman" w:hAnsi="Times New Roman" w:cs="Times New Roman"/>
                <w:iCs/>
              </w:rPr>
              <w:t xml:space="preserve">) išvertė kaip „kvalifikacija. </w:t>
            </w:r>
          </w:p>
        </w:tc>
        <w:tc>
          <w:tcPr>
            <w:tcW w:w="4229" w:type="dxa"/>
            <w:tcBorders>
              <w:top w:val="single" w:color="auto" w:sz="4" w:space="0"/>
              <w:bottom w:val="single" w:color="auto" w:sz="4" w:space="0"/>
            </w:tcBorders>
            <w:tcMar/>
          </w:tcPr>
          <w:p w:rsidRPr="001C3040" w:rsidR="0094200C" w:rsidP="004F4739" w:rsidRDefault="0094200C" w14:paraId="00B13508" w14:textId="359B4DF1">
            <w:pPr>
              <w:tabs>
                <w:tab w:val="left" w:pos="0"/>
                <w:tab w:val="left" w:pos="1276"/>
              </w:tabs>
              <w:contextualSpacing/>
              <w:jc w:val="both"/>
              <w:rPr>
                <w:rFonts w:ascii="Times New Roman" w:hAnsi="Times New Roman" w:eastAsia="Times New Roman" w:cs="Times New Roman"/>
                <w:b/>
                <w:bCs/>
              </w:rPr>
            </w:pPr>
            <w:r w:rsidRPr="001C3040">
              <w:rPr>
                <w:rFonts w:ascii="Times New Roman" w:hAnsi="Times New Roman" w:eastAsia="Times New Roman" w:cs="Times New Roman"/>
                <w:b/>
                <w:bCs/>
              </w:rPr>
              <w:t>Neatsižvelgta</w:t>
            </w:r>
            <w:r w:rsidR="00A35DA4">
              <w:rPr>
                <w:rFonts w:ascii="Times New Roman" w:hAnsi="Times New Roman" w:eastAsia="Times New Roman" w:cs="Times New Roman"/>
                <w:b/>
                <w:bCs/>
              </w:rPr>
              <w:t>.</w:t>
            </w:r>
            <w:r w:rsidRPr="001C3040">
              <w:rPr>
                <w:rFonts w:ascii="Times New Roman" w:hAnsi="Times New Roman" w:eastAsia="Times New Roman" w:cs="Times New Roman"/>
                <w:b/>
                <w:bCs/>
              </w:rPr>
              <w:t xml:space="preserve"> </w:t>
            </w:r>
          </w:p>
          <w:p w:rsidRPr="001C3040" w:rsidR="00990CC4" w:rsidP="004F4739" w:rsidRDefault="0094200C" w14:paraId="48C9CDF6" w14:textId="17F2F4D9">
            <w:pPr>
              <w:tabs>
                <w:tab w:val="left" w:pos="0"/>
                <w:tab w:val="left" w:pos="1276"/>
              </w:tabs>
              <w:contextualSpacing/>
              <w:jc w:val="both"/>
              <w:rPr>
                <w:rFonts w:ascii="Times New Roman" w:hAnsi="Times New Roman" w:eastAsia="Times New Roman" w:cs="Times New Roman"/>
                <w:bCs/>
              </w:rPr>
            </w:pPr>
            <w:r w:rsidRPr="001C3040">
              <w:rPr>
                <w:rFonts w:ascii="Times New Roman" w:hAnsi="Times New Roman" w:eastAsia="Times New Roman" w:cs="Times New Roman"/>
                <w:bCs/>
              </w:rPr>
              <w:t>Ministerija neverčia oficialių Europos Parlamento ir Tarybos dokumentų, ministerija vadovaujasi Direktyva – Europos Sąjungos oficiali</w:t>
            </w:r>
            <w:r w:rsidRPr="001C3040" w:rsidR="008B2A7C">
              <w:rPr>
                <w:rFonts w:ascii="Times New Roman" w:hAnsi="Times New Roman" w:eastAsia="Times New Roman" w:cs="Times New Roman"/>
                <w:bCs/>
              </w:rPr>
              <w:t>u</w:t>
            </w:r>
            <w:r w:rsidRPr="001C3040">
              <w:rPr>
                <w:rFonts w:ascii="Times New Roman" w:hAnsi="Times New Roman" w:eastAsia="Times New Roman" w:cs="Times New Roman"/>
                <w:bCs/>
              </w:rPr>
              <w:t xml:space="preserve"> leidiniu – išverstu į lietuvių kalbą. </w:t>
            </w:r>
          </w:p>
          <w:p w:rsidRPr="001C3040" w:rsidR="00990CC4" w:rsidP="004F4739" w:rsidRDefault="00530D8B" w14:paraId="72C2F6CE" w14:textId="3F4B9DF0">
            <w:pPr>
              <w:tabs>
                <w:tab w:val="left" w:pos="0"/>
                <w:tab w:val="left" w:pos="1276"/>
              </w:tabs>
              <w:contextualSpacing/>
              <w:jc w:val="both"/>
              <w:rPr>
                <w:rFonts w:ascii="Times New Roman" w:hAnsi="Times New Roman" w:eastAsia="Times New Roman" w:cs="Times New Roman"/>
                <w:bCs/>
              </w:rPr>
            </w:pPr>
            <w:r w:rsidRPr="001C3040">
              <w:rPr>
                <w:rFonts w:ascii="Times New Roman" w:hAnsi="Times New Roman" w:eastAsia="Times New Roman" w:cs="Times New Roman"/>
                <w:bCs/>
              </w:rPr>
              <w:t>https://eur-lex.europa.eu/legal-content/LT/TXT/?uri=CELEX:32018L0645</w:t>
            </w:r>
          </w:p>
          <w:p w:rsidRPr="001C3040" w:rsidR="0094200C" w:rsidP="00E12268" w:rsidRDefault="0094200C" w14:paraId="59867250" w14:textId="320B6F15">
            <w:pPr>
              <w:tabs>
                <w:tab w:val="left" w:pos="0"/>
                <w:tab w:val="left" w:pos="1276"/>
              </w:tabs>
              <w:contextualSpacing/>
              <w:jc w:val="both"/>
              <w:rPr>
                <w:rFonts w:ascii="Times New Roman" w:hAnsi="Times New Roman" w:eastAsia="Times New Roman" w:cs="Times New Roman"/>
                <w:bCs/>
              </w:rPr>
            </w:pPr>
            <w:r w:rsidRPr="001C3040">
              <w:rPr>
                <w:rFonts w:ascii="Times New Roman" w:hAnsi="Times New Roman" w:eastAsia="Times New Roman" w:cs="Times New Roman"/>
                <w:bCs/>
              </w:rPr>
              <w:t>Pastebime, kad kompetencijos ir kvalifikacijos sąvokos, kurios sutampa su Direktyvoje pateiktomis sąvokomis, yra apibrėžtos nacionalinėje teisėje –</w:t>
            </w:r>
            <w:r w:rsidR="00E12268">
              <w:rPr>
                <w:rFonts w:ascii="Times New Roman" w:hAnsi="Times New Roman" w:eastAsia="Times New Roman" w:cs="Times New Roman"/>
                <w:bCs/>
              </w:rPr>
              <w:t xml:space="preserve"> Š</w:t>
            </w:r>
            <w:r w:rsidRPr="00E12268">
              <w:rPr>
                <w:rFonts w:ascii="Times New Roman" w:hAnsi="Times New Roman" w:eastAsia="Times New Roman" w:cs="Times New Roman"/>
                <w:bCs/>
              </w:rPr>
              <w:t>vietimo</w:t>
            </w:r>
            <w:r w:rsidRPr="001C3040">
              <w:rPr>
                <w:rFonts w:ascii="Times New Roman" w:hAnsi="Times New Roman" w:eastAsia="Times New Roman" w:cs="Times New Roman"/>
                <w:bCs/>
              </w:rPr>
              <w:t xml:space="preserve"> įstatyme – ir jokia kita jų interpretacija negalima. </w:t>
            </w:r>
          </w:p>
        </w:tc>
      </w:tr>
      <w:tr w:rsidRPr="001C3040" w:rsidR="00116153" w:rsidTr="2B281452" w14:paraId="44C0EA5B" w14:textId="77777777">
        <w:tc>
          <w:tcPr>
            <w:tcW w:w="540" w:type="dxa"/>
            <w:tcBorders>
              <w:top w:val="single" w:color="auto" w:sz="4" w:space="0"/>
              <w:bottom w:val="single" w:color="auto" w:sz="4" w:space="0"/>
            </w:tcBorders>
            <w:tcMar/>
          </w:tcPr>
          <w:p w:rsidRPr="001C3040" w:rsidR="00116153" w:rsidRDefault="00116153" w14:paraId="5F1FBE5B" w14:textId="77777777">
            <w:pPr>
              <w:rPr>
                <w:rFonts w:ascii="Times New Roman" w:hAnsi="Times New Roman" w:cs="Times New Roman"/>
              </w:rPr>
            </w:pPr>
          </w:p>
          <w:p w:rsidRPr="001C3040" w:rsidR="00116153" w:rsidRDefault="00116153" w14:paraId="7FFA7300" w14:textId="4B837E29">
            <w:pPr>
              <w:rPr>
                <w:rFonts w:ascii="Times New Roman" w:hAnsi="Times New Roman" w:cs="Times New Roman"/>
              </w:rPr>
            </w:pPr>
            <w:r w:rsidRPr="001C3040">
              <w:rPr>
                <w:rFonts w:ascii="Times New Roman" w:hAnsi="Times New Roman" w:cs="Times New Roman"/>
              </w:rPr>
              <w:t>1</w:t>
            </w:r>
            <w:r w:rsidRPr="001C3040" w:rsidR="00C04080">
              <w:rPr>
                <w:rFonts w:ascii="Times New Roman" w:hAnsi="Times New Roman" w:cs="Times New Roman"/>
              </w:rPr>
              <w:t>8.</w:t>
            </w:r>
            <w:r w:rsidRPr="001C3040">
              <w:rPr>
                <w:rFonts w:ascii="Times New Roman" w:hAnsi="Times New Roman" w:cs="Times New Roman"/>
              </w:rPr>
              <w:t xml:space="preserve"> </w:t>
            </w:r>
          </w:p>
        </w:tc>
        <w:tc>
          <w:tcPr>
            <w:tcW w:w="1470" w:type="dxa"/>
            <w:tcBorders>
              <w:top w:val="single" w:color="auto" w:sz="4" w:space="0"/>
              <w:bottom w:val="single" w:color="auto" w:sz="4" w:space="0"/>
            </w:tcBorders>
            <w:tcMar/>
          </w:tcPr>
          <w:p w:rsidRPr="001C3040" w:rsidR="00C04080" w:rsidP="00C04080" w:rsidRDefault="00C04080" w14:paraId="3C72A1CA" w14:textId="77777777">
            <w:pPr>
              <w:rPr>
                <w:rFonts w:ascii="Times New Roman" w:hAnsi="Times New Roman" w:cs="Times New Roman"/>
              </w:rPr>
            </w:pPr>
            <w:r w:rsidRPr="001C3040">
              <w:rPr>
                <w:rFonts w:ascii="Times New Roman" w:hAnsi="Times New Roman" w:cs="Times New Roman"/>
              </w:rPr>
              <w:t xml:space="preserve">Lietuvos vairuotojų mokymo ir kvalifikacijos kėlimo mokyklų asociacijos </w:t>
            </w:r>
          </w:p>
          <w:p w:rsidRPr="001C3040" w:rsidR="00116153" w:rsidP="00C04080" w:rsidRDefault="00C04080" w14:paraId="461AD357" w14:textId="14B58EBD">
            <w:pPr>
              <w:rPr>
                <w:rFonts w:ascii="Times New Roman" w:hAnsi="Times New Roman" w:cs="Times New Roman"/>
              </w:rPr>
            </w:pPr>
            <w:r w:rsidRPr="001C3040">
              <w:rPr>
                <w:rFonts w:ascii="Times New Roman" w:hAnsi="Times New Roman" w:cs="Times New Roman"/>
              </w:rPr>
              <w:t>2021 m. rugsėjo 3 d. raštas</w:t>
            </w:r>
          </w:p>
        </w:tc>
        <w:tc>
          <w:tcPr>
            <w:tcW w:w="4381" w:type="dxa"/>
            <w:tcMar/>
          </w:tcPr>
          <w:p w:rsidRPr="001C3040" w:rsidR="00116153" w:rsidP="00116153" w:rsidRDefault="00116153" w14:paraId="17408846" w14:textId="5DD7D9D8">
            <w:pPr>
              <w:jc w:val="both"/>
              <w:rPr>
                <w:rFonts w:ascii="Times New Roman" w:hAnsi="Times New Roman" w:cs="Times New Roman"/>
                <w:iCs/>
              </w:rPr>
            </w:pPr>
            <w:r w:rsidRPr="001C3040">
              <w:rPr>
                <w:rFonts w:ascii="Times New Roman" w:hAnsi="Times New Roman" w:cs="Times New Roman"/>
                <w:iCs/>
              </w:rPr>
              <w:t>Ydingas yra būtent vairuotojų mokymo   išskaidymas, išskiriant 95 kodo mokymus  kaip  profesinį  mokymą  ir  deleguojant  jį  Švietimo,  mokslo ir sporto ministerijai, kai tuo tarpu kitų, ne mažiau svarbių vairuotojų kompetencijų įgijimas jau ilgą laiką yra Susisiekimo ministerijos reguliavimo ir  priežiūros sritis. Praktika parodė, kad Profesinio mokymo reglamentavimas nesuteikia lanksčių  galimybių  išskirti  vienos siauros mokymo srities – vairuotojų mokymo – ir pritaikyti šio mokymo poreikius atitinkantį  reglamentavimą. Tokias  galimybes  ir instrumentus turi ir sėkmingai taiko LR Susisiekimo ministerija.</w:t>
            </w:r>
          </w:p>
          <w:p w:rsidRPr="001C3040" w:rsidR="00116153" w:rsidP="00116153" w:rsidRDefault="00116153" w14:paraId="0E2A92B1" w14:textId="77777777">
            <w:pPr>
              <w:jc w:val="both"/>
              <w:rPr>
                <w:rFonts w:ascii="Times New Roman" w:hAnsi="Times New Roman" w:cs="Times New Roman"/>
                <w:iCs/>
              </w:rPr>
            </w:pPr>
          </w:p>
        </w:tc>
        <w:tc>
          <w:tcPr>
            <w:tcW w:w="4229" w:type="dxa"/>
            <w:tcBorders>
              <w:top w:val="single" w:color="auto" w:sz="4" w:space="0"/>
              <w:bottom w:val="single" w:color="auto" w:sz="4" w:space="0"/>
            </w:tcBorders>
            <w:tcMar/>
          </w:tcPr>
          <w:p w:rsidRPr="001C3040" w:rsidR="00116153" w:rsidP="004F4739" w:rsidRDefault="00116153" w14:paraId="786AF006" w14:textId="2209F723">
            <w:pPr>
              <w:tabs>
                <w:tab w:val="left" w:pos="0"/>
                <w:tab w:val="left" w:pos="1276"/>
              </w:tabs>
              <w:contextualSpacing/>
              <w:jc w:val="both"/>
              <w:rPr>
                <w:rFonts w:ascii="Times New Roman" w:hAnsi="Times New Roman" w:eastAsia="Times New Roman" w:cs="Times New Roman"/>
                <w:b/>
                <w:bCs/>
              </w:rPr>
            </w:pPr>
            <w:r w:rsidRPr="001C3040">
              <w:rPr>
                <w:rFonts w:ascii="Times New Roman" w:hAnsi="Times New Roman" w:eastAsia="Times New Roman" w:cs="Times New Roman"/>
                <w:b/>
                <w:bCs/>
              </w:rPr>
              <w:t>Neatsižvelgta</w:t>
            </w:r>
            <w:r w:rsidR="00A35DA4">
              <w:rPr>
                <w:rFonts w:ascii="Times New Roman" w:hAnsi="Times New Roman" w:eastAsia="Times New Roman" w:cs="Times New Roman"/>
                <w:b/>
                <w:bCs/>
              </w:rPr>
              <w:t>.</w:t>
            </w:r>
          </w:p>
          <w:p w:rsidRPr="001C3040" w:rsidR="00786EF2" w:rsidP="00E12268" w:rsidRDefault="00786EF2" w14:paraId="124A3ADD" w14:textId="3CCD1EEB">
            <w:pPr>
              <w:tabs>
                <w:tab w:val="left" w:pos="0"/>
                <w:tab w:val="left" w:pos="1276"/>
              </w:tabs>
              <w:contextualSpacing/>
              <w:jc w:val="both"/>
              <w:rPr>
                <w:rFonts w:ascii="Times New Roman" w:hAnsi="Times New Roman" w:eastAsia="Times New Roman" w:cs="Times New Roman"/>
              </w:rPr>
            </w:pPr>
            <w:r w:rsidRPr="001C3040">
              <w:rPr>
                <w:rFonts w:ascii="Times New Roman" w:hAnsi="Times New Roman" w:eastAsia="Times New Roman" w:cs="Times New Roman"/>
              </w:rPr>
              <w:t>Pagal Švietimo įstatymo 56 straipsnio 1 punktą ministerija įgaliota dalyvauti formuojant, vykdyti ir užtikrinti valstybinę švietimo politiką, o vadovaujantis Profesinio mokymo įstatymo 26 straipsnio 1 dalies 1 punktu ministerija formuoja profesinio mokymo politiką, organizuoja, koordinuoja ir kontroliuoja jos įgyvendinimą. Minėti įstatymai nenumato ministerijai išimties nedalyvauti formuojant, organizuojant ar kontroliuojant politiką vairuotojų profesinio mokymo srityje ir</w:t>
            </w:r>
            <w:r w:rsidR="006B16C0">
              <w:rPr>
                <w:rFonts w:ascii="Times New Roman" w:hAnsi="Times New Roman" w:eastAsia="Times New Roman" w:cs="Times New Roman"/>
              </w:rPr>
              <w:t xml:space="preserve"> tai</w:t>
            </w:r>
            <w:r w:rsidRPr="001C3040">
              <w:rPr>
                <w:rFonts w:ascii="Times New Roman" w:hAnsi="Times New Roman" w:eastAsia="Times New Roman" w:cs="Times New Roman"/>
              </w:rPr>
              <w:t xml:space="preserve">, kad vairuotojų mokymo tvarkos rengimas </w:t>
            </w:r>
            <w:r w:rsidRPr="001C3040" w:rsidR="00FC178C">
              <w:rPr>
                <w:rFonts w:ascii="Times New Roman" w:hAnsi="Times New Roman" w:eastAsia="Times New Roman" w:cs="Times New Roman"/>
              </w:rPr>
              <w:t>yra</w:t>
            </w:r>
            <w:r w:rsidRPr="001C3040">
              <w:rPr>
                <w:rFonts w:ascii="Times New Roman" w:hAnsi="Times New Roman" w:eastAsia="Times New Roman" w:cs="Times New Roman"/>
              </w:rPr>
              <w:t xml:space="preserve"> tik Lietuvos Respublikos susisiekimo ministerijos kompetencija </w:t>
            </w:r>
          </w:p>
        </w:tc>
      </w:tr>
    </w:tbl>
    <w:p w:rsidRPr="001C3040" w:rsidR="001E2FA6" w:rsidRDefault="001E2FA6" w14:paraId="3F172B05" w14:textId="77777777"/>
    <w:p w:rsidRPr="001C3040" w:rsidR="00A16C16" w:rsidP="00A16C16" w:rsidRDefault="00A16C16" w14:paraId="76DA23E6" w14:textId="77777777">
      <w:pPr>
        <w:jc w:val="center"/>
      </w:pPr>
      <w:r w:rsidRPr="001C3040">
        <w:t>–––––––––––––––––––––––</w:t>
      </w:r>
    </w:p>
    <w:sectPr w:rsidRPr="001C3040" w:rsidR="00A16C16" w:rsidSect="00BC3F23">
      <w:headerReference w:type="even" r:id="rId8"/>
      <w:headerReference w:type="default" r:id="rId9"/>
      <w:pgSz w:w="11906" w:h="16838" w:orient="portrait"/>
      <w:pgMar w:top="993" w:right="567" w:bottom="1134" w:left="70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0F83" w:rsidP="00D11284" w:rsidRDefault="004E0F83" w14:paraId="1B178D8E" w14:textId="77777777">
      <w:pPr>
        <w:spacing w:after="0" w:line="240" w:lineRule="auto"/>
      </w:pPr>
      <w:r>
        <w:separator/>
      </w:r>
    </w:p>
  </w:endnote>
  <w:endnote w:type="continuationSeparator" w:id="0">
    <w:p w:rsidR="004E0F83" w:rsidP="00D11284" w:rsidRDefault="004E0F83" w14:paraId="5CD0008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0F83" w:rsidP="00D11284" w:rsidRDefault="004E0F83" w14:paraId="3E19F3E1" w14:textId="77777777">
      <w:pPr>
        <w:spacing w:after="0" w:line="240" w:lineRule="auto"/>
      </w:pPr>
      <w:r>
        <w:separator/>
      </w:r>
    </w:p>
  </w:footnote>
  <w:footnote w:type="continuationSeparator" w:id="0">
    <w:p w:rsidR="004E0F83" w:rsidP="00D11284" w:rsidRDefault="004E0F83" w14:paraId="1AF8E75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789168485"/>
      <w:docPartObj>
        <w:docPartGallery w:val="Page Numbers (Top of Page)"/>
        <w:docPartUnique/>
      </w:docPartObj>
    </w:sdtPr>
    <w:sdtEndPr>
      <w:rPr>
        <w:rStyle w:val="Puslapionumeris"/>
      </w:rPr>
    </w:sdtEndPr>
    <w:sdtContent>
      <w:p w:rsidR="00D11284" w:rsidP="00AB74EF" w:rsidRDefault="00D11284" w14:paraId="1F429D88" w14:textId="77777777">
        <w:pPr>
          <w:pStyle w:val="Antrats"/>
          <w:framePr w:wrap="none" w:hAnchor="margin" w:vAnchor="text"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rsidR="00D11284" w:rsidRDefault="00D11284" w14:paraId="59A23D20" w14:textId="777777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522459213"/>
      <w:docPartObj>
        <w:docPartGallery w:val="Page Numbers (Top of Page)"/>
        <w:docPartUnique/>
      </w:docPartObj>
    </w:sdtPr>
    <w:sdtEndPr>
      <w:rPr>
        <w:rStyle w:val="Puslapionumeris"/>
      </w:rPr>
    </w:sdtEndPr>
    <w:sdtContent>
      <w:p w:rsidR="00D11284" w:rsidP="00AB74EF" w:rsidRDefault="00D11284" w14:paraId="3C7E59BA" w14:textId="7D25F6D9">
        <w:pPr>
          <w:pStyle w:val="Antrats"/>
          <w:framePr w:wrap="none" w:hAnchor="margin" w:vAnchor="text"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F32C6B">
          <w:rPr>
            <w:rStyle w:val="Puslapionumeris"/>
            <w:noProof/>
          </w:rPr>
          <w:t>7</w:t>
        </w:r>
        <w:r>
          <w:rPr>
            <w:rStyle w:val="Puslapionumeris"/>
          </w:rPr>
          <w:fldChar w:fldCharType="end"/>
        </w:r>
      </w:p>
    </w:sdtContent>
  </w:sdt>
  <w:p w:rsidR="00D11284" w:rsidRDefault="00D11284" w14:paraId="56450591" w14:textId="777777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F12BC"/>
    <w:multiLevelType w:val="multilevel"/>
    <w:tmpl w:val="2FEA7208"/>
    <w:lvl w:ilvl="0">
      <w:start w:val="1"/>
      <w:numFmt w:val="decimal"/>
      <w:lvlText w:val="%1."/>
      <w:lvlJc w:val="left"/>
      <w:pPr>
        <w:ind w:left="2066" w:hanging="1215"/>
      </w:pPr>
      <w:rPr>
        <w:rFonts w:hint="default"/>
      </w:rPr>
    </w:lvl>
    <w:lvl w:ilvl="1">
      <w:start w:val="1"/>
      <w:numFmt w:val="decimal"/>
      <w:isLgl/>
      <w:lvlText w:val="%1.%2."/>
      <w:lvlJc w:val="left"/>
      <w:pPr>
        <w:ind w:left="1777"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4B4A1FF1"/>
    <w:multiLevelType w:val="hybridMultilevel"/>
    <w:tmpl w:val="288E558A"/>
    <w:lvl w:ilvl="0" w:tplc="04270001">
      <w:start w:val="1"/>
      <w:numFmt w:val="bullet"/>
      <w:lvlText w:val=""/>
      <w:lvlJc w:val="left"/>
      <w:pPr>
        <w:ind w:left="1571" w:hanging="360"/>
      </w:pPr>
      <w:rPr>
        <w:rFonts w:hint="default" w:ascii="Symbol" w:hAnsi="Symbol"/>
      </w:rPr>
    </w:lvl>
    <w:lvl w:ilvl="1" w:tplc="04270003" w:tentative="1">
      <w:start w:val="1"/>
      <w:numFmt w:val="bullet"/>
      <w:lvlText w:val="o"/>
      <w:lvlJc w:val="left"/>
      <w:pPr>
        <w:ind w:left="2291" w:hanging="360"/>
      </w:pPr>
      <w:rPr>
        <w:rFonts w:hint="default" w:ascii="Courier New" w:hAnsi="Courier New" w:cs="Courier New"/>
      </w:rPr>
    </w:lvl>
    <w:lvl w:ilvl="2" w:tplc="04270005" w:tentative="1">
      <w:start w:val="1"/>
      <w:numFmt w:val="bullet"/>
      <w:lvlText w:val=""/>
      <w:lvlJc w:val="left"/>
      <w:pPr>
        <w:ind w:left="3011" w:hanging="360"/>
      </w:pPr>
      <w:rPr>
        <w:rFonts w:hint="default" w:ascii="Wingdings" w:hAnsi="Wingdings"/>
      </w:rPr>
    </w:lvl>
    <w:lvl w:ilvl="3" w:tplc="04270001" w:tentative="1">
      <w:start w:val="1"/>
      <w:numFmt w:val="bullet"/>
      <w:lvlText w:val=""/>
      <w:lvlJc w:val="left"/>
      <w:pPr>
        <w:ind w:left="3731" w:hanging="360"/>
      </w:pPr>
      <w:rPr>
        <w:rFonts w:hint="default" w:ascii="Symbol" w:hAnsi="Symbol"/>
      </w:rPr>
    </w:lvl>
    <w:lvl w:ilvl="4" w:tplc="04270003" w:tentative="1">
      <w:start w:val="1"/>
      <w:numFmt w:val="bullet"/>
      <w:lvlText w:val="o"/>
      <w:lvlJc w:val="left"/>
      <w:pPr>
        <w:ind w:left="4451" w:hanging="360"/>
      </w:pPr>
      <w:rPr>
        <w:rFonts w:hint="default" w:ascii="Courier New" w:hAnsi="Courier New" w:cs="Courier New"/>
      </w:rPr>
    </w:lvl>
    <w:lvl w:ilvl="5" w:tplc="04270005" w:tentative="1">
      <w:start w:val="1"/>
      <w:numFmt w:val="bullet"/>
      <w:lvlText w:val=""/>
      <w:lvlJc w:val="left"/>
      <w:pPr>
        <w:ind w:left="5171" w:hanging="360"/>
      </w:pPr>
      <w:rPr>
        <w:rFonts w:hint="default" w:ascii="Wingdings" w:hAnsi="Wingdings"/>
      </w:rPr>
    </w:lvl>
    <w:lvl w:ilvl="6" w:tplc="04270001" w:tentative="1">
      <w:start w:val="1"/>
      <w:numFmt w:val="bullet"/>
      <w:lvlText w:val=""/>
      <w:lvlJc w:val="left"/>
      <w:pPr>
        <w:ind w:left="5891" w:hanging="360"/>
      </w:pPr>
      <w:rPr>
        <w:rFonts w:hint="default" w:ascii="Symbol" w:hAnsi="Symbol"/>
      </w:rPr>
    </w:lvl>
    <w:lvl w:ilvl="7" w:tplc="04270003" w:tentative="1">
      <w:start w:val="1"/>
      <w:numFmt w:val="bullet"/>
      <w:lvlText w:val="o"/>
      <w:lvlJc w:val="left"/>
      <w:pPr>
        <w:ind w:left="6611" w:hanging="360"/>
      </w:pPr>
      <w:rPr>
        <w:rFonts w:hint="default" w:ascii="Courier New" w:hAnsi="Courier New" w:cs="Courier New"/>
      </w:rPr>
    </w:lvl>
    <w:lvl w:ilvl="8" w:tplc="04270005" w:tentative="1">
      <w:start w:val="1"/>
      <w:numFmt w:val="bullet"/>
      <w:lvlText w:val=""/>
      <w:lvlJc w:val="left"/>
      <w:pPr>
        <w:ind w:left="7331"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FA6"/>
    <w:rsid w:val="00010EF6"/>
    <w:rsid w:val="000121CB"/>
    <w:rsid w:val="0001432A"/>
    <w:rsid w:val="00020284"/>
    <w:rsid w:val="00027D19"/>
    <w:rsid w:val="000336BA"/>
    <w:rsid w:val="00042C19"/>
    <w:rsid w:val="000453A5"/>
    <w:rsid w:val="00045689"/>
    <w:rsid w:val="000471BB"/>
    <w:rsid w:val="000607C0"/>
    <w:rsid w:val="00061562"/>
    <w:rsid w:val="00065487"/>
    <w:rsid w:val="00090EAF"/>
    <w:rsid w:val="000910B5"/>
    <w:rsid w:val="00095000"/>
    <w:rsid w:val="00097068"/>
    <w:rsid w:val="000A52A2"/>
    <w:rsid w:val="000B2991"/>
    <w:rsid w:val="000B3BBE"/>
    <w:rsid w:val="000C57C5"/>
    <w:rsid w:val="000D2D04"/>
    <w:rsid w:val="000D4255"/>
    <w:rsid w:val="000D45A2"/>
    <w:rsid w:val="000E1324"/>
    <w:rsid w:val="000E283F"/>
    <w:rsid w:val="000E58C2"/>
    <w:rsid w:val="000F3017"/>
    <w:rsid w:val="000F331A"/>
    <w:rsid w:val="00100822"/>
    <w:rsid w:val="00100A0D"/>
    <w:rsid w:val="00102B84"/>
    <w:rsid w:val="001061B8"/>
    <w:rsid w:val="001065BD"/>
    <w:rsid w:val="00115D33"/>
    <w:rsid w:val="00116153"/>
    <w:rsid w:val="00122194"/>
    <w:rsid w:val="00122298"/>
    <w:rsid w:val="00146C09"/>
    <w:rsid w:val="00164415"/>
    <w:rsid w:val="00164778"/>
    <w:rsid w:val="00171D78"/>
    <w:rsid w:val="0017553E"/>
    <w:rsid w:val="00175B19"/>
    <w:rsid w:val="00187CE0"/>
    <w:rsid w:val="001914A3"/>
    <w:rsid w:val="00192AD5"/>
    <w:rsid w:val="00193704"/>
    <w:rsid w:val="00194410"/>
    <w:rsid w:val="001A5B9C"/>
    <w:rsid w:val="001A6F05"/>
    <w:rsid w:val="001B6F7C"/>
    <w:rsid w:val="001C3040"/>
    <w:rsid w:val="001C66A0"/>
    <w:rsid w:val="001D4EDD"/>
    <w:rsid w:val="001D609C"/>
    <w:rsid w:val="001D698A"/>
    <w:rsid w:val="001E1307"/>
    <w:rsid w:val="001E2FA6"/>
    <w:rsid w:val="001E465B"/>
    <w:rsid w:val="001E4750"/>
    <w:rsid w:val="001E47C5"/>
    <w:rsid w:val="001F5A14"/>
    <w:rsid w:val="00200516"/>
    <w:rsid w:val="0020311D"/>
    <w:rsid w:val="00205976"/>
    <w:rsid w:val="00220723"/>
    <w:rsid w:val="002301BD"/>
    <w:rsid w:val="00231AC5"/>
    <w:rsid w:val="00236A66"/>
    <w:rsid w:val="0024003D"/>
    <w:rsid w:val="00241F54"/>
    <w:rsid w:val="00244016"/>
    <w:rsid w:val="002501FB"/>
    <w:rsid w:val="00250FD5"/>
    <w:rsid w:val="00264C8D"/>
    <w:rsid w:val="00266496"/>
    <w:rsid w:val="00266E41"/>
    <w:rsid w:val="002700B5"/>
    <w:rsid w:val="00282DAD"/>
    <w:rsid w:val="0028321C"/>
    <w:rsid w:val="0029061B"/>
    <w:rsid w:val="002923CD"/>
    <w:rsid w:val="00292CB4"/>
    <w:rsid w:val="002A3FCC"/>
    <w:rsid w:val="002A4803"/>
    <w:rsid w:val="002B3560"/>
    <w:rsid w:val="002B6CDA"/>
    <w:rsid w:val="002C02D8"/>
    <w:rsid w:val="002C1FFA"/>
    <w:rsid w:val="002D00DA"/>
    <w:rsid w:val="002D43BB"/>
    <w:rsid w:val="002D5FB9"/>
    <w:rsid w:val="002E00D2"/>
    <w:rsid w:val="002E1CC4"/>
    <w:rsid w:val="002F1BC9"/>
    <w:rsid w:val="003050EA"/>
    <w:rsid w:val="003072B9"/>
    <w:rsid w:val="003135EA"/>
    <w:rsid w:val="0032227B"/>
    <w:rsid w:val="003268C7"/>
    <w:rsid w:val="0032716C"/>
    <w:rsid w:val="00330F7B"/>
    <w:rsid w:val="003328A9"/>
    <w:rsid w:val="00333FE7"/>
    <w:rsid w:val="00335898"/>
    <w:rsid w:val="003360F9"/>
    <w:rsid w:val="00341527"/>
    <w:rsid w:val="00341BCB"/>
    <w:rsid w:val="0035506C"/>
    <w:rsid w:val="00356F9A"/>
    <w:rsid w:val="00363C93"/>
    <w:rsid w:val="0036455C"/>
    <w:rsid w:val="00367C27"/>
    <w:rsid w:val="00370144"/>
    <w:rsid w:val="00373A2F"/>
    <w:rsid w:val="0037431D"/>
    <w:rsid w:val="0037683D"/>
    <w:rsid w:val="00384AC0"/>
    <w:rsid w:val="00392FDC"/>
    <w:rsid w:val="00395A9E"/>
    <w:rsid w:val="003964F8"/>
    <w:rsid w:val="00397581"/>
    <w:rsid w:val="003A676D"/>
    <w:rsid w:val="003B1A48"/>
    <w:rsid w:val="003C56D2"/>
    <w:rsid w:val="003D1574"/>
    <w:rsid w:val="003D747F"/>
    <w:rsid w:val="003F0412"/>
    <w:rsid w:val="003F2170"/>
    <w:rsid w:val="003F4759"/>
    <w:rsid w:val="004042F8"/>
    <w:rsid w:val="00410920"/>
    <w:rsid w:val="00411B53"/>
    <w:rsid w:val="004123F4"/>
    <w:rsid w:val="00414ABB"/>
    <w:rsid w:val="00434E69"/>
    <w:rsid w:val="00444FB4"/>
    <w:rsid w:val="004462A3"/>
    <w:rsid w:val="0045560A"/>
    <w:rsid w:val="00455CC9"/>
    <w:rsid w:val="00460E91"/>
    <w:rsid w:val="004640B9"/>
    <w:rsid w:val="00464C70"/>
    <w:rsid w:val="00465BE4"/>
    <w:rsid w:val="00472B53"/>
    <w:rsid w:val="00473748"/>
    <w:rsid w:val="00474A13"/>
    <w:rsid w:val="0047645B"/>
    <w:rsid w:val="00481BF7"/>
    <w:rsid w:val="00485226"/>
    <w:rsid w:val="004A09D2"/>
    <w:rsid w:val="004A4D72"/>
    <w:rsid w:val="004A7B95"/>
    <w:rsid w:val="004B0022"/>
    <w:rsid w:val="004B0A83"/>
    <w:rsid w:val="004C0159"/>
    <w:rsid w:val="004C42C5"/>
    <w:rsid w:val="004C5614"/>
    <w:rsid w:val="004D66B7"/>
    <w:rsid w:val="004E0F83"/>
    <w:rsid w:val="004E10CB"/>
    <w:rsid w:val="004E300C"/>
    <w:rsid w:val="004F4739"/>
    <w:rsid w:val="004F7ED5"/>
    <w:rsid w:val="0050030D"/>
    <w:rsid w:val="005033A5"/>
    <w:rsid w:val="00504832"/>
    <w:rsid w:val="00515137"/>
    <w:rsid w:val="005176C9"/>
    <w:rsid w:val="00530D8B"/>
    <w:rsid w:val="00530F8D"/>
    <w:rsid w:val="005332CE"/>
    <w:rsid w:val="00534CDE"/>
    <w:rsid w:val="00535230"/>
    <w:rsid w:val="005556FE"/>
    <w:rsid w:val="0055591C"/>
    <w:rsid w:val="00565723"/>
    <w:rsid w:val="005668B0"/>
    <w:rsid w:val="00571807"/>
    <w:rsid w:val="00573010"/>
    <w:rsid w:val="00574F7D"/>
    <w:rsid w:val="00575130"/>
    <w:rsid w:val="00582239"/>
    <w:rsid w:val="00593557"/>
    <w:rsid w:val="00594057"/>
    <w:rsid w:val="005A059B"/>
    <w:rsid w:val="005A209B"/>
    <w:rsid w:val="005A5388"/>
    <w:rsid w:val="005A65F6"/>
    <w:rsid w:val="005B5AE4"/>
    <w:rsid w:val="005C36F0"/>
    <w:rsid w:val="005D6194"/>
    <w:rsid w:val="005E13C1"/>
    <w:rsid w:val="005E7319"/>
    <w:rsid w:val="005F42C6"/>
    <w:rsid w:val="005F55B3"/>
    <w:rsid w:val="0060196A"/>
    <w:rsid w:val="00601BD0"/>
    <w:rsid w:val="00601EFA"/>
    <w:rsid w:val="0060370C"/>
    <w:rsid w:val="00605F11"/>
    <w:rsid w:val="00606CAF"/>
    <w:rsid w:val="006262F9"/>
    <w:rsid w:val="0063443B"/>
    <w:rsid w:val="00640BCA"/>
    <w:rsid w:val="006421A1"/>
    <w:rsid w:val="006428A4"/>
    <w:rsid w:val="006545B3"/>
    <w:rsid w:val="00655FE2"/>
    <w:rsid w:val="00656051"/>
    <w:rsid w:val="006612E8"/>
    <w:rsid w:val="00665748"/>
    <w:rsid w:val="006814E9"/>
    <w:rsid w:val="00681A83"/>
    <w:rsid w:val="00682DF4"/>
    <w:rsid w:val="00686021"/>
    <w:rsid w:val="006860AE"/>
    <w:rsid w:val="0069328F"/>
    <w:rsid w:val="006971ED"/>
    <w:rsid w:val="006B16C0"/>
    <w:rsid w:val="006C48F4"/>
    <w:rsid w:val="006D10D2"/>
    <w:rsid w:val="006D455D"/>
    <w:rsid w:val="006D779F"/>
    <w:rsid w:val="006F03FA"/>
    <w:rsid w:val="007054F9"/>
    <w:rsid w:val="00711D13"/>
    <w:rsid w:val="00713EB8"/>
    <w:rsid w:val="0072481F"/>
    <w:rsid w:val="00725862"/>
    <w:rsid w:val="007346A3"/>
    <w:rsid w:val="00736775"/>
    <w:rsid w:val="00737E59"/>
    <w:rsid w:val="007401A0"/>
    <w:rsid w:val="007552B6"/>
    <w:rsid w:val="007668CC"/>
    <w:rsid w:val="00783A69"/>
    <w:rsid w:val="00786EF2"/>
    <w:rsid w:val="00792477"/>
    <w:rsid w:val="00793493"/>
    <w:rsid w:val="007A6350"/>
    <w:rsid w:val="007B3ABD"/>
    <w:rsid w:val="007B5D63"/>
    <w:rsid w:val="007C24A9"/>
    <w:rsid w:val="007D211C"/>
    <w:rsid w:val="007E20FB"/>
    <w:rsid w:val="007E67EA"/>
    <w:rsid w:val="007F2577"/>
    <w:rsid w:val="007F58AD"/>
    <w:rsid w:val="008042A8"/>
    <w:rsid w:val="00817B05"/>
    <w:rsid w:val="00821941"/>
    <w:rsid w:val="00845CDD"/>
    <w:rsid w:val="00856C65"/>
    <w:rsid w:val="008712A5"/>
    <w:rsid w:val="008722FB"/>
    <w:rsid w:val="00872B21"/>
    <w:rsid w:val="008738EB"/>
    <w:rsid w:val="0087484D"/>
    <w:rsid w:val="008752D0"/>
    <w:rsid w:val="00886DF7"/>
    <w:rsid w:val="00890F30"/>
    <w:rsid w:val="00895418"/>
    <w:rsid w:val="008958E7"/>
    <w:rsid w:val="008A52DD"/>
    <w:rsid w:val="008B2A7C"/>
    <w:rsid w:val="008E15E9"/>
    <w:rsid w:val="008E2250"/>
    <w:rsid w:val="008F359E"/>
    <w:rsid w:val="0090782F"/>
    <w:rsid w:val="00917F08"/>
    <w:rsid w:val="009220B2"/>
    <w:rsid w:val="00924CFE"/>
    <w:rsid w:val="009266A0"/>
    <w:rsid w:val="00931A4E"/>
    <w:rsid w:val="009329C6"/>
    <w:rsid w:val="00933C39"/>
    <w:rsid w:val="00934D84"/>
    <w:rsid w:val="00936998"/>
    <w:rsid w:val="009379A9"/>
    <w:rsid w:val="0094200C"/>
    <w:rsid w:val="00943CA4"/>
    <w:rsid w:val="00945E50"/>
    <w:rsid w:val="00951F69"/>
    <w:rsid w:val="00961D93"/>
    <w:rsid w:val="00964D57"/>
    <w:rsid w:val="00965857"/>
    <w:rsid w:val="0097231F"/>
    <w:rsid w:val="0097639B"/>
    <w:rsid w:val="00987282"/>
    <w:rsid w:val="00990CC4"/>
    <w:rsid w:val="009978E1"/>
    <w:rsid w:val="009A0431"/>
    <w:rsid w:val="009A21C4"/>
    <w:rsid w:val="009A3561"/>
    <w:rsid w:val="009B1A90"/>
    <w:rsid w:val="009B329C"/>
    <w:rsid w:val="009B4F46"/>
    <w:rsid w:val="009B74D1"/>
    <w:rsid w:val="009C1C4F"/>
    <w:rsid w:val="009C6D2F"/>
    <w:rsid w:val="009C6DE9"/>
    <w:rsid w:val="009C7139"/>
    <w:rsid w:val="009C76AE"/>
    <w:rsid w:val="009D7FA9"/>
    <w:rsid w:val="009E58FD"/>
    <w:rsid w:val="009F2BF7"/>
    <w:rsid w:val="009F3C95"/>
    <w:rsid w:val="00A05AA7"/>
    <w:rsid w:val="00A10C3D"/>
    <w:rsid w:val="00A119EC"/>
    <w:rsid w:val="00A13342"/>
    <w:rsid w:val="00A143F8"/>
    <w:rsid w:val="00A16BD6"/>
    <w:rsid w:val="00A16C16"/>
    <w:rsid w:val="00A16DC4"/>
    <w:rsid w:val="00A26662"/>
    <w:rsid w:val="00A26F16"/>
    <w:rsid w:val="00A27600"/>
    <w:rsid w:val="00A34C86"/>
    <w:rsid w:val="00A3512A"/>
    <w:rsid w:val="00A35DA4"/>
    <w:rsid w:val="00A4051F"/>
    <w:rsid w:val="00A5230C"/>
    <w:rsid w:val="00A526EE"/>
    <w:rsid w:val="00A55969"/>
    <w:rsid w:val="00A615B7"/>
    <w:rsid w:val="00A6524D"/>
    <w:rsid w:val="00A758F5"/>
    <w:rsid w:val="00A8496A"/>
    <w:rsid w:val="00A86BCD"/>
    <w:rsid w:val="00A903A1"/>
    <w:rsid w:val="00A91FB5"/>
    <w:rsid w:val="00A925F7"/>
    <w:rsid w:val="00A939C7"/>
    <w:rsid w:val="00A94179"/>
    <w:rsid w:val="00A9759B"/>
    <w:rsid w:val="00AA2BCA"/>
    <w:rsid w:val="00AA2FD0"/>
    <w:rsid w:val="00AB3D21"/>
    <w:rsid w:val="00AB70A7"/>
    <w:rsid w:val="00AC52B8"/>
    <w:rsid w:val="00AD145C"/>
    <w:rsid w:val="00AD355F"/>
    <w:rsid w:val="00AD7E29"/>
    <w:rsid w:val="00AE2BDD"/>
    <w:rsid w:val="00AE3133"/>
    <w:rsid w:val="00AF114B"/>
    <w:rsid w:val="00AF40D4"/>
    <w:rsid w:val="00AF5070"/>
    <w:rsid w:val="00B01905"/>
    <w:rsid w:val="00B02770"/>
    <w:rsid w:val="00B02A81"/>
    <w:rsid w:val="00B07587"/>
    <w:rsid w:val="00B14469"/>
    <w:rsid w:val="00B15EF8"/>
    <w:rsid w:val="00B20FFC"/>
    <w:rsid w:val="00B320DD"/>
    <w:rsid w:val="00B34BFC"/>
    <w:rsid w:val="00B36A4C"/>
    <w:rsid w:val="00B37008"/>
    <w:rsid w:val="00B42178"/>
    <w:rsid w:val="00B70C2C"/>
    <w:rsid w:val="00B71B85"/>
    <w:rsid w:val="00B72158"/>
    <w:rsid w:val="00B779DC"/>
    <w:rsid w:val="00B8348B"/>
    <w:rsid w:val="00B85A89"/>
    <w:rsid w:val="00B9166D"/>
    <w:rsid w:val="00B93A16"/>
    <w:rsid w:val="00B95851"/>
    <w:rsid w:val="00B95A11"/>
    <w:rsid w:val="00B96121"/>
    <w:rsid w:val="00BA7365"/>
    <w:rsid w:val="00BB0107"/>
    <w:rsid w:val="00BB02C2"/>
    <w:rsid w:val="00BB0D03"/>
    <w:rsid w:val="00BB1280"/>
    <w:rsid w:val="00BB1840"/>
    <w:rsid w:val="00BB371A"/>
    <w:rsid w:val="00BB4166"/>
    <w:rsid w:val="00BB445E"/>
    <w:rsid w:val="00BB4AF2"/>
    <w:rsid w:val="00BB7EFC"/>
    <w:rsid w:val="00BC3F23"/>
    <w:rsid w:val="00BC5EDA"/>
    <w:rsid w:val="00BC673D"/>
    <w:rsid w:val="00BD0224"/>
    <w:rsid w:val="00BD2410"/>
    <w:rsid w:val="00BD2657"/>
    <w:rsid w:val="00BD667E"/>
    <w:rsid w:val="00BD72CC"/>
    <w:rsid w:val="00BE1670"/>
    <w:rsid w:val="00BE4F76"/>
    <w:rsid w:val="00BF361E"/>
    <w:rsid w:val="00BF40A2"/>
    <w:rsid w:val="00BF462B"/>
    <w:rsid w:val="00C04080"/>
    <w:rsid w:val="00C1270D"/>
    <w:rsid w:val="00C20CBD"/>
    <w:rsid w:val="00C218E3"/>
    <w:rsid w:val="00C21B88"/>
    <w:rsid w:val="00C21F76"/>
    <w:rsid w:val="00C25D08"/>
    <w:rsid w:val="00C26426"/>
    <w:rsid w:val="00C33A48"/>
    <w:rsid w:val="00C41648"/>
    <w:rsid w:val="00C455D7"/>
    <w:rsid w:val="00C46F4F"/>
    <w:rsid w:val="00C52DAC"/>
    <w:rsid w:val="00C54482"/>
    <w:rsid w:val="00C57EBD"/>
    <w:rsid w:val="00C61BE9"/>
    <w:rsid w:val="00C62237"/>
    <w:rsid w:val="00C666B7"/>
    <w:rsid w:val="00C721EB"/>
    <w:rsid w:val="00C735D3"/>
    <w:rsid w:val="00C81015"/>
    <w:rsid w:val="00C84B6D"/>
    <w:rsid w:val="00C92634"/>
    <w:rsid w:val="00C936E7"/>
    <w:rsid w:val="00C95BB5"/>
    <w:rsid w:val="00CB0240"/>
    <w:rsid w:val="00CB28FA"/>
    <w:rsid w:val="00CB62D8"/>
    <w:rsid w:val="00CC3314"/>
    <w:rsid w:val="00CC464C"/>
    <w:rsid w:val="00CD3A7F"/>
    <w:rsid w:val="00CD5344"/>
    <w:rsid w:val="00CE04A6"/>
    <w:rsid w:val="00CE3624"/>
    <w:rsid w:val="00CE4064"/>
    <w:rsid w:val="00CE4A98"/>
    <w:rsid w:val="00CF3AA4"/>
    <w:rsid w:val="00CF6298"/>
    <w:rsid w:val="00CF770E"/>
    <w:rsid w:val="00CF7C73"/>
    <w:rsid w:val="00D00B6F"/>
    <w:rsid w:val="00D11284"/>
    <w:rsid w:val="00D11A68"/>
    <w:rsid w:val="00D154C4"/>
    <w:rsid w:val="00D20ABB"/>
    <w:rsid w:val="00D24BEF"/>
    <w:rsid w:val="00D27A76"/>
    <w:rsid w:val="00D27D29"/>
    <w:rsid w:val="00D31211"/>
    <w:rsid w:val="00D31706"/>
    <w:rsid w:val="00D3179D"/>
    <w:rsid w:val="00D35903"/>
    <w:rsid w:val="00D37B4F"/>
    <w:rsid w:val="00D417E3"/>
    <w:rsid w:val="00D438FD"/>
    <w:rsid w:val="00D46FBE"/>
    <w:rsid w:val="00D546D5"/>
    <w:rsid w:val="00D6315F"/>
    <w:rsid w:val="00D73217"/>
    <w:rsid w:val="00D74634"/>
    <w:rsid w:val="00D76C4E"/>
    <w:rsid w:val="00D83789"/>
    <w:rsid w:val="00D838D3"/>
    <w:rsid w:val="00D847E7"/>
    <w:rsid w:val="00D8768C"/>
    <w:rsid w:val="00D93117"/>
    <w:rsid w:val="00D9408E"/>
    <w:rsid w:val="00DA0136"/>
    <w:rsid w:val="00DB21AB"/>
    <w:rsid w:val="00DC4627"/>
    <w:rsid w:val="00DC5D64"/>
    <w:rsid w:val="00DC69B3"/>
    <w:rsid w:val="00DC7711"/>
    <w:rsid w:val="00DD4592"/>
    <w:rsid w:val="00DD5FA7"/>
    <w:rsid w:val="00DE3B3D"/>
    <w:rsid w:val="00DE6336"/>
    <w:rsid w:val="00DE7640"/>
    <w:rsid w:val="00DF624B"/>
    <w:rsid w:val="00DF68B2"/>
    <w:rsid w:val="00E018E5"/>
    <w:rsid w:val="00E0380D"/>
    <w:rsid w:val="00E03ED4"/>
    <w:rsid w:val="00E04F78"/>
    <w:rsid w:val="00E12268"/>
    <w:rsid w:val="00E17DB0"/>
    <w:rsid w:val="00E17FAA"/>
    <w:rsid w:val="00E20107"/>
    <w:rsid w:val="00E2486F"/>
    <w:rsid w:val="00E276EE"/>
    <w:rsid w:val="00E32CA2"/>
    <w:rsid w:val="00E34901"/>
    <w:rsid w:val="00E36BB0"/>
    <w:rsid w:val="00E473EB"/>
    <w:rsid w:val="00E5590A"/>
    <w:rsid w:val="00E560AC"/>
    <w:rsid w:val="00E60D53"/>
    <w:rsid w:val="00E745D0"/>
    <w:rsid w:val="00E81D7E"/>
    <w:rsid w:val="00E836A8"/>
    <w:rsid w:val="00E86B34"/>
    <w:rsid w:val="00E90BF5"/>
    <w:rsid w:val="00E94E20"/>
    <w:rsid w:val="00E95A47"/>
    <w:rsid w:val="00EA0558"/>
    <w:rsid w:val="00EA403D"/>
    <w:rsid w:val="00EB1519"/>
    <w:rsid w:val="00EC2A1C"/>
    <w:rsid w:val="00EC6F03"/>
    <w:rsid w:val="00ED7269"/>
    <w:rsid w:val="00ED7908"/>
    <w:rsid w:val="00EE2274"/>
    <w:rsid w:val="00EE5803"/>
    <w:rsid w:val="00EF00F5"/>
    <w:rsid w:val="00EF1212"/>
    <w:rsid w:val="00EF3076"/>
    <w:rsid w:val="00F068A7"/>
    <w:rsid w:val="00F1273C"/>
    <w:rsid w:val="00F250B5"/>
    <w:rsid w:val="00F32C6B"/>
    <w:rsid w:val="00F35BDF"/>
    <w:rsid w:val="00F440CB"/>
    <w:rsid w:val="00F5042E"/>
    <w:rsid w:val="00F603C9"/>
    <w:rsid w:val="00F60E50"/>
    <w:rsid w:val="00F6461F"/>
    <w:rsid w:val="00F706A0"/>
    <w:rsid w:val="00F708D4"/>
    <w:rsid w:val="00F735D2"/>
    <w:rsid w:val="00F76FC2"/>
    <w:rsid w:val="00F80DA4"/>
    <w:rsid w:val="00F833AD"/>
    <w:rsid w:val="00F900F5"/>
    <w:rsid w:val="00F918D8"/>
    <w:rsid w:val="00F94434"/>
    <w:rsid w:val="00F94AAE"/>
    <w:rsid w:val="00FA012F"/>
    <w:rsid w:val="00FA2068"/>
    <w:rsid w:val="00FA2868"/>
    <w:rsid w:val="00FA34DB"/>
    <w:rsid w:val="00FA799D"/>
    <w:rsid w:val="00FB22DD"/>
    <w:rsid w:val="00FC178C"/>
    <w:rsid w:val="00FC5DA8"/>
    <w:rsid w:val="00FC6E84"/>
    <w:rsid w:val="00FD2FA9"/>
    <w:rsid w:val="00FD66F2"/>
    <w:rsid w:val="00FE3FCC"/>
    <w:rsid w:val="00FF153D"/>
    <w:rsid w:val="28733E31"/>
    <w:rsid w:val="2B281452"/>
    <w:rsid w:val="6109AE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E0BE2"/>
  <w15:docId w15:val="{CB4552A3-8A3A-469E-9F5A-0A046310F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table" w:styleId="Lentelstinklelis">
    <w:name w:val="Table Grid"/>
    <w:basedOn w:val="prastojilentel"/>
    <w:uiPriority w:val="39"/>
    <w:rsid w:val="001E2FA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besliotekstas">
    <w:name w:val="Balloon Text"/>
    <w:basedOn w:val="prastasis"/>
    <w:link w:val="DebesliotekstasDiagrama"/>
    <w:uiPriority w:val="99"/>
    <w:semiHidden/>
    <w:unhideWhenUsed/>
    <w:rsid w:val="00BC5EDA"/>
    <w:pPr>
      <w:spacing w:after="0" w:line="240" w:lineRule="auto"/>
    </w:pPr>
    <w:rPr>
      <w:rFonts w:ascii="Segoe UI" w:hAnsi="Segoe UI" w:cs="Segoe UI"/>
      <w:sz w:val="18"/>
      <w:szCs w:val="18"/>
    </w:rPr>
  </w:style>
  <w:style w:type="character" w:styleId="DebesliotekstasDiagrama" w:customStyle="1">
    <w:name w:val="Debesėlio tekstas Diagrama"/>
    <w:basedOn w:val="Numatytasispastraiposriftas"/>
    <w:link w:val="Debesliotekstas"/>
    <w:uiPriority w:val="99"/>
    <w:semiHidden/>
    <w:rsid w:val="00BC5EDA"/>
    <w:rPr>
      <w:rFonts w:ascii="Segoe UI" w:hAnsi="Segoe UI" w:cs="Segoe UI"/>
      <w:sz w:val="18"/>
      <w:szCs w:val="18"/>
    </w:rPr>
  </w:style>
  <w:style w:type="character" w:styleId="Komentaronuoroda">
    <w:name w:val="annotation reference"/>
    <w:basedOn w:val="Numatytasispastraiposriftas"/>
    <w:uiPriority w:val="99"/>
    <w:semiHidden/>
    <w:unhideWhenUsed/>
    <w:rsid w:val="00FD2FA9"/>
    <w:rPr>
      <w:sz w:val="16"/>
      <w:szCs w:val="16"/>
    </w:rPr>
  </w:style>
  <w:style w:type="paragraph" w:styleId="Komentarotekstas">
    <w:name w:val="annotation text"/>
    <w:basedOn w:val="prastasis"/>
    <w:link w:val="KomentarotekstasDiagrama"/>
    <w:uiPriority w:val="99"/>
    <w:semiHidden/>
    <w:unhideWhenUsed/>
    <w:rsid w:val="00FD2FA9"/>
    <w:pPr>
      <w:spacing w:line="240" w:lineRule="auto"/>
    </w:pPr>
    <w:rPr>
      <w:sz w:val="20"/>
      <w:szCs w:val="20"/>
    </w:rPr>
  </w:style>
  <w:style w:type="character" w:styleId="KomentarotekstasDiagrama" w:customStyle="1">
    <w:name w:val="Komentaro tekstas Diagrama"/>
    <w:basedOn w:val="Numatytasispastraiposriftas"/>
    <w:link w:val="Komentarotekstas"/>
    <w:uiPriority w:val="99"/>
    <w:semiHidden/>
    <w:rsid w:val="00FD2FA9"/>
    <w:rPr>
      <w:sz w:val="20"/>
      <w:szCs w:val="20"/>
    </w:rPr>
  </w:style>
  <w:style w:type="paragraph" w:styleId="Komentarotema">
    <w:name w:val="annotation subject"/>
    <w:basedOn w:val="Komentarotekstas"/>
    <w:next w:val="Komentarotekstas"/>
    <w:link w:val="KomentarotemaDiagrama"/>
    <w:uiPriority w:val="99"/>
    <w:semiHidden/>
    <w:unhideWhenUsed/>
    <w:rsid w:val="00FD2FA9"/>
    <w:rPr>
      <w:b/>
      <w:bCs/>
    </w:rPr>
  </w:style>
  <w:style w:type="character" w:styleId="KomentarotemaDiagrama" w:customStyle="1">
    <w:name w:val="Komentaro tema Diagrama"/>
    <w:basedOn w:val="KomentarotekstasDiagrama"/>
    <w:link w:val="Komentarotema"/>
    <w:uiPriority w:val="99"/>
    <w:semiHidden/>
    <w:rsid w:val="00FD2FA9"/>
    <w:rPr>
      <w:b/>
      <w:bCs/>
      <w:sz w:val="20"/>
      <w:szCs w:val="20"/>
    </w:rPr>
  </w:style>
  <w:style w:type="paragraph" w:styleId="Antrats">
    <w:name w:val="header"/>
    <w:basedOn w:val="prastasis"/>
    <w:link w:val="AntratsDiagrama"/>
    <w:uiPriority w:val="99"/>
    <w:unhideWhenUsed/>
    <w:rsid w:val="00D11284"/>
    <w:pPr>
      <w:tabs>
        <w:tab w:val="center" w:pos="4680"/>
        <w:tab w:val="right" w:pos="9360"/>
      </w:tabs>
      <w:spacing w:after="0" w:line="240" w:lineRule="auto"/>
    </w:pPr>
  </w:style>
  <w:style w:type="character" w:styleId="AntratsDiagrama" w:customStyle="1">
    <w:name w:val="Antraštės Diagrama"/>
    <w:basedOn w:val="Numatytasispastraiposriftas"/>
    <w:link w:val="Antrats"/>
    <w:uiPriority w:val="99"/>
    <w:rsid w:val="00D11284"/>
  </w:style>
  <w:style w:type="character" w:styleId="Puslapionumeris">
    <w:name w:val="page number"/>
    <w:basedOn w:val="Numatytasispastraiposriftas"/>
    <w:uiPriority w:val="99"/>
    <w:semiHidden/>
    <w:unhideWhenUsed/>
    <w:rsid w:val="00D11284"/>
  </w:style>
  <w:style w:type="paragraph" w:styleId="Puslapioinaostekstas">
    <w:name w:val="footnote text"/>
    <w:basedOn w:val="prastasis"/>
    <w:link w:val="PuslapioinaostekstasDiagrama"/>
    <w:uiPriority w:val="99"/>
    <w:semiHidden/>
    <w:unhideWhenUsed/>
    <w:rsid w:val="001D698A"/>
    <w:pPr>
      <w:spacing w:after="0" w:line="240" w:lineRule="auto"/>
    </w:pPr>
    <w:rPr>
      <w:rFonts w:ascii="Times New Roman" w:hAnsi="Times New Roman" w:eastAsia="Times New Roman" w:cs="Times New Roman"/>
      <w:sz w:val="20"/>
      <w:szCs w:val="20"/>
      <w:lang w:val="en-GB"/>
    </w:rPr>
  </w:style>
  <w:style w:type="character" w:styleId="PuslapioinaostekstasDiagrama" w:customStyle="1">
    <w:name w:val="Puslapio išnašos tekstas Diagrama"/>
    <w:basedOn w:val="Numatytasispastraiposriftas"/>
    <w:link w:val="Puslapioinaostekstas"/>
    <w:uiPriority w:val="99"/>
    <w:semiHidden/>
    <w:rsid w:val="001D698A"/>
    <w:rPr>
      <w:rFonts w:ascii="Times New Roman" w:hAnsi="Times New Roman" w:eastAsia="Times New Roman" w:cs="Times New Roman"/>
      <w:sz w:val="20"/>
      <w:szCs w:val="20"/>
      <w:lang w:val="en-GB"/>
    </w:rPr>
  </w:style>
  <w:style w:type="character" w:styleId="Puslapioinaosnuoroda">
    <w:name w:val="footnote reference"/>
    <w:basedOn w:val="Numatytasispastraiposriftas"/>
    <w:uiPriority w:val="99"/>
    <w:semiHidden/>
    <w:unhideWhenUsed/>
    <w:rsid w:val="001D698A"/>
    <w:rPr>
      <w:vertAlign w:val="superscript"/>
    </w:rPr>
  </w:style>
  <w:style w:type="character" w:styleId="Hipersaitas">
    <w:name w:val="Hyperlink"/>
    <w:basedOn w:val="Numatytasispastraiposriftas"/>
    <w:unhideWhenUsed/>
    <w:rsid w:val="001D698A"/>
    <w:rPr>
      <w:color w:val="0563C1" w:themeColor="hyperlink"/>
      <w:u w:val="single"/>
    </w:rPr>
  </w:style>
  <w:style w:type="paragraph" w:styleId="Porat">
    <w:name w:val="footer"/>
    <w:basedOn w:val="prastasis"/>
    <w:link w:val="PoratDiagrama"/>
    <w:uiPriority w:val="99"/>
    <w:unhideWhenUsed/>
    <w:rsid w:val="00DE7640"/>
    <w:pPr>
      <w:tabs>
        <w:tab w:val="center" w:pos="4819"/>
        <w:tab w:val="right" w:pos="9638"/>
      </w:tabs>
      <w:spacing w:after="0" w:line="240" w:lineRule="auto"/>
    </w:pPr>
  </w:style>
  <w:style w:type="character" w:styleId="PoratDiagrama" w:customStyle="1">
    <w:name w:val="Poraštė Diagrama"/>
    <w:basedOn w:val="Numatytasispastraiposriftas"/>
    <w:link w:val="Porat"/>
    <w:uiPriority w:val="99"/>
    <w:rsid w:val="00DE7640"/>
  </w:style>
  <w:style w:type="paragraph" w:styleId="Sraopastraipa">
    <w:name w:val="List Paragraph"/>
    <w:basedOn w:val="prastasis"/>
    <w:uiPriority w:val="34"/>
    <w:qFormat/>
    <w:rsid w:val="009F3C95"/>
    <w:pPr>
      <w:spacing w:after="0" w:line="240" w:lineRule="auto"/>
      <w:ind w:left="720"/>
      <w:contextualSpacing/>
    </w:pPr>
    <w:rPr>
      <w:rFonts w:ascii="Times New Roman" w:hAnsi="Times New Roman" w:eastAsia="Times New Roman" w:cs="Times New Roman"/>
      <w:sz w:val="20"/>
      <w:szCs w:val="20"/>
    </w:rPr>
  </w:style>
  <w:style w:type="character" w:styleId="UnresolvedMention1" w:customStyle="1">
    <w:name w:val="Unresolved Mention1"/>
    <w:basedOn w:val="Numatytasispastraiposriftas"/>
    <w:uiPriority w:val="99"/>
    <w:semiHidden/>
    <w:unhideWhenUsed/>
    <w:rsid w:val="00AD7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customXml" Target="../customXml/item4.xml" Id="rId14"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9ECDBB-2574-4A0D-968A-2D8D79A5DF74}">
  <ds:schemaRefs>
    <ds:schemaRef ds:uri="http://schemas.openxmlformats.org/officeDocument/2006/bibliography"/>
  </ds:schemaRefs>
</ds:datastoreItem>
</file>

<file path=customXml/itemProps2.xml><?xml version="1.0" encoding="utf-8"?>
<ds:datastoreItem xmlns:ds="http://schemas.openxmlformats.org/officeDocument/2006/customXml" ds:itemID="{A471CF0C-375B-4906-BB9C-E35C76E2A619}"/>
</file>

<file path=customXml/itemProps3.xml><?xml version="1.0" encoding="utf-8"?>
<ds:datastoreItem xmlns:ds="http://schemas.openxmlformats.org/officeDocument/2006/customXml" ds:itemID="{DCBBF33F-6BFE-49D7-9B8B-80BE28C4B5B1}"/>
</file>

<file path=customXml/itemProps4.xml><?xml version="1.0" encoding="utf-8"?>
<ds:datastoreItem xmlns:ds="http://schemas.openxmlformats.org/officeDocument/2006/customXml" ds:itemID="{DBEF6029-48CE-461C-94D6-1D5D5382A75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541511b8-fee9-4d34-a032-40f97694be3e</dc:title>
  <dc:creator>Švelnienė Dalia</dc:creator>
  <cp:lastModifiedBy>Dalia Švelnienė</cp:lastModifiedBy>
  <cp:revision>6</cp:revision>
  <cp:lastPrinted>2021-09-30T06:47:00Z</cp:lastPrinted>
  <dcterms:created xsi:type="dcterms:W3CDTF">2021-10-04T13:02:00Z</dcterms:created>
  <dcterms:modified xsi:type="dcterms:W3CDTF">2021-10-04T15:25:11Z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