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365F" w14:textId="42C85086" w:rsidR="008B0E9C" w:rsidRPr="002E79B9" w:rsidRDefault="008B0E9C" w:rsidP="00402927">
      <w:pPr>
        <w:jc w:val="cente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DERINIMO PAŽYMA</w:t>
      </w:r>
    </w:p>
    <w:p w14:paraId="02AC9313" w14:textId="06403CC0" w:rsidR="00402927" w:rsidRPr="002E79B9" w:rsidRDefault="00321C68" w:rsidP="644D0AC7">
      <w:pPr>
        <w:jc w:val="center"/>
        <w:rPr>
          <w:rFonts w:ascii="Times New Roman" w:hAnsi="Times New Roman" w:cs="Times New Roman"/>
          <w:b/>
          <w:bCs/>
          <w:sz w:val="24"/>
          <w:szCs w:val="24"/>
          <w:lang w:val="lt-LT"/>
        </w:rPr>
      </w:pPr>
      <w:r w:rsidRPr="002E79B9">
        <w:rPr>
          <w:rFonts w:ascii="Times New Roman" w:hAnsi="Times New Roman" w:cs="Times New Roman"/>
          <w:b/>
          <w:bCs/>
          <w:caps/>
          <w:sz w:val="24"/>
          <w:szCs w:val="24"/>
          <w:lang w:val="lt-LT"/>
        </w:rPr>
        <w:t>DĖL</w:t>
      </w:r>
      <w:r w:rsidR="646BF50E" w:rsidRPr="002E79B9">
        <w:rPr>
          <w:rFonts w:ascii="Times New Roman" w:hAnsi="Times New Roman" w:cs="Times New Roman"/>
          <w:b/>
          <w:bCs/>
          <w:caps/>
          <w:sz w:val="24"/>
          <w:szCs w:val="24"/>
          <w:lang w:val="lt-LT"/>
        </w:rPr>
        <w:t xml:space="preserve"> LIETUVOS RESPUBLIKOS KULTŪROS MINISTERIJOS</w:t>
      </w:r>
      <w:r w:rsidRPr="002E79B9">
        <w:rPr>
          <w:rFonts w:ascii="Times New Roman" w:hAnsi="Times New Roman" w:cs="Times New Roman"/>
          <w:b/>
          <w:bCs/>
          <w:caps/>
          <w:sz w:val="24"/>
          <w:szCs w:val="24"/>
          <w:lang w:val="lt-LT"/>
        </w:rPr>
        <w:t xml:space="preserve"> 2021–2030 METŲ</w:t>
      </w:r>
      <w:r w:rsidR="2DBFF79D" w:rsidRPr="002E79B9">
        <w:rPr>
          <w:rFonts w:ascii="Times New Roman" w:hAnsi="Times New Roman" w:cs="Times New Roman"/>
          <w:b/>
          <w:bCs/>
          <w:caps/>
          <w:sz w:val="24"/>
          <w:szCs w:val="24"/>
          <w:lang w:val="lt-LT"/>
        </w:rPr>
        <w:t xml:space="preserve"> </w:t>
      </w:r>
      <w:r w:rsidRPr="002E79B9">
        <w:rPr>
          <w:rFonts w:ascii="Times New Roman" w:hAnsi="Times New Roman" w:cs="Times New Roman"/>
          <w:b/>
          <w:bCs/>
          <w:caps/>
          <w:sz w:val="24"/>
          <w:szCs w:val="24"/>
          <w:lang w:val="lt-LT"/>
        </w:rPr>
        <w:t>KULTŪROS IR KŪRYBINGUMO PLĖTROS PROGRAMOS PROJEKTO</w:t>
      </w:r>
    </w:p>
    <w:p w14:paraId="6BF4FE70" w14:textId="77777777" w:rsidR="001161DC" w:rsidRPr="002E79B9" w:rsidRDefault="001161DC">
      <w:pPr>
        <w:rPr>
          <w:rFonts w:ascii="Times New Roman" w:hAnsi="Times New Roman" w:cs="Times New Roman"/>
          <w:sz w:val="24"/>
          <w:szCs w:val="24"/>
          <w:lang w:val="lt-LT"/>
        </w:rPr>
      </w:pPr>
    </w:p>
    <w:p w14:paraId="19C5F0E2" w14:textId="30D20D51" w:rsidR="008B0E9C" w:rsidRPr="002E79B9" w:rsidRDefault="009D1E1F">
      <w:pPr>
        <w:rPr>
          <w:rFonts w:ascii="Times New Roman" w:hAnsi="Times New Roman" w:cs="Times New Roman"/>
          <w:sz w:val="24"/>
          <w:szCs w:val="24"/>
          <w:lang w:val="lt-LT"/>
        </w:rPr>
      </w:pPr>
      <w:r w:rsidRPr="002E79B9">
        <w:rPr>
          <w:rFonts w:ascii="Times New Roman" w:hAnsi="Times New Roman" w:cs="Times New Roman"/>
          <w:sz w:val="24"/>
          <w:szCs w:val="24"/>
          <w:lang w:val="lt-LT"/>
        </w:rPr>
        <w:t>Grafiniai žodžių sutrumpinimai:</w:t>
      </w:r>
    </w:p>
    <w:p w14:paraId="430DCE2C" w14:textId="67D460AA" w:rsidR="009D1E1F" w:rsidRPr="002E79B9" w:rsidRDefault="009D1E1F">
      <w:pPr>
        <w:rPr>
          <w:rFonts w:ascii="Times New Roman" w:hAnsi="Times New Roman" w:cs="Times New Roman"/>
          <w:sz w:val="24"/>
          <w:szCs w:val="24"/>
          <w:lang w:val="lt-LT"/>
        </w:rPr>
      </w:pPr>
      <w:r w:rsidRPr="002E79B9">
        <w:rPr>
          <w:rFonts w:ascii="Times New Roman" w:hAnsi="Times New Roman" w:cs="Times New Roman"/>
          <w:sz w:val="24"/>
          <w:szCs w:val="24"/>
          <w:lang w:val="lt-LT"/>
        </w:rPr>
        <w:t>PP – Lietuvos Respublikos kultūros ministerijos 2021–2030 m. kultūros ir kūrybingumo plėtros programa</w:t>
      </w:r>
      <w:r w:rsidR="00431E64">
        <w:rPr>
          <w:rFonts w:ascii="Times New Roman" w:hAnsi="Times New Roman" w:cs="Times New Roman"/>
          <w:sz w:val="24"/>
          <w:szCs w:val="24"/>
          <w:lang w:val="lt-LT"/>
        </w:rPr>
        <w:t>.</w:t>
      </w:r>
    </w:p>
    <w:p w14:paraId="30DEF409" w14:textId="598D3E4F" w:rsidR="009D1E1F" w:rsidRPr="002E79B9" w:rsidRDefault="009D1E1F">
      <w:pPr>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KKI – </w:t>
      </w:r>
      <w:r w:rsidR="00450342" w:rsidRPr="002E79B9">
        <w:rPr>
          <w:rFonts w:ascii="Times New Roman" w:hAnsi="Times New Roman" w:cs="Times New Roman"/>
          <w:sz w:val="24"/>
          <w:szCs w:val="24"/>
          <w:lang w:val="lt-LT"/>
        </w:rPr>
        <w:t>k</w:t>
      </w:r>
      <w:r w:rsidRPr="002E79B9">
        <w:rPr>
          <w:rFonts w:ascii="Times New Roman" w:hAnsi="Times New Roman" w:cs="Times New Roman"/>
          <w:sz w:val="24"/>
          <w:szCs w:val="24"/>
          <w:lang w:val="lt-LT"/>
        </w:rPr>
        <w:t>ultūros ir kūrybinės industrijos</w:t>
      </w:r>
      <w:r w:rsidR="00431E64">
        <w:rPr>
          <w:rFonts w:ascii="Times New Roman" w:hAnsi="Times New Roman" w:cs="Times New Roman"/>
          <w:sz w:val="24"/>
          <w:szCs w:val="24"/>
          <w:lang w:val="lt-LT"/>
        </w:rPr>
        <w:t>.</w:t>
      </w:r>
    </w:p>
    <w:p w14:paraId="649AC92E" w14:textId="1A9C53C3" w:rsidR="009D1E1F" w:rsidRPr="002E79B9" w:rsidRDefault="00450342">
      <w:pPr>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MTEPI </w:t>
      </w:r>
      <w:r w:rsidR="00FE4E28" w:rsidRPr="002E79B9">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 mokslini</w:t>
      </w:r>
      <w:r w:rsidR="00344D74" w:rsidRPr="002E79B9">
        <w:rPr>
          <w:rFonts w:ascii="Times New Roman" w:hAnsi="Times New Roman" w:cs="Times New Roman"/>
          <w:sz w:val="24"/>
          <w:szCs w:val="24"/>
          <w:lang w:val="lt-LT"/>
        </w:rPr>
        <w:t>ai</w:t>
      </w:r>
      <w:r w:rsidRPr="002E79B9">
        <w:rPr>
          <w:rFonts w:ascii="Times New Roman" w:hAnsi="Times New Roman" w:cs="Times New Roman"/>
          <w:sz w:val="24"/>
          <w:szCs w:val="24"/>
          <w:lang w:val="lt-LT"/>
        </w:rPr>
        <w:t xml:space="preserve"> tyrim</w:t>
      </w:r>
      <w:r w:rsidR="00344D74" w:rsidRPr="002E79B9">
        <w:rPr>
          <w:rFonts w:ascii="Times New Roman" w:hAnsi="Times New Roman" w:cs="Times New Roman"/>
          <w:sz w:val="24"/>
          <w:szCs w:val="24"/>
          <w:lang w:val="lt-LT"/>
        </w:rPr>
        <w:t>ai</w:t>
      </w:r>
      <w:r w:rsidRPr="002E79B9">
        <w:rPr>
          <w:rFonts w:ascii="Times New Roman" w:hAnsi="Times New Roman" w:cs="Times New Roman"/>
          <w:sz w:val="24"/>
          <w:szCs w:val="24"/>
          <w:lang w:val="lt-LT"/>
        </w:rPr>
        <w:t>, eksperimentinė plėtr</w:t>
      </w:r>
      <w:r w:rsidR="00344D74" w:rsidRPr="002E79B9">
        <w:rPr>
          <w:rFonts w:ascii="Times New Roman" w:hAnsi="Times New Roman" w:cs="Times New Roman"/>
          <w:sz w:val="24"/>
          <w:szCs w:val="24"/>
          <w:lang w:val="lt-LT"/>
        </w:rPr>
        <w:t>a</w:t>
      </w:r>
      <w:r w:rsidRPr="002E79B9">
        <w:rPr>
          <w:rFonts w:ascii="Times New Roman" w:hAnsi="Times New Roman" w:cs="Times New Roman"/>
          <w:sz w:val="24"/>
          <w:szCs w:val="24"/>
          <w:lang w:val="lt-LT"/>
        </w:rPr>
        <w:t xml:space="preserve"> ir inovacij</w:t>
      </w:r>
      <w:r w:rsidR="00344D74" w:rsidRPr="002E79B9">
        <w:rPr>
          <w:rFonts w:ascii="Times New Roman" w:hAnsi="Times New Roman" w:cs="Times New Roman"/>
          <w:sz w:val="24"/>
          <w:szCs w:val="24"/>
          <w:lang w:val="lt-LT"/>
        </w:rPr>
        <w:t>os</w:t>
      </w:r>
      <w:r w:rsidR="00431E64">
        <w:rPr>
          <w:rFonts w:ascii="Times New Roman" w:hAnsi="Times New Roman" w:cs="Times New Roman"/>
          <w:sz w:val="24"/>
          <w:szCs w:val="24"/>
          <w:lang w:val="lt-LT"/>
        </w:rPr>
        <w:t>.</w:t>
      </w:r>
    </w:p>
    <w:tbl>
      <w:tblPr>
        <w:tblStyle w:val="TableGrid"/>
        <w:tblW w:w="9985" w:type="dxa"/>
        <w:tblLook w:val="04A0" w:firstRow="1" w:lastRow="0" w:firstColumn="1" w:lastColumn="0" w:noHBand="0" w:noVBand="1"/>
      </w:tblPr>
      <w:tblGrid>
        <w:gridCol w:w="570"/>
        <w:gridCol w:w="1584"/>
        <w:gridCol w:w="4680"/>
        <w:gridCol w:w="3151"/>
      </w:tblGrid>
      <w:tr w:rsidR="00F74B95" w:rsidRPr="002E79B9" w14:paraId="4B3C6EAF" w14:textId="77777777" w:rsidTr="001716DA">
        <w:tc>
          <w:tcPr>
            <w:tcW w:w="567" w:type="dxa"/>
          </w:tcPr>
          <w:p w14:paraId="74EEB5E2"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Eil.</w:t>
            </w:r>
          </w:p>
          <w:p w14:paraId="13E8C09D" w14:textId="7DB9090B"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Nr.</w:t>
            </w:r>
          </w:p>
        </w:tc>
        <w:tc>
          <w:tcPr>
            <w:tcW w:w="1490" w:type="dxa"/>
          </w:tcPr>
          <w:p w14:paraId="16025E33"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Institucijos</w:t>
            </w:r>
          </w:p>
          <w:p w14:paraId="73E48C16"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pavadinimas,</w:t>
            </w:r>
          </w:p>
          <w:p w14:paraId="21DF25B9"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rašto data ir</w:t>
            </w:r>
          </w:p>
          <w:p w14:paraId="5076D4B0" w14:textId="08B6FC42"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numeris</w:t>
            </w:r>
          </w:p>
        </w:tc>
        <w:tc>
          <w:tcPr>
            <w:tcW w:w="4748" w:type="dxa"/>
          </w:tcPr>
          <w:p w14:paraId="322D5BBC" w14:textId="77777777" w:rsidR="00F74B95" w:rsidRPr="002E79B9" w:rsidRDefault="00F74B95" w:rsidP="001716DA">
            <w:pPr>
              <w:rPr>
                <w:rFonts w:ascii="Times New Roman" w:hAnsi="Times New Roman" w:cs="Times New Roman"/>
                <w:b/>
                <w:bCs/>
                <w:sz w:val="24"/>
                <w:szCs w:val="24"/>
                <w:lang w:val="lt-LT"/>
              </w:rPr>
            </w:pPr>
          </w:p>
          <w:p w14:paraId="79CA4916" w14:textId="3D52F27C"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Pastabos, siūlymai</w:t>
            </w:r>
          </w:p>
        </w:tc>
        <w:tc>
          <w:tcPr>
            <w:tcW w:w="3180" w:type="dxa"/>
          </w:tcPr>
          <w:p w14:paraId="29325E26"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Žyma apie pastabas ir pasiūlymus, į</w:t>
            </w:r>
          </w:p>
          <w:p w14:paraId="0C52A18A" w14:textId="77777777"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kuriuos nebuvo atsižvelgta arba</w:t>
            </w:r>
          </w:p>
          <w:p w14:paraId="6062D96F" w14:textId="590BD46B" w:rsidR="00F74B95" w:rsidRPr="002E79B9" w:rsidRDefault="00F74B95" w:rsidP="001716DA">
            <w:pPr>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atsižvelgta iš dalies</w:t>
            </w:r>
          </w:p>
        </w:tc>
      </w:tr>
      <w:tr w:rsidR="00AF48AF" w:rsidRPr="002E79B9" w14:paraId="06322C71" w14:textId="77777777" w:rsidTr="001716DA">
        <w:tc>
          <w:tcPr>
            <w:tcW w:w="567" w:type="dxa"/>
            <w:vMerge w:val="restart"/>
          </w:tcPr>
          <w:p w14:paraId="065A2A7B" w14:textId="4880DAD3"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1.</w:t>
            </w:r>
          </w:p>
        </w:tc>
        <w:tc>
          <w:tcPr>
            <w:tcW w:w="1490" w:type="dxa"/>
            <w:vMerge w:val="restart"/>
          </w:tcPr>
          <w:p w14:paraId="724CF06B" w14:textId="424687C8" w:rsidR="00AF48AF" w:rsidRPr="002E79B9" w:rsidRDefault="12C5F968"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Lietuvos Respublikos švietimo, mokslo ir sporto ministerija</w:t>
            </w:r>
          </w:p>
        </w:tc>
        <w:tc>
          <w:tcPr>
            <w:tcW w:w="4748" w:type="dxa"/>
          </w:tcPr>
          <w:p w14:paraId="75C9ED62" w14:textId="2B4E76E6"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1.1. Privalome atkreipti dėmesį į Programos projekto 4.1.2.2 priemonę „Kultūros turinio, meno formos ir metodų integravimas į formalųjį švietimą“. Siūlome už priemonę palikti atsakingą tik Kultūros ministeriją kaip projekto autorę ir įgyvendintoją. Priemonės rezultato rodiklio pavadinim</w:t>
            </w:r>
            <w:r w:rsidR="00431E64">
              <w:rPr>
                <w:rFonts w:ascii="Times New Roman" w:hAnsi="Times New Roman" w:cs="Times New Roman"/>
                <w:sz w:val="24"/>
                <w:szCs w:val="24"/>
                <w:lang w:val="lt-LT"/>
              </w:rPr>
              <w:t>ą</w:t>
            </w:r>
            <w:r w:rsidRPr="002E79B9">
              <w:rPr>
                <w:rFonts w:ascii="Times New Roman" w:hAnsi="Times New Roman" w:cs="Times New Roman"/>
                <w:sz w:val="24"/>
                <w:szCs w:val="24"/>
                <w:lang w:val="lt-LT"/>
              </w:rPr>
              <w:t xml:space="preserve"> „Kūrybinės partnerystės</w:t>
            </w:r>
            <w:r w:rsidR="00431E64">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 integruotos į formaliojo ugdymo planus visose mokyklose (šiuo metu Lietuvoje yra 1</w:t>
            </w:r>
            <w:r w:rsidR="00FE4E28" w:rsidRPr="002E79B9">
              <w:rPr>
                <w:rFonts w:ascii="Times New Roman" w:hAnsi="Times New Roman" w:cs="Times New Roman"/>
                <w:sz w:val="24"/>
                <w:szCs w:val="24"/>
                <w:lang w:val="lt-LT"/>
              </w:rPr>
              <w:t> </w:t>
            </w:r>
            <w:r w:rsidRPr="002E79B9">
              <w:rPr>
                <w:rFonts w:ascii="Times New Roman" w:hAnsi="Times New Roman" w:cs="Times New Roman"/>
                <w:sz w:val="24"/>
                <w:szCs w:val="24"/>
                <w:lang w:val="lt-LT"/>
              </w:rPr>
              <w:t xml:space="preserve">144 formaliojo ugdymo mokyklos), proc.“ siūloma keisti į „Kultūros įstaigų kūrybinių partnerysčių pagrindu organizuotos programos (kultūros įstaigų, įgyvendinančių kūrybinių partnerysčių programas, skaičius), proc.“ </w:t>
            </w:r>
          </w:p>
          <w:p w14:paraId="3785B9FD" w14:textId="77777777"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Argumentai. </w:t>
            </w:r>
          </w:p>
          <w:p w14:paraId="2EDEF0A9" w14:textId="7DAB8121"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Siūloma atsisakyti šios priemonės ir rodiklio, nes: </w:t>
            </w:r>
          </w:p>
          <w:p w14:paraId="39C34D59" w14:textId="77777777"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1) visos mokyklos įgyvendina bendrąsias pradinio, pagrindinio ir vidurinio ugdymo programas. Per programų turinį ir jo įgyvendinimą turi būti užtikrintas visuotinumas, todėl netikslinga nurodyti mokyklų skaičių ar procentus; </w:t>
            </w:r>
          </w:p>
          <w:p w14:paraId="147B33E4" w14:textId="7C3426C6"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2) netikslinga ir dėl to, kad atnaujinamas ugdymo turinys, pagrįstas kompetencijų ugdymu, užtikrins kultūrin</w:t>
            </w:r>
            <w:r w:rsidR="00BC1DA8">
              <w:rPr>
                <w:rFonts w:ascii="Times New Roman" w:hAnsi="Times New Roman" w:cs="Times New Roman"/>
                <w:sz w:val="24"/>
                <w:szCs w:val="24"/>
                <w:lang w:val="lt-LT"/>
              </w:rPr>
              <w:t>į</w:t>
            </w:r>
            <w:r w:rsidRPr="002E79B9">
              <w:rPr>
                <w:rFonts w:ascii="Times New Roman" w:hAnsi="Times New Roman" w:cs="Times New Roman"/>
                <w:sz w:val="24"/>
                <w:szCs w:val="24"/>
                <w:lang w:val="lt-LT"/>
              </w:rPr>
              <w:t xml:space="preserve">, kūrybiškumo ir kitų kompetencijų ugdymą bendrojo ugdymo procese. </w:t>
            </w:r>
          </w:p>
          <w:p w14:paraId="55825C29" w14:textId="77777777"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Arba siūloma performuluoti: </w:t>
            </w:r>
          </w:p>
          <w:p w14:paraId="0CB03601" w14:textId="051682CA"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„Kultūros įstaigų kūrybinių partnerysčių pagrindu organizuotos programos, proc.“</w:t>
            </w:r>
          </w:p>
        </w:tc>
        <w:tc>
          <w:tcPr>
            <w:tcW w:w="3180" w:type="dxa"/>
          </w:tcPr>
          <w:p w14:paraId="5F148506" w14:textId="77777777" w:rsidR="00AF48AF" w:rsidRPr="002E79B9" w:rsidRDefault="00AF48AF" w:rsidP="001716DA">
            <w:pPr>
              <w:jc w:val="both"/>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Neatsižvelgta.</w:t>
            </w:r>
          </w:p>
          <w:p w14:paraId="31402E04" w14:textId="66207548" w:rsidR="00AF48AF" w:rsidRPr="002E79B9" w:rsidRDefault="00AF48AF"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1.1.1. </w:t>
            </w:r>
            <w:r w:rsidR="006B4538" w:rsidRPr="002E79B9">
              <w:rPr>
                <w:rFonts w:ascii="Times New Roman" w:hAnsi="Times New Roman" w:cs="Times New Roman"/>
                <w:sz w:val="24"/>
                <w:szCs w:val="24"/>
                <w:lang w:val="lt-LT"/>
              </w:rPr>
              <w:t>P</w:t>
            </w:r>
            <w:r w:rsidRPr="002E79B9">
              <w:rPr>
                <w:rFonts w:ascii="Times New Roman" w:hAnsi="Times New Roman" w:cs="Times New Roman"/>
                <w:sz w:val="24"/>
                <w:szCs w:val="24"/>
                <w:lang w:val="lt-LT"/>
              </w:rPr>
              <w:t>riemonės</w:t>
            </w:r>
            <w:r w:rsidR="002900EE" w:rsidRPr="002E79B9">
              <w:rPr>
                <w:rFonts w:ascii="Times New Roman" w:hAnsi="Times New Roman" w:cs="Times New Roman"/>
                <w:sz w:val="24"/>
                <w:szCs w:val="24"/>
                <w:lang w:val="lt-LT"/>
              </w:rPr>
              <w:t xml:space="preserve"> </w:t>
            </w:r>
            <w:r w:rsidRPr="002E79B9">
              <w:rPr>
                <w:rFonts w:ascii="Times New Roman" w:hAnsi="Times New Roman" w:cs="Times New Roman"/>
                <w:sz w:val="24"/>
                <w:szCs w:val="24"/>
                <w:lang w:val="lt-LT"/>
              </w:rPr>
              <w:t xml:space="preserve">4.1.2.2 kodu ir nurodytu pavadinimu plėtros programos projekte nėra, kaip ir aptariamo rodiklio, todėl </w:t>
            </w:r>
            <w:r w:rsidR="006B4538" w:rsidRPr="002E79B9">
              <w:rPr>
                <w:rFonts w:ascii="Times New Roman" w:hAnsi="Times New Roman" w:cs="Times New Roman"/>
                <w:sz w:val="24"/>
                <w:szCs w:val="24"/>
                <w:lang w:val="lt-LT"/>
              </w:rPr>
              <w:t>nėra pagrindo</w:t>
            </w:r>
            <w:r w:rsidRPr="002E79B9">
              <w:rPr>
                <w:rFonts w:ascii="Times New Roman" w:hAnsi="Times New Roman" w:cs="Times New Roman"/>
                <w:sz w:val="24"/>
                <w:szCs w:val="24"/>
                <w:lang w:val="lt-LT"/>
              </w:rPr>
              <w:t xml:space="preserve"> </w:t>
            </w:r>
            <w:r w:rsidR="006B4538" w:rsidRPr="002E79B9">
              <w:rPr>
                <w:rFonts w:ascii="Times New Roman" w:hAnsi="Times New Roman" w:cs="Times New Roman"/>
                <w:sz w:val="24"/>
                <w:szCs w:val="24"/>
                <w:lang w:val="lt-LT"/>
              </w:rPr>
              <w:t xml:space="preserve">sutikti su pateiktu siūlymu. </w:t>
            </w:r>
          </w:p>
        </w:tc>
      </w:tr>
      <w:tr w:rsidR="004A1A5C" w:rsidRPr="002E79B9" w14:paraId="18442954" w14:textId="77777777" w:rsidTr="001716DA">
        <w:trPr>
          <w:trHeight w:val="6086"/>
        </w:trPr>
        <w:tc>
          <w:tcPr>
            <w:tcW w:w="567" w:type="dxa"/>
            <w:vMerge/>
          </w:tcPr>
          <w:p w14:paraId="0D681316" w14:textId="77777777" w:rsidR="004A1A5C" w:rsidRPr="002E79B9" w:rsidRDefault="004A1A5C" w:rsidP="001716DA">
            <w:pPr>
              <w:jc w:val="both"/>
              <w:rPr>
                <w:rFonts w:ascii="Times New Roman" w:hAnsi="Times New Roman" w:cs="Times New Roman"/>
                <w:sz w:val="24"/>
                <w:szCs w:val="24"/>
                <w:lang w:val="lt-LT"/>
              </w:rPr>
            </w:pPr>
            <w:bookmarkStart w:id="0" w:name="_Hlk77865357"/>
          </w:p>
        </w:tc>
        <w:tc>
          <w:tcPr>
            <w:tcW w:w="1490" w:type="dxa"/>
            <w:vMerge/>
          </w:tcPr>
          <w:p w14:paraId="6CB0EB69" w14:textId="77777777" w:rsidR="004A1A5C" w:rsidRPr="002E79B9" w:rsidRDefault="004A1A5C" w:rsidP="001716DA">
            <w:pPr>
              <w:jc w:val="both"/>
              <w:rPr>
                <w:rFonts w:ascii="Times New Roman" w:hAnsi="Times New Roman" w:cs="Times New Roman"/>
                <w:sz w:val="24"/>
                <w:szCs w:val="24"/>
                <w:lang w:val="lt-LT"/>
              </w:rPr>
            </w:pPr>
          </w:p>
        </w:tc>
        <w:tc>
          <w:tcPr>
            <w:tcW w:w="4748" w:type="dxa"/>
          </w:tcPr>
          <w:p w14:paraId="5A4412BB" w14:textId="3236679D" w:rsidR="004A1A5C" w:rsidRPr="002E79B9" w:rsidRDefault="004A1A5C"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1.2. Kurti ir įgyvendinti kūrybinių partnerysčių principu kultūros įstaigų edukacijos veiklas, kurios, suderintos su ugdymo programomis, praturtintų ugdymo turinio įgyvendinimo galimybes. Rodiklis būtų pakeistas kultūros įstaigų rodikliu. Vykdyti atskiras programas šalia mokykloje įgyvendinamų bendrojo ugdymo programų yra netikslinga. Kultūros įstaigų įgyvendinamos edukacinės veiklos retai derinamos su bendrojo ugdymo programomis, todėl kultūros įstaigos nevisiškai išnaudoja savo kuriamą vertę ugdymo procesui praturtinti. Palaikytina kultūros įstaigų iniciatyva organizuoti kūrybinių partnerysčių projektus savo įstaigose ir kviesti mokyklas jose dalyvauti, panašiai kaip organizuojamas Kultūros pasas.</w:t>
            </w:r>
          </w:p>
        </w:tc>
        <w:tc>
          <w:tcPr>
            <w:tcW w:w="3180" w:type="dxa"/>
          </w:tcPr>
          <w:p w14:paraId="49FC43E4" w14:textId="77777777" w:rsidR="004A1A5C" w:rsidRPr="002E79B9" w:rsidRDefault="004A1A5C"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Neatsižvelgta</w:t>
            </w:r>
            <w:r w:rsidRPr="002E79B9">
              <w:rPr>
                <w:rFonts w:ascii="Times New Roman" w:hAnsi="Times New Roman" w:cs="Times New Roman"/>
                <w:sz w:val="24"/>
                <w:szCs w:val="24"/>
                <w:lang w:val="lt-LT"/>
              </w:rPr>
              <w:t>.</w:t>
            </w:r>
          </w:p>
          <w:p w14:paraId="193089B1" w14:textId="611A176E" w:rsidR="00FA2867" w:rsidRPr="002E79B9" w:rsidRDefault="004A1A5C" w:rsidP="00FA2867">
            <w:pPr>
              <w:pStyle w:val="CommentText"/>
              <w:rPr>
                <w:rFonts w:ascii="Montserrat-Regular" w:eastAsia="Montserrat-Regular" w:hAnsi="Montserrat-Bold" w:cs="Montserrat-Regular"/>
                <w:color w:val="222222"/>
                <w:lang w:val="lt-LT"/>
              </w:rPr>
            </w:pPr>
            <w:r w:rsidRPr="002E79B9">
              <w:rPr>
                <w:rFonts w:ascii="Times New Roman" w:hAnsi="Times New Roman" w:cs="Times New Roman"/>
                <w:sz w:val="24"/>
                <w:szCs w:val="24"/>
                <w:lang w:val="lt-LT"/>
              </w:rPr>
              <w:t>1.2.1. PP projektu būtent ir siekiama sukurti tvaresnes prielaidas ir paskatas, kad</w:t>
            </w:r>
            <w:r w:rsidR="003054CD" w:rsidRPr="002E79B9">
              <w:rPr>
                <w:rFonts w:ascii="Times New Roman" w:hAnsi="Times New Roman" w:cs="Times New Roman"/>
                <w:sz w:val="24"/>
                <w:szCs w:val="24"/>
                <w:lang w:val="lt-LT"/>
              </w:rPr>
              <w:t xml:space="preserve"> </w:t>
            </w:r>
            <w:r w:rsidRPr="002E79B9">
              <w:rPr>
                <w:rFonts w:ascii="Times New Roman" w:hAnsi="Times New Roman" w:cs="Times New Roman"/>
                <w:sz w:val="24"/>
                <w:szCs w:val="24"/>
                <w:lang w:val="lt-LT"/>
              </w:rPr>
              <w:t xml:space="preserve">kultūros įstaigų edukacinės veiklos būtų sistemingai derinamos su bendrojo ugdymo programomis ir būtų pilnai išnaudojamas ir kultūros įstaigų potencialas ugdymo procesui praturtinti. </w:t>
            </w:r>
          </w:p>
          <w:p w14:paraId="008F65E1" w14:textId="1FBC235E" w:rsidR="004A1A5C" w:rsidRPr="002E79B9" w:rsidRDefault="002E79B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Tokiu būdu siūloma kūrybines partnerystes integruoti mokyklose, partnerysčių siūlomus kitokius, inovatyvius mokinimosi metodus taikyti mokini</w:t>
            </w:r>
            <w:r w:rsidR="00BC1DA8">
              <w:rPr>
                <w:rFonts w:ascii="Times New Roman" w:hAnsi="Times New Roman" w:cs="Times New Roman"/>
                <w:sz w:val="24"/>
                <w:szCs w:val="24"/>
                <w:lang w:val="lt-LT"/>
              </w:rPr>
              <w:t>ų ugdymui</w:t>
            </w:r>
            <w:r w:rsidRPr="002E79B9">
              <w:rPr>
                <w:rFonts w:ascii="Times New Roman" w:hAnsi="Times New Roman" w:cs="Times New Roman"/>
                <w:sz w:val="24"/>
                <w:szCs w:val="24"/>
                <w:lang w:val="lt-LT"/>
              </w:rPr>
              <w:t xml:space="preserve"> padedant įsisavinanti ugdymo programų turinį, o ne palikti kūrybinių partnerysčių kaip papildomos priemonės kultūros įstaigose, kaip kad vyksta Kultūros paso apimtyje.</w:t>
            </w:r>
            <w:r w:rsidR="004A1A5C" w:rsidRPr="002E79B9">
              <w:rPr>
                <w:rFonts w:ascii="Times New Roman" w:hAnsi="Times New Roman" w:cs="Times New Roman"/>
                <w:sz w:val="24"/>
                <w:szCs w:val="24"/>
                <w:lang w:val="lt-LT"/>
              </w:rPr>
              <w:t xml:space="preserve"> Atkreipiame dėmesį, kad kultūros pasas finansuojamas tęstinėmis</w:t>
            </w:r>
            <w:r w:rsidR="003054CD" w:rsidRPr="002E79B9">
              <w:rPr>
                <w:rFonts w:ascii="Times New Roman" w:hAnsi="Times New Roman" w:cs="Times New Roman"/>
                <w:sz w:val="24"/>
                <w:szCs w:val="24"/>
                <w:lang w:val="lt-LT"/>
              </w:rPr>
              <w:t xml:space="preserve"> Švietimo, mokslo ir sporto ministerijos</w:t>
            </w:r>
            <w:r w:rsidR="004A1A5C" w:rsidRPr="002E79B9">
              <w:rPr>
                <w:rFonts w:ascii="Times New Roman" w:hAnsi="Times New Roman" w:cs="Times New Roman"/>
                <w:sz w:val="24"/>
                <w:szCs w:val="24"/>
                <w:lang w:val="lt-LT"/>
              </w:rPr>
              <w:t xml:space="preserve"> lėšomis, o K</w:t>
            </w:r>
            <w:r w:rsidR="003054CD" w:rsidRPr="002E79B9">
              <w:rPr>
                <w:rFonts w:ascii="Times New Roman" w:hAnsi="Times New Roman" w:cs="Times New Roman"/>
                <w:sz w:val="24"/>
                <w:szCs w:val="24"/>
                <w:lang w:val="lt-LT"/>
              </w:rPr>
              <w:t>ultūros ministerija</w:t>
            </w:r>
            <w:r w:rsidR="004A1A5C" w:rsidRPr="002E79B9">
              <w:rPr>
                <w:rFonts w:ascii="Times New Roman" w:hAnsi="Times New Roman" w:cs="Times New Roman"/>
                <w:sz w:val="24"/>
                <w:szCs w:val="24"/>
                <w:lang w:val="lt-LT"/>
              </w:rPr>
              <w:t xml:space="preserve"> įsipareigojo plėtoti pas</w:t>
            </w:r>
            <w:r w:rsidR="001716DA" w:rsidRPr="002E79B9">
              <w:rPr>
                <w:rFonts w:ascii="Times New Roman" w:hAnsi="Times New Roman" w:cs="Times New Roman"/>
                <w:sz w:val="24"/>
                <w:szCs w:val="24"/>
                <w:lang w:val="lt-LT"/>
              </w:rPr>
              <w:t>l</w:t>
            </w:r>
            <w:r w:rsidR="004A1A5C" w:rsidRPr="002E79B9">
              <w:rPr>
                <w:rFonts w:ascii="Times New Roman" w:hAnsi="Times New Roman" w:cs="Times New Roman"/>
                <w:sz w:val="24"/>
                <w:szCs w:val="24"/>
                <w:lang w:val="lt-LT"/>
              </w:rPr>
              <w:t xml:space="preserve">augas ir gerinti jų kokybę. Todėl nėra aiškus pats siūlymas, kurį rodiklį reikia keisti, </w:t>
            </w:r>
            <w:r w:rsidR="0045786D">
              <w:rPr>
                <w:rFonts w:ascii="Times New Roman" w:hAnsi="Times New Roman" w:cs="Times New Roman"/>
                <w:sz w:val="24"/>
                <w:szCs w:val="24"/>
                <w:lang w:val="lt-LT"/>
              </w:rPr>
              <w:t>taip pat</w:t>
            </w:r>
            <w:r w:rsidR="004A1A5C" w:rsidRPr="002E79B9">
              <w:rPr>
                <w:rFonts w:ascii="Times New Roman" w:hAnsi="Times New Roman" w:cs="Times New Roman"/>
                <w:sz w:val="24"/>
                <w:szCs w:val="24"/>
                <w:lang w:val="lt-LT"/>
              </w:rPr>
              <w:t xml:space="preserve"> tokio siūlymo pobūdis neatitinka problemos ir priežasčių</w:t>
            </w:r>
            <w:r w:rsidR="0045786D">
              <w:rPr>
                <w:rFonts w:ascii="Times New Roman" w:hAnsi="Times New Roman" w:cs="Times New Roman"/>
                <w:sz w:val="24"/>
                <w:szCs w:val="24"/>
                <w:lang w:val="lt-LT"/>
              </w:rPr>
              <w:t>,</w:t>
            </w:r>
            <w:r w:rsidR="004A1A5C" w:rsidRPr="002E79B9">
              <w:rPr>
                <w:rFonts w:ascii="Times New Roman" w:hAnsi="Times New Roman" w:cs="Times New Roman"/>
                <w:sz w:val="24"/>
                <w:szCs w:val="24"/>
                <w:lang w:val="lt-LT"/>
              </w:rPr>
              <w:t xml:space="preserve"> aprašytų PP 2.2.1</w:t>
            </w:r>
            <w:r w:rsidR="00FC71A3" w:rsidRPr="002E79B9">
              <w:rPr>
                <w:rFonts w:ascii="Times New Roman" w:hAnsi="Times New Roman" w:cs="Times New Roman"/>
                <w:sz w:val="24"/>
                <w:szCs w:val="24"/>
                <w:lang w:val="lt-LT"/>
              </w:rPr>
              <w:t xml:space="preserve"> </w:t>
            </w:r>
            <w:r w:rsidR="009D1E1F" w:rsidRPr="002E79B9">
              <w:rPr>
                <w:rFonts w:ascii="Times New Roman" w:hAnsi="Times New Roman" w:cs="Times New Roman"/>
                <w:sz w:val="24"/>
                <w:szCs w:val="24"/>
                <w:lang w:val="lt-LT"/>
              </w:rPr>
              <w:t>papunktyje.</w:t>
            </w:r>
          </w:p>
        </w:tc>
      </w:tr>
      <w:bookmarkEnd w:id="0"/>
      <w:tr w:rsidR="001716DA" w:rsidRPr="002E79B9" w14:paraId="7335B320" w14:textId="77777777" w:rsidTr="001716DA">
        <w:trPr>
          <w:trHeight w:val="6071"/>
        </w:trPr>
        <w:tc>
          <w:tcPr>
            <w:tcW w:w="567" w:type="dxa"/>
            <w:vMerge w:val="restart"/>
            <w:tcBorders>
              <w:bottom w:val="single" w:sz="4" w:space="0" w:color="auto"/>
            </w:tcBorders>
          </w:tcPr>
          <w:p w14:paraId="25D29DD8" w14:textId="77777777"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lastRenderedPageBreak/>
              <w:t>2.</w:t>
            </w:r>
          </w:p>
          <w:p w14:paraId="2776BB0D" w14:textId="3C750AEC" w:rsidR="001716DA" w:rsidRPr="002E79B9" w:rsidRDefault="001716DA" w:rsidP="0045786D">
            <w:pPr>
              <w:jc w:val="both"/>
              <w:rPr>
                <w:rFonts w:ascii="Times New Roman" w:hAnsi="Times New Roman" w:cs="Times New Roman"/>
                <w:sz w:val="24"/>
                <w:szCs w:val="24"/>
                <w:lang w:val="lt-LT"/>
              </w:rPr>
            </w:pPr>
          </w:p>
        </w:tc>
        <w:tc>
          <w:tcPr>
            <w:tcW w:w="1490" w:type="dxa"/>
            <w:vMerge w:val="restart"/>
            <w:tcBorders>
              <w:bottom w:val="single" w:sz="4" w:space="0" w:color="auto"/>
            </w:tcBorders>
          </w:tcPr>
          <w:p w14:paraId="0E8CFE46" w14:textId="77777777"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Lietuvos Respublikos finansų ministerija</w:t>
            </w:r>
          </w:p>
          <w:p w14:paraId="10F2A8FC" w14:textId="60BBCF91" w:rsidR="001716DA" w:rsidRPr="002E79B9" w:rsidRDefault="001716DA" w:rsidP="00D407F9">
            <w:pPr>
              <w:jc w:val="both"/>
              <w:rPr>
                <w:rFonts w:ascii="Times New Roman" w:hAnsi="Times New Roman" w:cs="Times New Roman"/>
                <w:sz w:val="24"/>
                <w:szCs w:val="24"/>
                <w:lang w:val="lt-LT"/>
              </w:rPr>
            </w:pPr>
          </w:p>
        </w:tc>
        <w:tc>
          <w:tcPr>
            <w:tcW w:w="4748" w:type="dxa"/>
            <w:tcBorders>
              <w:bottom w:val="single" w:sz="4" w:space="0" w:color="auto"/>
            </w:tcBorders>
          </w:tcPr>
          <w:p w14:paraId="4849750F" w14:textId="73C2AD5C"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2.1. PP projekte prie </w:t>
            </w:r>
            <w:proofErr w:type="spellStart"/>
            <w:r w:rsidRPr="002E79B9">
              <w:rPr>
                <w:rFonts w:ascii="Times New Roman" w:hAnsi="Times New Roman" w:cs="Times New Roman"/>
                <w:sz w:val="24"/>
                <w:szCs w:val="24"/>
                <w:lang w:val="lt-LT"/>
              </w:rPr>
              <w:t>subpriežasčių</w:t>
            </w:r>
            <w:proofErr w:type="spellEnd"/>
            <w:r w:rsidRPr="002E79B9">
              <w:rPr>
                <w:rFonts w:ascii="Times New Roman" w:hAnsi="Times New Roman" w:cs="Times New Roman"/>
                <w:sz w:val="24"/>
                <w:szCs w:val="24"/>
                <w:lang w:val="lt-LT"/>
              </w:rPr>
              <w:t>, kurios planuojamos šalinti per kitų ministerijų pažangos priemones, neturi būti nurodoma „</w:t>
            </w:r>
            <w:proofErr w:type="spellStart"/>
            <w:r w:rsidRPr="002E79B9">
              <w:rPr>
                <w:rFonts w:ascii="Times New Roman" w:hAnsi="Times New Roman" w:cs="Times New Roman"/>
                <w:sz w:val="24"/>
                <w:szCs w:val="24"/>
                <w:lang w:val="lt-LT"/>
              </w:rPr>
              <w:t>subpriežastis</w:t>
            </w:r>
            <w:proofErr w:type="spellEnd"/>
            <w:r w:rsidRPr="002E79B9">
              <w:rPr>
                <w:rFonts w:ascii="Times New Roman" w:hAnsi="Times New Roman" w:cs="Times New Roman"/>
                <w:sz w:val="24"/>
                <w:szCs w:val="24"/>
                <w:lang w:val="lt-LT"/>
              </w:rPr>
              <w:t xml:space="preserve"> turi būti sprendžiama &lt;...&gt;“. Jeigu su atitinkama ministerija yra suderinta, kad jos plėtros programoje bus numatytos priemonės, kurios spręs PP projekte identifikuotas priežastis, turi būti nurodyta, kad </w:t>
            </w:r>
            <w:proofErr w:type="spellStart"/>
            <w:r w:rsidRPr="002E79B9">
              <w:rPr>
                <w:rFonts w:ascii="Times New Roman" w:hAnsi="Times New Roman" w:cs="Times New Roman"/>
                <w:sz w:val="24"/>
                <w:szCs w:val="24"/>
                <w:lang w:val="lt-LT"/>
              </w:rPr>
              <w:t>subpriežastis</w:t>
            </w:r>
            <w:proofErr w:type="spellEnd"/>
            <w:r w:rsidRPr="002E79B9">
              <w:rPr>
                <w:rFonts w:ascii="Times New Roman" w:hAnsi="Times New Roman" w:cs="Times New Roman"/>
                <w:sz w:val="24"/>
                <w:szCs w:val="24"/>
                <w:lang w:val="lt-LT"/>
              </w:rPr>
              <w:t xml:space="preserve"> bus sprendžiama. Jeigu su atitinkama ministerija nesuderinta, tai KM PP projekte negali duoti nuorodos į kitos ministerijos plėtros programą. Pavyzdžiui, prie </w:t>
            </w:r>
            <w:proofErr w:type="spellStart"/>
            <w:r w:rsidRPr="002E79B9">
              <w:rPr>
                <w:rFonts w:ascii="Times New Roman" w:hAnsi="Times New Roman" w:cs="Times New Roman"/>
                <w:sz w:val="24"/>
                <w:szCs w:val="24"/>
                <w:lang w:val="lt-LT"/>
              </w:rPr>
              <w:t>subpriežasties</w:t>
            </w:r>
            <w:proofErr w:type="spellEnd"/>
            <w:r w:rsidRPr="002E79B9">
              <w:rPr>
                <w:rFonts w:ascii="Times New Roman" w:hAnsi="Times New Roman" w:cs="Times New Roman"/>
                <w:sz w:val="24"/>
                <w:szCs w:val="24"/>
                <w:lang w:val="lt-LT"/>
              </w:rPr>
              <w:t xml:space="preserve"> 2.1.1. Aukštos meninės vertės nacionalinio ir tarptautinio lygmens paslaugos netolygiai prieinamos visoje šalies teritorijoje ir skirtingoms visuomenės grupėms nurodoma, kad ji iš dalies turi būti sprendžiama 2021–2030 m. Regionų plėtros programos veiklomis, tačiau nesant sutarimui su Vidaus reikalų ministerija, kad ši priežastis tikrai bus šalinama, nuoroda į 2021–2030 m. Regionų plėtros programą neturėtų būti dedama.</w:t>
            </w:r>
          </w:p>
        </w:tc>
        <w:tc>
          <w:tcPr>
            <w:tcW w:w="3180" w:type="dxa"/>
            <w:tcBorders>
              <w:bottom w:val="single" w:sz="4" w:space="0" w:color="auto"/>
            </w:tcBorders>
          </w:tcPr>
          <w:p w14:paraId="29B4CE3D" w14:textId="0A4E1CD2" w:rsidR="001716DA" w:rsidRPr="002E79B9" w:rsidRDefault="001716DA" w:rsidP="001716DA">
            <w:pPr>
              <w:jc w:val="both"/>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t>Atsižvelgta iš dalies.</w:t>
            </w:r>
          </w:p>
          <w:p w14:paraId="451C8C0D" w14:textId="1B54A7D0"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2.1.1. PP projekte patikslintos sąsajų su kitų ministerijų plėtros programomis formuluotės. Sąsajų su Švietimo, mokslo ir sporto ministerijos plėtros programomis formuluotės nepakeistos nesant sutarimo ir siekiant galutinį sprendimą dėl konkrečių sąsajų priimti Lietuvos Respublikos Vyriausybės lygmeniu.</w:t>
            </w:r>
          </w:p>
        </w:tc>
      </w:tr>
      <w:tr w:rsidR="001716DA" w:rsidRPr="002E79B9" w14:paraId="6D067F44" w14:textId="77777777" w:rsidTr="001716DA">
        <w:tc>
          <w:tcPr>
            <w:tcW w:w="567" w:type="dxa"/>
            <w:vMerge/>
          </w:tcPr>
          <w:p w14:paraId="5D6A3E57" w14:textId="77777777" w:rsidR="001716DA" w:rsidRPr="002E79B9" w:rsidRDefault="001716DA" w:rsidP="001716DA">
            <w:pPr>
              <w:jc w:val="both"/>
              <w:rPr>
                <w:rFonts w:ascii="Times New Roman" w:hAnsi="Times New Roman" w:cs="Times New Roman"/>
                <w:sz w:val="24"/>
                <w:szCs w:val="24"/>
                <w:lang w:val="lt-LT"/>
              </w:rPr>
            </w:pPr>
          </w:p>
        </w:tc>
        <w:tc>
          <w:tcPr>
            <w:tcW w:w="1490" w:type="dxa"/>
            <w:vMerge/>
          </w:tcPr>
          <w:p w14:paraId="4FE6652C" w14:textId="77777777" w:rsidR="001716DA" w:rsidRPr="002E79B9" w:rsidRDefault="001716DA" w:rsidP="001716DA">
            <w:pPr>
              <w:jc w:val="both"/>
              <w:rPr>
                <w:rFonts w:ascii="Times New Roman" w:hAnsi="Times New Roman" w:cs="Times New Roman"/>
                <w:sz w:val="24"/>
                <w:szCs w:val="24"/>
                <w:lang w:val="lt-LT"/>
              </w:rPr>
            </w:pPr>
          </w:p>
        </w:tc>
        <w:tc>
          <w:tcPr>
            <w:tcW w:w="4748" w:type="dxa"/>
          </w:tcPr>
          <w:p w14:paraId="54C43375" w14:textId="19B69342"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2.2. PP projekte nurodyta 2.3.2 </w:t>
            </w:r>
            <w:proofErr w:type="spellStart"/>
            <w:r w:rsidRPr="002E79B9">
              <w:rPr>
                <w:rFonts w:ascii="Times New Roman" w:hAnsi="Times New Roman" w:cs="Times New Roman"/>
                <w:sz w:val="24"/>
                <w:szCs w:val="24"/>
                <w:lang w:val="lt-LT"/>
              </w:rPr>
              <w:t>subpriežastis</w:t>
            </w:r>
            <w:proofErr w:type="spellEnd"/>
            <w:r w:rsidRPr="002E79B9">
              <w:rPr>
                <w:rFonts w:ascii="Times New Roman" w:hAnsi="Times New Roman" w:cs="Times New Roman"/>
                <w:sz w:val="24"/>
                <w:szCs w:val="24"/>
                <w:lang w:val="lt-LT"/>
              </w:rPr>
              <w:t xml:space="preserve"> Nepasiektas susitarimas dėl prioritetinių tarptautinių mugių ir panašaus pobūdžio renginių Lietuvos kultūros produktų pristatymui užsienyje, kuri turi būti sprendžiama Užsienyje matomos ir įtakingos Lietuvos plėtros programos veiklomis. Tačiau PP derinimo su Užsienio reikalų ministerija metu el. paštu buvo pateikta informacija, kad ši priežastis Užsienyje matomos ir įtakingos Lietuvos plėtros programoje nenagrinėjama, kaip turinti tęstinės veiklos požymių. Atsižvelgiant į tai, prašome prie 2.3.2 </w:t>
            </w:r>
            <w:proofErr w:type="spellStart"/>
            <w:r w:rsidRPr="002E79B9">
              <w:rPr>
                <w:rFonts w:ascii="Times New Roman" w:hAnsi="Times New Roman" w:cs="Times New Roman"/>
                <w:sz w:val="24"/>
                <w:szCs w:val="24"/>
                <w:lang w:val="lt-LT"/>
              </w:rPr>
              <w:t>subpriežasties</w:t>
            </w:r>
            <w:proofErr w:type="spellEnd"/>
            <w:r w:rsidRPr="002E79B9">
              <w:rPr>
                <w:rFonts w:ascii="Times New Roman" w:hAnsi="Times New Roman" w:cs="Times New Roman"/>
                <w:sz w:val="24"/>
                <w:szCs w:val="24"/>
                <w:lang w:val="lt-LT"/>
              </w:rPr>
              <w:t xml:space="preserve"> informaciją patikslinti.</w:t>
            </w:r>
          </w:p>
        </w:tc>
        <w:tc>
          <w:tcPr>
            <w:tcW w:w="3180" w:type="dxa"/>
          </w:tcPr>
          <w:p w14:paraId="05F6ED9E" w14:textId="6C0B015D"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Atsižvelgta</w:t>
            </w:r>
            <w:r w:rsidRPr="002E79B9">
              <w:rPr>
                <w:rFonts w:ascii="Times New Roman" w:hAnsi="Times New Roman" w:cs="Times New Roman"/>
                <w:sz w:val="24"/>
                <w:szCs w:val="24"/>
                <w:lang w:val="lt-LT"/>
              </w:rPr>
              <w:t xml:space="preserve">. </w:t>
            </w:r>
          </w:p>
        </w:tc>
      </w:tr>
      <w:tr w:rsidR="001716DA" w:rsidRPr="002E79B9" w14:paraId="39C7FEEB" w14:textId="77777777" w:rsidTr="001716DA">
        <w:tc>
          <w:tcPr>
            <w:tcW w:w="567" w:type="dxa"/>
            <w:vMerge/>
          </w:tcPr>
          <w:p w14:paraId="1846945C" w14:textId="3EB2393E" w:rsidR="001716DA" w:rsidRPr="002E79B9" w:rsidRDefault="001716DA" w:rsidP="001716DA">
            <w:pPr>
              <w:jc w:val="both"/>
              <w:rPr>
                <w:rFonts w:ascii="Times New Roman" w:hAnsi="Times New Roman" w:cs="Times New Roman"/>
                <w:sz w:val="24"/>
                <w:szCs w:val="24"/>
                <w:lang w:val="lt-LT"/>
              </w:rPr>
            </w:pPr>
          </w:p>
        </w:tc>
        <w:tc>
          <w:tcPr>
            <w:tcW w:w="1490" w:type="dxa"/>
            <w:vMerge/>
          </w:tcPr>
          <w:p w14:paraId="6A67A8E0" w14:textId="35033FC9" w:rsidR="001716DA" w:rsidRPr="002E79B9" w:rsidRDefault="001716DA" w:rsidP="001716DA">
            <w:pPr>
              <w:jc w:val="both"/>
              <w:rPr>
                <w:rFonts w:ascii="Times New Roman" w:hAnsi="Times New Roman" w:cs="Times New Roman"/>
                <w:sz w:val="24"/>
                <w:szCs w:val="24"/>
                <w:lang w:val="lt-LT"/>
              </w:rPr>
            </w:pPr>
          </w:p>
        </w:tc>
        <w:tc>
          <w:tcPr>
            <w:tcW w:w="4748" w:type="dxa"/>
          </w:tcPr>
          <w:p w14:paraId="636E28D4" w14:textId="406C0416"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2.3. PP III skyriuje priemonei 08-001-04-01-03 (PP) Investicijos į kultūros išteklių skaitmeninimą ir prieinamumą numatytas produkto rodiklis Įgyvendinti kultūros išteklių skaitmeninimo projektai, kaupiamieji vnt. Šį produkto rodiklį prašome perkelti į pažangos priemonės lygmenį, o PP projekte prie šios priemonės nurodyti rezultato rodiklį, kuris atspindėtų laukiamą rezultatą.</w:t>
            </w:r>
          </w:p>
        </w:tc>
        <w:tc>
          <w:tcPr>
            <w:tcW w:w="3180" w:type="dxa"/>
          </w:tcPr>
          <w:p w14:paraId="38D6C1F2" w14:textId="7BDF31BB" w:rsidR="001716DA" w:rsidRPr="002E79B9" w:rsidRDefault="001716DA"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Atsižvelgta</w:t>
            </w:r>
            <w:r w:rsidRPr="002E79B9">
              <w:rPr>
                <w:rFonts w:ascii="Times New Roman" w:hAnsi="Times New Roman" w:cs="Times New Roman"/>
                <w:sz w:val="24"/>
                <w:szCs w:val="24"/>
                <w:lang w:val="lt-LT"/>
              </w:rPr>
              <w:t>.</w:t>
            </w:r>
          </w:p>
        </w:tc>
      </w:tr>
      <w:tr w:rsidR="002E2D19" w:rsidRPr="002E79B9" w14:paraId="24D6882B" w14:textId="77777777" w:rsidTr="001716DA">
        <w:tc>
          <w:tcPr>
            <w:tcW w:w="567" w:type="dxa"/>
            <w:vMerge w:val="restart"/>
          </w:tcPr>
          <w:p w14:paraId="5D9F2DE9" w14:textId="3BF9FF66" w:rsidR="002E2D19" w:rsidRPr="002E79B9" w:rsidRDefault="00EB415C"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w:t>
            </w:r>
          </w:p>
        </w:tc>
        <w:tc>
          <w:tcPr>
            <w:tcW w:w="1490" w:type="dxa"/>
            <w:vMerge w:val="restart"/>
          </w:tcPr>
          <w:p w14:paraId="38A94915" w14:textId="64BBB0AB" w:rsidR="00EB415C" w:rsidRPr="002E79B9" w:rsidRDefault="00EB415C"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Lietuvos Respublikos ekonomikos ir inovacijų ministerija</w:t>
            </w:r>
          </w:p>
          <w:p w14:paraId="3EB126C6" w14:textId="02AD6C1C" w:rsidR="002E2D19" w:rsidRPr="002E79B9" w:rsidRDefault="002E2D19" w:rsidP="001716DA">
            <w:pPr>
              <w:jc w:val="both"/>
              <w:rPr>
                <w:rFonts w:ascii="Times New Roman" w:hAnsi="Times New Roman" w:cs="Times New Roman"/>
                <w:sz w:val="24"/>
                <w:szCs w:val="24"/>
                <w:lang w:val="lt-LT"/>
              </w:rPr>
            </w:pPr>
          </w:p>
        </w:tc>
        <w:tc>
          <w:tcPr>
            <w:tcW w:w="4748" w:type="dxa"/>
          </w:tcPr>
          <w:p w14:paraId="2D295FAF" w14:textId="0AC2D725"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3.1. Atkreipiame dėmesį, kad priemonės „Dizainas LT“ tikslas nebuvo skatinti kultūros ir kūrybinių industrijų (KKI) sektoriaus augimo, bet paskatinti įmones investuoti į gaminių (paslaugų) dizaino sprendimus, siekiant padidinti įmonės produktų ar paslaugų </w:t>
            </w:r>
            <w:r w:rsidRPr="002E79B9">
              <w:rPr>
                <w:rFonts w:ascii="Times New Roman" w:hAnsi="Times New Roman" w:cs="Times New Roman"/>
                <w:sz w:val="24"/>
                <w:szCs w:val="24"/>
                <w:lang w:val="lt-LT"/>
              </w:rPr>
              <w:lastRenderedPageBreak/>
              <w:t>patrauklumą, o kartu ir paklausą bei įmonės produktyvumą.</w:t>
            </w:r>
          </w:p>
        </w:tc>
        <w:tc>
          <w:tcPr>
            <w:tcW w:w="3180" w:type="dxa"/>
          </w:tcPr>
          <w:p w14:paraId="5CDBCB4C" w14:textId="493F7794"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lastRenderedPageBreak/>
              <w:t>Neatsižvelgta</w:t>
            </w:r>
            <w:r w:rsidRPr="002E79B9">
              <w:rPr>
                <w:rFonts w:ascii="Times New Roman" w:hAnsi="Times New Roman" w:cs="Times New Roman"/>
                <w:sz w:val="24"/>
                <w:szCs w:val="24"/>
                <w:lang w:val="lt-LT"/>
              </w:rPr>
              <w:t xml:space="preserve">. </w:t>
            </w:r>
          </w:p>
          <w:p w14:paraId="274889AD" w14:textId="467E46BC"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3.1.1. PP projekte nurodyta informacija atitinka pastabą, konkrečiai: </w:t>
            </w:r>
            <w:r w:rsidR="00001F85">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&lt;…Lietuvos Respublikos ekonomikos ir inovacijų ministerijos finansuojama TVP priemonė </w:t>
            </w:r>
            <w:r w:rsidRPr="002E79B9">
              <w:rPr>
                <w:rFonts w:ascii="Times New Roman" w:hAnsi="Times New Roman" w:cs="Times New Roman"/>
                <w:sz w:val="24"/>
                <w:szCs w:val="24"/>
                <w:lang w:val="lt-LT"/>
              </w:rPr>
              <w:lastRenderedPageBreak/>
              <w:t>„Dizainas LT“, numatanti galimybes Lietuvos gamybos ir paslaugų įmonėms pasinaudoti dizaino paslaugomis savo verslo plėtrai, tačiau nenumatanti priemonių pačių dizaino kūrėjų veiklos sąlygų gerinimui,…&gt;</w:t>
            </w:r>
            <w:r w:rsidR="00001F85">
              <w:rPr>
                <w:rFonts w:ascii="Times New Roman" w:hAnsi="Times New Roman" w:cs="Times New Roman"/>
                <w:sz w:val="24"/>
                <w:szCs w:val="24"/>
                <w:lang w:val="lt-LT"/>
              </w:rPr>
              <w:t>“</w:t>
            </w:r>
            <w:r w:rsidRPr="002E79B9">
              <w:rPr>
                <w:rFonts w:ascii="Times New Roman" w:hAnsi="Times New Roman" w:cs="Times New Roman"/>
                <w:sz w:val="24"/>
                <w:szCs w:val="24"/>
                <w:lang w:val="lt-LT"/>
              </w:rPr>
              <w:t>.</w:t>
            </w:r>
          </w:p>
        </w:tc>
      </w:tr>
      <w:tr w:rsidR="002E2D19" w:rsidRPr="002E79B9" w14:paraId="419151C5" w14:textId="77777777" w:rsidTr="001716DA">
        <w:tc>
          <w:tcPr>
            <w:tcW w:w="567" w:type="dxa"/>
            <w:vMerge/>
          </w:tcPr>
          <w:p w14:paraId="1F2B6ECE" w14:textId="77777777" w:rsidR="002E2D19" w:rsidRPr="002E79B9" w:rsidRDefault="002E2D19" w:rsidP="001716DA">
            <w:pPr>
              <w:jc w:val="both"/>
              <w:rPr>
                <w:rFonts w:ascii="Times New Roman" w:hAnsi="Times New Roman" w:cs="Times New Roman"/>
                <w:sz w:val="24"/>
                <w:szCs w:val="24"/>
                <w:lang w:val="lt-LT"/>
              </w:rPr>
            </w:pPr>
          </w:p>
        </w:tc>
        <w:tc>
          <w:tcPr>
            <w:tcW w:w="1490" w:type="dxa"/>
            <w:vMerge/>
          </w:tcPr>
          <w:p w14:paraId="604698CB" w14:textId="77777777" w:rsidR="002E2D19" w:rsidRPr="002E79B9" w:rsidRDefault="002E2D19" w:rsidP="001716DA">
            <w:pPr>
              <w:jc w:val="both"/>
              <w:rPr>
                <w:rFonts w:ascii="Times New Roman" w:hAnsi="Times New Roman" w:cs="Times New Roman"/>
                <w:sz w:val="24"/>
                <w:szCs w:val="24"/>
                <w:lang w:val="lt-LT"/>
              </w:rPr>
            </w:pPr>
          </w:p>
        </w:tc>
        <w:tc>
          <w:tcPr>
            <w:tcW w:w="4748" w:type="dxa"/>
          </w:tcPr>
          <w:p w14:paraId="0F609A49" w14:textId="4A7D15C6"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3.2. Pažymime, kad strateginiame kontekste, t. y. priežasčių aprašyme turėtų būti analizuojama priemonių visuma, o ne viena priemonė (šiuo atveju minima priemonė „Dizainas LT“). Prašome patikslinti Kultūros ir kūrybingumo plėtros programos paskirties aprašymą.</w:t>
            </w:r>
          </w:p>
        </w:tc>
        <w:tc>
          <w:tcPr>
            <w:tcW w:w="3180" w:type="dxa"/>
          </w:tcPr>
          <w:p w14:paraId="76763BBC" w14:textId="493F7794"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Neatsižvelgta</w:t>
            </w:r>
            <w:r w:rsidRPr="002E79B9">
              <w:rPr>
                <w:rFonts w:ascii="Times New Roman" w:hAnsi="Times New Roman" w:cs="Times New Roman"/>
                <w:sz w:val="24"/>
                <w:szCs w:val="24"/>
                <w:lang w:val="lt-LT"/>
              </w:rPr>
              <w:t xml:space="preserve">. </w:t>
            </w:r>
          </w:p>
          <w:p w14:paraId="080BA3A3" w14:textId="251FDAEE"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3.2.1. PP projekte atliekant problemų-priežasčių analizę, konstatuojama, kad nebuvo suformuota kryptinga ir nuosekli KKI sektoriaus vystymo politika, nebuvo įgyvendintų priemonių, specifiškai atliepiančių KKI poreikius ir orientuotų būtent į KKI plėtrą, o priemonė „Dizainas LT“ minima kaip pavyzdinė priemonė ir vieną kartą.</w:t>
            </w:r>
          </w:p>
        </w:tc>
      </w:tr>
      <w:tr w:rsidR="002E2D19" w:rsidRPr="002E79B9" w14:paraId="4AEA406F" w14:textId="77777777" w:rsidTr="001716DA">
        <w:tc>
          <w:tcPr>
            <w:tcW w:w="567" w:type="dxa"/>
            <w:vMerge/>
          </w:tcPr>
          <w:p w14:paraId="14D3FFDE" w14:textId="3B8DEBCB" w:rsidR="002E2D19" w:rsidRPr="002E79B9" w:rsidRDefault="002E2D19" w:rsidP="001716DA">
            <w:pPr>
              <w:jc w:val="both"/>
              <w:rPr>
                <w:rFonts w:ascii="Times New Roman" w:hAnsi="Times New Roman" w:cs="Times New Roman"/>
                <w:sz w:val="24"/>
                <w:szCs w:val="24"/>
                <w:lang w:val="lt-LT"/>
              </w:rPr>
            </w:pPr>
          </w:p>
        </w:tc>
        <w:tc>
          <w:tcPr>
            <w:tcW w:w="1490" w:type="dxa"/>
            <w:vMerge/>
          </w:tcPr>
          <w:p w14:paraId="287C1D17" w14:textId="7F8AC49F" w:rsidR="002E2D19" w:rsidRPr="002E79B9" w:rsidRDefault="002E2D19" w:rsidP="001716DA">
            <w:pPr>
              <w:jc w:val="both"/>
              <w:rPr>
                <w:rFonts w:ascii="Times New Roman" w:hAnsi="Times New Roman" w:cs="Times New Roman"/>
                <w:sz w:val="24"/>
                <w:szCs w:val="24"/>
                <w:lang w:val="lt-LT"/>
              </w:rPr>
            </w:pPr>
          </w:p>
        </w:tc>
        <w:tc>
          <w:tcPr>
            <w:tcW w:w="4748" w:type="dxa"/>
          </w:tcPr>
          <w:p w14:paraId="373AB944" w14:textId="756C8152"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3.3. Atkreipiame dėmesį į numatytą priemonę „08-001-01-09-01 (PP) KKI plėtra skatinanti konkurencingumą ir pridėtinės vertės kūrimą“, už kurios įgyvendinimą atsakinga numatyta Ekonomikos ir inovacijų ministerija. Paminėtina, kad už KKI sektoriaus plėtrą atsakinga yra Kultūros ministerija, ne Ekonomikos ir inovacijų ministerija. Taip pat paminėtina, kad Ekonomikos ir inovacijų ministerija nenumato priemonių, skirtų KKI plėtrai. Paminėtina, kad šiuo metu rengiama Sumaniosios specializacijos koncepcija, pagal kurią 2021</w:t>
            </w:r>
            <w:r w:rsidR="00001F85">
              <w:rPr>
                <w:rFonts w:ascii="Times New Roman" w:hAnsi="Times New Roman" w:cs="Times New Roman"/>
                <w:sz w:val="24"/>
                <w:szCs w:val="24"/>
                <w:lang w:val="lt-LT"/>
              </w:rPr>
              <w:t>–</w:t>
            </w:r>
            <w:r w:rsidRPr="002E79B9">
              <w:rPr>
                <w:rFonts w:ascii="Times New Roman" w:hAnsi="Times New Roman" w:cs="Times New Roman"/>
                <w:sz w:val="24"/>
                <w:szCs w:val="24"/>
                <w:lang w:val="lt-LT"/>
              </w:rPr>
              <w:t>2027 metais bus investuojama į šias sritis: sveikatos technologijas ir biotechnologijas; naujus gamybos procesus, medžiagas ir technologijas; informacines ir ryšių technologijas.</w:t>
            </w:r>
          </w:p>
        </w:tc>
        <w:tc>
          <w:tcPr>
            <w:tcW w:w="3180" w:type="dxa"/>
          </w:tcPr>
          <w:p w14:paraId="1286E1EB" w14:textId="2EE2BD48"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Neatsižvelgta</w:t>
            </w:r>
            <w:r w:rsidRPr="002E79B9">
              <w:rPr>
                <w:rFonts w:ascii="Times New Roman" w:hAnsi="Times New Roman" w:cs="Times New Roman"/>
                <w:sz w:val="24"/>
                <w:szCs w:val="24"/>
                <w:lang w:val="lt-LT"/>
              </w:rPr>
              <w:t>.</w:t>
            </w:r>
          </w:p>
          <w:p w14:paraId="025B07C4" w14:textId="3A065373"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3.3.1. Už visų PP projekte suplanuotų pažangos priemonių įgyvendinimą atsakinga Kultūros ministerija, o Ekonomikos ir inovacijų ministerija kaip dalyvaujanti institucija priemonėje „08-001-01-09-01 (PP) KKI plėtra</w:t>
            </w:r>
            <w:r w:rsidR="00001F85">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 skatinanti konkurencingumą ir pridėtinės vertės kūrimą“ </w:t>
            </w:r>
            <w:r w:rsidR="003F3D7F">
              <w:rPr>
                <w:rFonts w:ascii="Times New Roman" w:hAnsi="Times New Roman" w:cs="Times New Roman"/>
                <w:sz w:val="24"/>
                <w:szCs w:val="24"/>
                <w:lang w:val="lt-LT"/>
              </w:rPr>
              <w:t xml:space="preserve">nurodyta </w:t>
            </w:r>
            <w:r w:rsidRPr="002E79B9">
              <w:rPr>
                <w:rFonts w:ascii="Times New Roman" w:hAnsi="Times New Roman" w:cs="Times New Roman"/>
                <w:sz w:val="24"/>
                <w:szCs w:val="24"/>
                <w:lang w:val="lt-LT"/>
              </w:rPr>
              <w:t>dėl sąsajų ir takoskyrų su Ekonomikos ir inovacijų ministerijos planuojamomis verslo skatinimo priemonėmis.</w:t>
            </w:r>
          </w:p>
        </w:tc>
      </w:tr>
      <w:tr w:rsidR="002E2D19" w:rsidRPr="002E79B9" w14:paraId="30A012AC" w14:textId="77777777" w:rsidTr="001716DA">
        <w:tc>
          <w:tcPr>
            <w:tcW w:w="567" w:type="dxa"/>
            <w:vMerge/>
          </w:tcPr>
          <w:p w14:paraId="453B13E5" w14:textId="7E9D6BAF" w:rsidR="002E2D19" w:rsidRPr="002E79B9" w:rsidRDefault="002E2D19" w:rsidP="001716DA">
            <w:pPr>
              <w:jc w:val="both"/>
              <w:rPr>
                <w:rFonts w:ascii="Times New Roman" w:hAnsi="Times New Roman" w:cs="Times New Roman"/>
                <w:sz w:val="24"/>
                <w:szCs w:val="24"/>
                <w:lang w:val="lt-LT"/>
              </w:rPr>
            </w:pPr>
          </w:p>
        </w:tc>
        <w:tc>
          <w:tcPr>
            <w:tcW w:w="1490" w:type="dxa"/>
            <w:vMerge/>
          </w:tcPr>
          <w:p w14:paraId="75A042C4" w14:textId="1AD6950D" w:rsidR="002E2D19" w:rsidRPr="002E79B9" w:rsidRDefault="002E2D19" w:rsidP="001716DA">
            <w:pPr>
              <w:jc w:val="both"/>
              <w:rPr>
                <w:rFonts w:ascii="Times New Roman" w:hAnsi="Times New Roman" w:cs="Times New Roman"/>
                <w:sz w:val="24"/>
                <w:szCs w:val="24"/>
                <w:lang w:val="lt-LT"/>
              </w:rPr>
            </w:pPr>
          </w:p>
        </w:tc>
        <w:tc>
          <w:tcPr>
            <w:tcW w:w="4748" w:type="dxa"/>
          </w:tcPr>
          <w:p w14:paraId="7A636DA5" w14:textId="0D986CF6"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3.4. Vienas iš numatytų priemonės „08-001-04-05-01 (PP) Istorinės atminties komunikacijos turinio ir formų aktualizavimas“ rezultato rodiklių yra „Paramą gavusių kultūros ir turizmo objektų lankytojai, vnt.“. Atsižvelgiant į tai, siūlome prie dalyvaujančių institucijų įrašyti Ekonomikos ir inovacijų ministeriją.</w:t>
            </w:r>
          </w:p>
        </w:tc>
        <w:tc>
          <w:tcPr>
            <w:tcW w:w="3180" w:type="dxa"/>
          </w:tcPr>
          <w:p w14:paraId="39CE1831" w14:textId="46E82E58"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Neatsižvelgta</w:t>
            </w:r>
            <w:r w:rsidRPr="002E79B9">
              <w:rPr>
                <w:rFonts w:ascii="Times New Roman" w:hAnsi="Times New Roman" w:cs="Times New Roman"/>
                <w:sz w:val="24"/>
                <w:szCs w:val="24"/>
                <w:lang w:val="lt-LT"/>
              </w:rPr>
              <w:t>.</w:t>
            </w:r>
          </w:p>
          <w:p w14:paraId="1096E42F" w14:textId="57BDCD6B"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Šios priemonės dalis bus finansuojama iš Kultūros ministerijos 2021</w:t>
            </w:r>
            <w:r w:rsidR="00D407F9">
              <w:rPr>
                <w:rFonts w:ascii="Times New Roman" w:hAnsi="Times New Roman" w:cs="Times New Roman"/>
                <w:sz w:val="24"/>
                <w:szCs w:val="24"/>
                <w:lang w:val="lt-LT"/>
              </w:rPr>
              <w:t>–</w:t>
            </w:r>
            <w:r w:rsidRPr="002E79B9">
              <w:rPr>
                <w:rFonts w:ascii="Times New Roman" w:hAnsi="Times New Roman" w:cs="Times New Roman"/>
                <w:sz w:val="24"/>
                <w:szCs w:val="24"/>
                <w:lang w:val="lt-LT"/>
              </w:rPr>
              <w:t>2027</w:t>
            </w:r>
            <w:r w:rsidR="00D407F9">
              <w:rPr>
                <w:rFonts w:ascii="Times New Roman" w:hAnsi="Times New Roman" w:cs="Times New Roman"/>
                <w:sz w:val="24"/>
                <w:szCs w:val="24"/>
                <w:lang w:val="lt-LT"/>
              </w:rPr>
              <w:t xml:space="preserve"> </w:t>
            </w:r>
            <w:r w:rsidRPr="002E79B9">
              <w:rPr>
                <w:rFonts w:ascii="Times New Roman" w:hAnsi="Times New Roman" w:cs="Times New Roman"/>
                <w:sz w:val="24"/>
                <w:szCs w:val="24"/>
                <w:lang w:val="lt-LT"/>
              </w:rPr>
              <w:t>m. E</w:t>
            </w:r>
            <w:r w:rsidR="003054CD" w:rsidRPr="002E79B9">
              <w:rPr>
                <w:rFonts w:ascii="Times New Roman" w:hAnsi="Times New Roman" w:cs="Times New Roman"/>
                <w:sz w:val="24"/>
                <w:szCs w:val="24"/>
                <w:lang w:val="lt-LT"/>
              </w:rPr>
              <w:t xml:space="preserve">uropos </w:t>
            </w:r>
            <w:r w:rsidRPr="002E79B9">
              <w:rPr>
                <w:rFonts w:ascii="Times New Roman" w:hAnsi="Times New Roman" w:cs="Times New Roman"/>
                <w:sz w:val="24"/>
                <w:szCs w:val="24"/>
                <w:lang w:val="lt-LT"/>
              </w:rPr>
              <w:t>S</w:t>
            </w:r>
            <w:r w:rsidR="003054CD" w:rsidRPr="002E79B9">
              <w:rPr>
                <w:rFonts w:ascii="Times New Roman" w:hAnsi="Times New Roman" w:cs="Times New Roman"/>
                <w:sz w:val="24"/>
                <w:szCs w:val="24"/>
                <w:lang w:val="lt-LT"/>
              </w:rPr>
              <w:t>ąjungos</w:t>
            </w:r>
            <w:r w:rsidRPr="002E79B9">
              <w:rPr>
                <w:rFonts w:ascii="Times New Roman" w:hAnsi="Times New Roman" w:cs="Times New Roman"/>
                <w:sz w:val="24"/>
                <w:szCs w:val="24"/>
                <w:lang w:val="lt-LT"/>
              </w:rPr>
              <w:t xml:space="preserve"> fondų investicijų. Todėl nurodomas ir 2021</w:t>
            </w:r>
            <w:r w:rsidR="00D407F9">
              <w:rPr>
                <w:rFonts w:ascii="Times New Roman" w:hAnsi="Times New Roman" w:cs="Times New Roman"/>
                <w:sz w:val="24"/>
                <w:szCs w:val="24"/>
                <w:lang w:val="lt-LT"/>
              </w:rPr>
              <w:t>–</w:t>
            </w:r>
            <w:r w:rsidRPr="002E79B9">
              <w:rPr>
                <w:rFonts w:ascii="Times New Roman" w:hAnsi="Times New Roman" w:cs="Times New Roman"/>
                <w:sz w:val="24"/>
                <w:szCs w:val="24"/>
                <w:lang w:val="lt-LT"/>
              </w:rPr>
              <w:t>2027 m. Veiksmų programos rezultato rodiklis, kurio siekiame E</w:t>
            </w:r>
            <w:r w:rsidR="003054CD" w:rsidRPr="002E79B9">
              <w:rPr>
                <w:rFonts w:ascii="Times New Roman" w:hAnsi="Times New Roman" w:cs="Times New Roman"/>
                <w:sz w:val="24"/>
                <w:szCs w:val="24"/>
                <w:lang w:val="lt-LT"/>
              </w:rPr>
              <w:t xml:space="preserve">uropos </w:t>
            </w:r>
            <w:r w:rsidRPr="002E79B9">
              <w:rPr>
                <w:rFonts w:ascii="Times New Roman" w:hAnsi="Times New Roman" w:cs="Times New Roman"/>
                <w:sz w:val="24"/>
                <w:szCs w:val="24"/>
                <w:lang w:val="lt-LT"/>
              </w:rPr>
              <w:t>S</w:t>
            </w:r>
            <w:r w:rsidR="003054CD" w:rsidRPr="002E79B9">
              <w:rPr>
                <w:rFonts w:ascii="Times New Roman" w:hAnsi="Times New Roman" w:cs="Times New Roman"/>
                <w:sz w:val="24"/>
                <w:szCs w:val="24"/>
                <w:lang w:val="lt-LT"/>
              </w:rPr>
              <w:t>ąjungos</w:t>
            </w:r>
            <w:r w:rsidRPr="002E79B9">
              <w:rPr>
                <w:rFonts w:ascii="Times New Roman" w:hAnsi="Times New Roman" w:cs="Times New Roman"/>
                <w:sz w:val="24"/>
                <w:szCs w:val="24"/>
                <w:lang w:val="lt-LT"/>
              </w:rPr>
              <w:t xml:space="preserve"> investicijomis </w:t>
            </w:r>
            <w:r w:rsidR="00D407F9">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 šiuo atveju tai yra </w:t>
            </w:r>
            <w:r w:rsidR="003054CD" w:rsidRPr="002E79B9">
              <w:rPr>
                <w:rFonts w:ascii="Times New Roman" w:hAnsi="Times New Roman" w:cs="Times New Roman"/>
                <w:sz w:val="24"/>
                <w:szCs w:val="24"/>
                <w:lang w:val="lt-LT"/>
              </w:rPr>
              <w:t>„</w:t>
            </w:r>
            <w:r w:rsidRPr="002E79B9">
              <w:rPr>
                <w:rFonts w:ascii="Times New Roman" w:hAnsi="Times New Roman" w:cs="Times New Roman"/>
                <w:sz w:val="24"/>
                <w:szCs w:val="24"/>
                <w:lang w:val="lt-LT"/>
              </w:rPr>
              <w:t xml:space="preserve">Paramą gavusių kultūros ir turizmo objektų </w:t>
            </w:r>
            <w:r w:rsidRPr="002E79B9">
              <w:rPr>
                <w:rFonts w:ascii="Times New Roman" w:hAnsi="Times New Roman" w:cs="Times New Roman"/>
                <w:sz w:val="24"/>
                <w:szCs w:val="24"/>
                <w:lang w:val="lt-LT"/>
              </w:rPr>
              <w:lastRenderedPageBreak/>
              <w:t>skaičius</w:t>
            </w:r>
            <w:r w:rsidR="003054CD" w:rsidRPr="002E79B9">
              <w:rPr>
                <w:rFonts w:ascii="Times New Roman" w:hAnsi="Times New Roman" w:cs="Times New Roman"/>
                <w:sz w:val="24"/>
                <w:szCs w:val="24"/>
                <w:lang w:val="lt-LT"/>
              </w:rPr>
              <w:t>“</w:t>
            </w:r>
            <w:r w:rsidRPr="002E79B9">
              <w:rPr>
                <w:rFonts w:ascii="Times New Roman" w:hAnsi="Times New Roman" w:cs="Times New Roman"/>
                <w:sz w:val="24"/>
                <w:szCs w:val="24"/>
                <w:lang w:val="lt-LT"/>
              </w:rPr>
              <w:t>. Priemonės veiklos nukreiptos į istorinės atminties aktualizavimo, komunikavimo visuomenei istorinėmis temomis, atminties institucijų (muziejų, bibliotekų, archyvų) rinkinių pateikimo formų modernizavimo veiklas</w:t>
            </w:r>
            <w:r w:rsidR="00D407F9">
              <w:rPr>
                <w:rFonts w:ascii="Times New Roman" w:hAnsi="Times New Roman" w:cs="Times New Roman"/>
                <w:sz w:val="24"/>
                <w:szCs w:val="24"/>
                <w:lang w:val="lt-LT"/>
              </w:rPr>
              <w:t>, todėl,</w:t>
            </w:r>
            <w:r w:rsidRPr="002E79B9">
              <w:rPr>
                <w:rFonts w:ascii="Times New Roman" w:hAnsi="Times New Roman" w:cs="Times New Roman"/>
                <w:sz w:val="24"/>
                <w:szCs w:val="24"/>
                <w:lang w:val="lt-LT"/>
              </w:rPr>
              <w:t xml:space="preserve"> atlikdami problemų-priežasčių analizę, sąsajų su E</w:t>
            </w:r>
            <w:r w:rsidR="003054CD" w:rsidRPr="002E79B9">
              <w:rPr>
                <w:rFonts w:ascii="Times New Roman" w:hAnsi="Times New Roman" w:cs="Times New Roman"/>
                <w:sz w:val="24"/>
                <w:szCs w:val="24"/>
                <w:lang w:val="lt-LT"/>
              </w:rPr>
              <w:t>konomikos ir inovacijų ministerijos</w:t>
            </w:r>
            <w:r w:rsidRPr="002E79B9">
              <w:rPr>
                <w:rFonts w:ascii="Times New Roman" w:hAnsi="Times New Roman" w:cs="Times New Roman"/>
                <w:sz w:val="24"/>
                <w:szCs w:val="24"/>
                <w:lang w:val="lt-LT"/>
              </w:rPr>
              <w:t xml:space="preserve"> veiklomis neidentifikuojame.</w:t>
            </w:r>
          </w:p>
        </w:tc>
      </w:tr>
      <w:tr w:rsidR="002E2D19" w:rsidRPr="002E79B9" w14:paraId="4D20323A" w14:textId="77777777" w:rsidTr="001716DA">
        <w:tc>
          <w:tcPr>
            <w:tcW w:w="567" w:type="dxa"/>
            <w:vMerge/>
          </w:tcPr>
          <w:p w14:paraId="75321C15" w14:textId="192D5683" w:rsidR="002E2D19" w:rsidRPr="002E79B9" w:rsidRDefault="002E2D19" w:rsidP="001716DA">
            <w:pPr>
              <w:jc w:val="both"/>
              <w:rPr>
                <w:rFonts w:ascii="Times New Roman" w:hAnsi="Times New Roman" w:cs="Times New Roman"/>
                <w:sz w:val="24"/>
                <w:szCs w:val="24"/>
                <w:lang w:val="lt-LT"/>
              </w:rPr>
            </w:pPr>
          </w:p>
        </w:tc>
        <w:tc>
          <w:tcPr>
            <w:tcW w:w="1490" w:type="dxa"/>
            <w:vMerge/>
          </w:tcPr>
          <w:p w14:paraId="380E3747" w14:textId="17FAE95B" w:rsidR="002E2D19" w:rsidRPr="002E79B9" w:rsidRDefault="002E2D19" w:rsidP="001716DA">
            <w:pPr>
              <w:jc w:val="both"/>
              <w:rPr>
                <w:rFonts w:ascii="Times New Roman" w:hAnsi="Times New Roman" w:cs="Times New Roman"/>
                <w:sz w:val="24"/>
                <w:szCs w:val="24"/>
                <w:lang w:val="lt-LT"/>
              </w:rPr>
            </w:pPr>
          </w:p>
        </w:tc>
        <w:tc>
          <w:tcPr>
            <w:tcW w:w="4748" w:type="dxa"/>
          </w:tcPr>
          <w:p w14:paraId="3D348209" w14:textId="277E7975"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3.5. Vadovaujantis galiojančiu 2021</w:t>
            </w:r>
            <w:r w:rsidR="00D407F9">
              <w:rPr>
                <w:rFonts w:ascii="Times New Roman" w:hAnsi="Times New Roman" w:cs="Times New Roman"/>
                <w:sz w:val="24"/>
                <w:szCs w:val="24"/>
                <w:lang w:val="lt-LT"/>
              </w:rPr>
              <w:t>–</w:t>
            </w:r>
            <w:r w:rsidRPr="002E79B9">
              <w:rPr>
                <w:rFonts w:ascii="Times New Roman" w:hAnsi="Times New Roman" w:cs="Times New Roman"/>
                <w:sz w:val="24"/>
                <w:szCs w:val="24"/>
                <w:lang w:val="lt-LT"/>
              </w:rPr>
              <w:t>2030 metų Nacionaliniu pažangos planu, uždavinys „Didinti kultūros ir kūrybinių industrijų potencialą ir skatinti kūrybiniu turiniu grįstų naujų produktų ir paslaugų kūrimą“ yra numeruojamas 1.8 numeriu, ne 1.9.</w:t>
            </w:r>
          </w:p>
        </w:tc>
        <w:tc>
          <w:tcPr>
            <w:tcW w:w="3180" w:type="dxa"/>
          </w:tcPr>
          <w:p w14:paraId="393DBD74" w14:textId="7742EBF3"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Neatsižvelgta</w:t>
            </w:r>
            <w:r w:rsidRPr="002E79B9">
              <w:rPr>
                <w:rFonts w:ascii="Times New Roman" w:hAnsi="Times New Roman" w:cs="Times New Roman"/>
                <w:sz w:val="24"/>
                <w:szCs w:val="24"/>
                <w:lang w:val="lt-LT"/>
              </w:rPr>
              <w:t xml:space="preserve">. </w:t>
            </w:r>
          </w:p>
          <w:p w14:paraId="523E3EAF" w14:textId="64360C6B"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3.5.1. Uždavinių numeracija nurodyta remiantis aktualiu 2021</w:t>
            </w:r>
            <w:r w:rsidR="00D407F9">
              <w:rPr>
                <w:rFonts w:ascii="Times New Roman" w:hAnsi="Times New Roman" w:cs="Times New Roman"/>
                <w:sz w:val="24"/>
                <w:szCs w:val="24"/>
                <w:lang w:val="lt-LT"/>
              </w:rPr>
              <w:t>–</w:t>
            </w:r>
            <w:r w:rsidRPr="002E79B9">
              <w:rPr>
                <w:rFonts w:ascii="Times New Roman" w:hAnsi="Times New Roman" w:cs="Times New Roman"/>
                <w:sz w:val="24"/>
                <w:szCs w:val="24"/>
                <w:lang w:val="lt-LT"/>
              </w:rPr>
              <w:t>2030 metų Nacionalinio pažangos plano pakeitimo projektu.</w:t>
            </w:r>
          </w:p>
        </w:tc>
      </w:tr>
      <w:tr w:rsidR="002E2D19" w:rsidRPr="002E79B9" w14:paraId="287A0896" w14:textId="77777777" w:rsidTr="001716DA">
        <w:tc>
          <w:tcPr>
            <w:tcW w:w="567" w:type="dxa"/>
            <w:vMerge/>
          </w:tcPr>
          <w:p w14:paraId="0FE509CA" w14:textId="3BA3170A" w:rsidR="002E2D19" w:rsidRPr="002E79B9" w:rsidRDefault="002E2D19" w:rsidP="001716DA">
            <w:pPr>
              <w:jc w:val="both"/>
              <w:rPr>
                <w:rFonts w:ascii="Times New Roman" w:hAnsi="Times New Roman" w:cs="Times New Roman"/>
                <w:sz w:val="24"/>
                <w:szCs w:val="24"/>
                <w:lang w:val="lt-LT"/>
              </w:rPr>
            </w:pPr>
          </w:p>
        </w:tc>
        <w:tc>
          <w:tcPr>
            <w:tcW w:w="1490" w:type="dxa"/>
            <w:vMerge/>
          </w:tcPr>
          <w:p w14:paraId="14D7A545" w14:textId="7C13ECCB" w:rsidR="002E2D19" w:rsidRPr="002E79B9" w:rsidRDefault="002E2D19" w:rsidP="001716DA">
            <w:pPr>
              <w:jc w:val="both"/>
              <w:rPr>
                <w:rFonts w:ascii="Times New Roman" w:hAnsi="Times New Roman" w:cs="Times New Roman"/>
                <w:sz w:val="24"/>
                <w:szCs w:val="24"/>
                <w:lang w:val="lt-LT"/>
              </w:rPr>
            </w:pPr>
          </w:p>
        </w:tc>
        <w:tc>
          <w:tcPr>
            <w:tcW w:w="4748" w:type="dxa"/>
          </w:tcPr>
          <w:p w14:paraId="6995972C" w14:textId="5C5AB11A"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3.6. Siūlome formuojant Kultūros ir kūrybingumo plėtros programos veiksmus įgyvendinančias priemones numatyti papildomus su inovatyvumu, verslo ir mokslo bendradarbiavimu, mokslinių tyrimų, eksperimentinės plėtros ir inovacijų (MTEPI) taikymu susijusius vertinimo kriterijus ir tiems projektams, kuriuose šie rodikliai būtų taikomi, numatyti skirti papildomų vertinimo balų. T. y. jei ministerijos plėtros programos veiksmo įgyvendinamoje priemonėje teikiama paraiška ir joje numatoma veiksmą spręsti pasitelkiant inovacijas, MTEPI sprendimus, verslo ir mokslo bendradarbiavimą, tokia paraiška automatiškai gautų papildomus balus ir būtų prioritetinė.</w:t>
            </w:r>
          </w:p>
        </w:tc>
        <w:tc>
          <w:tcPr>
            <w:tcW w:w="3180" w:type="dxa"/>
          </w:tcPr>
          <w:p w14:paraId="2C0D71E7" w14:textId="527796DC"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b/>
                <w:bCs/>
                <w:sz w:val="24"/>
                <w:szCs w:val="24"/>
                <w:lang w:val="lt-LT"/>
              </w:rPr>
              <w:t>Atsižvelgta</w:t>
            </w:r>
            <w:r w:rsidRPr="002E79B9">
              <w:rPr>
                <w:rFonts w:ascii="Times New Roman" w:hAnsi="Times New Roman" w:cs="Times New Roman"/>
                <w:sz w:val="24"/>
                <w:szCs w:val="24"/>
                <w:lang w:val="lt-LT"/>
              </w:rPr>
              <w:t xml:space="preserve">. </w:t>
            </w:r>
          </w:p>
          <w:p w14:paraId="6E5DDBBB" w14:textId="5F198893" w:rsidR="002E2D19" w:rsidRPr="002E79B9" w:rsidRDefault="002E2D19"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3.6.1. Formuojant Kultūros ir kūrybingumo plėtros programos veiksmus įgyvendinančias pažangos priemones ir įvertinus su inovatyvumu, verslo ir mokslo bendradarbiavimu, MTEPI taikymu susijusių vertinimo kriterijų tikslingumą konkrečioje priemonėje, šie vertinimo kriterijai bus numatomi ir taikomi.</w:t>
            </w:r>
          </w:p>
          <w:p w14:paraId="0512361B" w14:textId="4E068491" w:rsidR="002E2D19" w:rsidRPr="002E79B9" w:rsidRDefault="002E2D19" w:rsidP="001716DA">
            <w:pPr>
              <w:jc w:val="both"/>
              <w:rPr>
                <w:rFonts w:ascii="Times New Roman" w:hAnsi="Times New Roman" w:cs="Times New Roman"/>
                <w:sz w:val="24"/>
                <w:szCs w:val="24"/>
                <w:lang w:val="lt-LT"/>
              </w:rPr>
            </w:pPr>
          </w:p>
        </w:tc>
      </w:tr>
      <w:tr w:rsidR="1FA567A6" w:rsidRPr="002E79B9" w14:paraId="26CF9917" w14:textId="77777777" w:rsidTr="001716DA">
        <w:tc>
          <w:tcPr>
            <w:tcW w:w="567" w:type="dxa"/>
          </w:tcPr>
          <w:p w14:paraId="2801D245" w14:textId="156D5FA3" w:rsidR="1FA567A6" w:rsidRPr="002E79B9" w:rsidRDefault="02356AFC"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4.</w:t>
            </w:r>
          </w:p>
        </w:tc>
        <w:tc>
          <w:tcPr>
            <w:tcW w:w="1490" w:type="dxa"/>
          </w:tcPr>
          <w:p w14:paraId="314ADF43" w14:textId="47949CC1" w:rsidR="1FA567A6" w:rsidRPr="002E79B9" w:rsidRDefault="00D407F9" w:rsidP="001716DA">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w:t>
            </w:r>
            <w:r w:rsidR="000B2FB8">
              <w:rPr>
                <w:rFonts w:ascii="Times New Roman" w:hAnsi="Times New Roman" w:cs="Times New Roman"/>
                <w:sz w:val="24"/>
                <w:szCs w:val="24"/>
                <w:lang w:val="lt-LT"/>
              </w:rPr>
              <w:t xml:space="preserve"> u</w:t>
            </w:r>
            <w:r w:rsidR="02356AFC" w:rsidRPr="002E79B9">
              <w:rPr>
                <w:rFonts w:ascii="Times New Roman" w:hAnsi="Times New Roman" w:cs="Times New Roman"/>
                <w:sz w:val="24"/>
                <w:szCs w:val="24"/>
                <w:lang w:val="lt-LT"/>
              </w:rPr>
              <w:t>žsienio reikalų ministerija</w:t>
            </w:r>
          </w:p>
        </w:tc>
        <w:tc>
          <w:tcPr>
            <w:tcW w:w="4748" w:type="dxa"/>
          </w:tcPr>
          <w:p w14:paraId="754D767D" w14:textId="21EA56AB" w:rsidR="1FA567A6" w:rsidRPr="002E79B9" w:rsidRDefault="02356AFC" w:rsidP="001716DA">
            <w:pPr>
              <w:jc w:val="both"/>
              <w:rPr>
                <w:rFonts w:ascii="Times New Roman" w:hAnsi="Times New Roman" w:cs="Times New Roman"/>
                <w:sz w:val="24"/>
                <w:szCs w:val="24"/>
                <w:lang w:val="lt-LT"/>
              </w:rPr>
            </w:pPr>
            <w:r w:rsidRPr="002E79B9">
              <w:rPr>
                <w:rFonts w:ascii="Times New Roman" w:hAnsi="Times New Roman" w:cs="Times New Roman"/>
                <w:sz w:val="24"/>
                <w:szCs w:val="24"/>
                <w:lang w:val="lt-LT"/>
              </w:rPr>
              <w:t xml:space="preserve">Atsižvelgdami į tai, kad kai kurių plėtros programoje numatomų spręsti problemų priežastys bus sprendžiamos įgyvendinant ir Užsienio reikalų ministerijos tęstinės veiklos priemones, siūlome plėtros programos pagrindimo formoje iš 6.1.4 papunkčio paskutinės pastraipos („Ši priežastis turi būti sprendžiama taip pat Užsienio reikalų ministerijos įgyvendinamomis plėtros programos priemonėmis“) išbraukti žodžius „plėtros programos“, atitinkamai patikslinant plėtros programos formos 6.1.4 papunktį („Daliai Lietuvai reikšmingo kilnojamojo kultūros paveldo tebesant užsienyje visuomenei nesudarytos galimybės su juo susipažinti. </w:t>
            </w:r>
            <w:proofErr w:type="spellStart"/>
            <w:r w:rsidRPr="002E79B9">
              <w:rPr>
                <w:rFonts w:ascii="Times New Roman" w:hAnsi="Times New Roman" w:cs="Times New Roman"/>
                <w:sz w:val="24"/>
                <w:szCs w:val="24"/>
                <w:lang w:val="lt-LT"/>
              </w:rPr>
              <w:t>Subpriežastis</w:t>
            </w:r>
            <w:proofErr w:type="spellEnd"/>
            <w:r w:rsidRPr="002E79B9">
              <w:rPr>
                <w:rFonts w:ascii="Times New Roman" w:hAnsi="Times New Roman" w:cs="Times New Roman"/>
                <w:sz w:val="24"/>
                <w:szCs w:val="24"/>
                <w:lang w:val="lt-LT"/>
              </w:rPr>
              <w:t xml:space="preserve"> iš dalies turi būti sprendžiama Užsienyje matoma ir įtakinga Lietuva plėtros programos veiklomis.“), jame </w:t>
            </w:r>
            <w:r w:rsidRPr="002E79B9">
              <w:rPr>
                <w:rFonts w:ascii="Times New Roman" w:hAnsi="Times New Roman" w:cs="Times New Roman"/>
                <w:sz w:val="24"/>
                <w:szCs w:val="24"/>
                <w:lang w:val="lt-LT"/>
              </w:rPr>
              <w:lastRenderedPageBreak/>
              <w:t>vietoj žodžių „Užsienyje matoma ir įtakinga Lietuva plėtros programos veiklomis“ įrašant žodžius „Užsienio reikalų ministerijos įgyvendinamomis priemonėmis“. Be to, plėtros programos 3.2.3 papunkčio paskutinėje pastraipoje („Ši priežastis negali būti pilnai išsprendžiama Kultūros ministerijos pastangomis ir priemonėmis, reikalingas platesnis susitarimas ir bendradarbiavimas tarp URM, EIM, LRVK bei sąveika tarp atitinkamų plėtros programų.“) siūlome išbraukti žodžius „bei sąveika tarp atitinkamų plėtros programų“ bei atitinkamai koreguoti plėtros programos formą</w:t>
            </w:r>
            <w:r w:rsidR="002E79B9">
              <w:rPr>
                <w:rFonts w:ascii="Times New Roman" w:hAnsi="Times New Roman" w:cs="Times New Roman"/>
                <w:sz w:val="24"/>
                <w:szCs w:val="24"/>
                <w:lang w:val="lt-LT"/>
              </w:rPr>
              <w:t>.</w:t>
            </w:r>
          </w:p>
        </w:tc>
        <w:tc>
          <w:tcPr>
            <w:tcW w:w="3180" w:type="dxa"/>
          </w:tcPr>
          <w:p w14:paraId="30FF0B0C" w14:textId="77E8E9F2" w:rsidR="1FA567A6" w:rsidRPr="002E79B9" w:rsidRDefault="02356AFC" w:rsidP="001716DA">
            <w:pPr>
              <w:jc w:val="both"/>
              <w:rPr>
                <w:rFonts w:ascii="Times New Roman" w:hAnsi="Times New Roman" w:cs="Times New Roman"/>
                <w:b/>
                <w:bCs/>
                <w:sz w:val="24"/>
                <w:szCs w:val="24"/>
                <w:lang w:val="lt-LT"/>
              </w:rPr>
            </w:pPr>
            <w:r w:rsidRPr="002E79B9">
              <w:rPr>
                <w:rFonts w:ascii="Times New Roman" w:hAnsi="Times New Roman" w:cs="Times New Roman"/>
                <w:b/>
                <w:bCs/>
                <w:sz w:val="24"/>
                <w:szCs w:val="24"/>
                <w:lang w:val="lt-LT"/>
              </w:rPr>
              <w:lastRenderedPageBreak/>
              <w:t>Atsižvelgta.</w:t>
            </w:r>
          </w:p>
        </w:tc>
      </w:tr>
    </w:tbl>
    <w:p w14:paraId="68294B7A" w14:textId="028823C1" w:rsidR="008B0E9C" w:rsidRPr="00D407F9" w:rsidRDefault="008B0E9C">
      <w:pPr>
        <w:rPr>
          <w:rFonts w:ascii="Times New Roman" w:hAnsi="Times New Roman" w:cs="Times New Roman"/>
          <w:lang w:val="lt-LT"/>
        </w:rPr>
      </w:pPr>
    </w:p>
    <w:p w14:paraId="3EAD3CBD" w14:textId="10C1F97A" w:rsidR="008B0E9C" w:rsidRPr="00D407F9" w:rsidRDefault="008B0E9C">
      <w:pPr>
        <w:rPr>
          <w:rFonts w:ascii="Times New Roman" w:hAnsi="Times New Roman" w:cs="Times New Roman"/>
          <w:lang w:val="lt-LT"/>
        </w:rPr>
      </w:pPr>
    </w:p>
    <w:sectPr w:rsidR="008B0E9C" w:rsidRPr="00D407F9" w:rsidSect="001716DA">
      <w:footerReference w:type="default" r:id="rId11"/>
      <w:pgSz w:w="11906" w:h="16838"/>
      <w:pgMar w:top="900" w:right="83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53BF" w14:textId="77777777" w:rsidR="00993E2A" w:rsidRDefault="00993E2A" w:rsidP="00310AE4">
      <w:pPr>
        <w:spacing w:after="0" w:line="240" w:lineRule="auto"/>
      </w:pPr>
      <w:r>
        <w:separator/>
      </w:r>
    </w:p>
  </w:endnote>
  <w:endnote w:type="continuationSeparator" w:id="0">
    <w:p w14:paraId="43FAEE45" w14:textId="77777777" w:rsidR="00993E2A" w:rsidRDefault="00993E2A" w:rsidP="0031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Regular">
    <w:altName w:val="Yu Gothic"/>
    <w:panose1 w:val="00000000000000000000"/>
    <w:charset w:val="80"/>
    <w:family w:val="auto"/>
    <w:notTrueType/>
    <w:pitch w:val="default"/>
    <w:sig w:usb0="00000001" w:usb1="08070000" w:usb2="00000010" w:usb3="00000000" w:csb0="00020000" w:csb1="00000000"/>
  </w:font>
  <w:font w:name="Montserrat-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11642"/>
      <w:docPartObj>
        <w:docPartGallery w:val="Page Numbers (Bottom of Page)"/>
        <w:docPartUnique/>
      </w:docPartObj>
    </w:sdtPr>
    <w:sdtContent>
      <w:p w14:paraId="43E25E45" w14:textId="738740CF" w:rsidR="004D2210" w:rsidRDefault="004D2210">
        <w:pPr>
          <w:pStyle w:val="Footer"/>
          <w:jc w:val="right"/>
        </w:pPr>
        <w:r>
          <w:fldChar w:fldCharType="begin"/>
        </w:r>
        <w:r>
          <w:instrText>PAGE   \* MERGEFORMAT</w:instrText>
        </w:r>
        <w:r>
          <w:fldChar w:fldCharType="separate"/>
        </w:r>
        <w:r>
          <w:rPr>
            <w:lang w:val="lt-LT"/>
          </w:rPr>
          <w:t>2</w:t>
        </w:r>
        <w:r>
          <w:fldChar w:fldCharType="end"/>
        </w:r>
      </w:p>
    </w:sdtContent>
  </w:sdt>
  <w:p w14:paraId="0E518EF2" w14:textId="77777777" w:rsidR="004D2210" w:rsidRDefault="004D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94DA" w14:textId="77777777" w:rsidR="00993E2A" w:rsidRDefault="00993E2A" w:rsidP="00310AE4">
      <w:pPr>
        <w:spacing w:after="0" w:line="240" w:lineRule="auto"/>
      </w:pPr>
      <w:r>
        <w:separator/>
      </w:r>
    </w:p>
  </w:footnote>
  <w:footnote w:type="continuationSeparator" w:id="0">
    <w:p w14:paraId="35AD8444" w14:textId="77777777" w:rsidR="00993E2A" w:rsidRDefault="00993E2A" w:rsidP="00310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47E99"/>
    <w:multiLevelType w:val="multilevel"/>
    <w:tmpl w:val="EB1888D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9C"/>
    <w:rsid w:val="00001F85"/>
    <w:rsid w:val="000346FD"/>
    <w:rsid w:val="000B2FB8"/>
    <w:rsid w:val="000B7792"/>
    <w:rsid w:val="001161DC"/>
    <w:rsid w:val="001415C3"/>
    <w:rsid w:val="001716DA"/>
    <w:rsid w:val="00185CE1"/>
    <w:rsid w:val="00191B34"/>
    <w:rsid w:val="00253378"/>
    <w:rsid w:val="002900EE"/>
    <w:rsid w:val="002E2D19"/>
    <w:rsid w:val="002E79B9"/>
    <w:rsid w:val="003054CD"/>
    <w:rsid w:val="00310AE4"/>
    <w:rsid w:val="00321C68"/>
    <w:rsid w:val="00344D74"/>
    <w:rsid w:val="003618FB"/>
    <w:rsid w:val="003B000A"/>
    <w:rsid w:val="003F3D7F"/>
    <w:rsid w:val="00402927"/>
    <w:rsid w:val="00431E64"/>
    <w:rsid w:val="00450342"/>
    <w:rsid w:val="0045786D"/>
    <w:rsid w:val="004A1A5C"/>
    <w:rsid w:val="004D2210"/>
    <w:rsid w:val="00526370"/>
    <w:rsid w:val="00562B77"/>
    <w:rsid w:val="005B2179"/>
    <w:rsid w:val="005F2815"/>
    <w:rsid w:val="0063642F"/>
    <w:rsid w:val="0065568B"/>
    <w:rsid w:val="006B4538"/>
    <w:rsid w:val="006F2CE5"/>
    <w:rsid w:val="008B0E9C"/>
    <w:rsid w:val="00993E2A"/>
    <w:rsid w:val="009D1E1F"/>
    <w:rsid w:val="00A3588C"/>
    <w:rsid w:val="00AF48AF"/>
    <w:rsid w:val="00B051EC"/>
    <w:rsid w:val="00B52F7B"/>
    <w:rsid w:val="00BC1DA8"/>
    <w:rsid w:val="00C361ED"/>
    <w:rsid w:val="00D407F9"/>
    <w:rsid w:val="00DF34F1"/>
    <w:rsid w:val="00DF3632"/>
    <w:rsid w:val="00EB415C"/>
    <w:rsid w:val="00F056E9"/>
    <w:rsid w:val="00F138A1"/>
    <w:rsid w:val="00F74B95"/>
    <w:rsid w:val="00FA2867"/>
    <w:rsid w:val="00FC71A3"/>
    <w:rsid w:val="00FE24D9"/>
    <w:rsid w:val="00FE4E28"/>
    <w:rsid w:val="01C24F12"/>
    <w:rsid w:val="02356AFC"/>
    <w:rsid w:val="02E73DCD"/>
    <w:rsid w:val="0316886E"/>
    <w:rsid w:val="0332BC00"/>
    <w:rsid w:val="03B21408"/>
    <w:rsid w:val="0453FD24"/>
    <w:rsid w:val="048930CB"/>
    <w:rsid w:val="04F13900"/>
    <w:rsid w:val="06D98834"/>
    <w:rsid w:val="0763E131"/>
    <w:rsid w:val="07F89B23"/>
    <w:rsid w:val="0B058F05"/>
    <w:rsid w:val="0E467E13"/>
    <w:rsid w:val="0E962EAC"/>
    <w:rsid w:val="0ECC5FBD"/>
    <w:rsid w:val="0F530E59"/>
    <w:rsid w:val="100656AD"/>
    <w:rsid w:val="11B46AA3"/>
    <w:rsid w:val="12C5F968"/>
    <w:rsid w:val="157F7489"/>
    <w:rsid w:val="1582F1E9"/>
    <w:rsid w:val="1588C7D3"/>
    <w:rsid w:val="169D8E2E"/>
    <w:rsid w:val="16CBA3C5"/>
    <w:rsid w:val="19543111"/>
    <w:rsid w:val="196028FC"/>
    <w:rsid w:val="19AA161C"/>
    <w:rsid w:val="1ADA4293"/>
    <w:rsid w:val="1BECE5A5"/>
    <w:rsid w:val="1C61C04E"/>
    <w:rsid w:val="1D0EC783"/>
    <w:rsid w:val="1EFF5D0E"/>
    <w:rsid w:val="1F589B07"/>
    <w:rsid w:val="1FA567A6"/>
    <w:rsid w:val="1FB0A6C4"/>
    <w:rsid w:val="1FEB5599"/>
    <w:rsid w:val="20893B48"/>
    <w:rsid w:val="235459AE"/>
    <w:rsid w:val="236E4065"/>
    <w:rsid w:val="24F8FEFD"/>
    <w:rsid w:val="25C4D995"/>
    <w:rsid w:val="25C94E97"/>
    <w:rsid w:val="266BAFD1"/>
    <w:rsid w:val="2887AE7E"/>
    <w:rsid w:val="2AD5FEFE"/>
    <w:rsid w:val="2BB0634F"/>
    <w:rsid w:val="2CB8CA5F"/>
    <w:rsid w:val="2D3BD77B"/>
    <w:rsid w:val="2DBE0AE2"/>
    <w:rsid w:val="2DBFF79D"/>
    <w:rsid w:val="2E20E732"/>
    <w:rsid w:val="2ED13AA9"/>
    <w:rsid w:val="2FD672BF"/>
    <w:rsid w:val="3039CD22"/>
    <w:rsid w:val="308221B8"/>
    <w:rsid w:val="318BEBCF"/>
    <w:rsid w:val="31B3EFCA"/>
    <w:rsid w:val="328AAC3F"/>
    <w:rsid w:val="32C368D0"/>
    <w:rsid w:val="347A5C19"/>
    <w:rsid w:val="3535F2E7"/>
    <w:rsid w:val="35E3A5CA"/>
    <w:rsid w:val="39FD3C5C"/>
    <w:rsid w:val="3A293120"/>
    <w:rsid w:val="3AAEE1C2"/>
    <w:rsid w:val="3B8C0C0E"/>
    <w:rsid w:val="3C924BF1"/>
    <w:rsid w:val="3D27DC6F"/>
    <w:rsid w:val="3D6A5627"/>
    <w:rsid w:val="3E1C74E5"/>
    <w:rsid w:val="3F5A1758"/>
    <w:rsid w:val="4093252E"/>
    <w:rsid w:val="4114EC6B"/>
    <w:rsid w:val="411629F6"/>
    <w:rsid w:val="4118BA2E"/>
    <w:rsid w:val="41CEC9FB"/>
    <w:rsid w:val="41FB4D92"/>
    <w:rsid w:val="465DE167"/>
    <w:rsid w:val="47E40873"/>
    <w:rsid w:val="48F7650E"/>
    <w:rsid w:val="48F92B76"/>
    <w:rsid w:val="49427CDF"/>
    <w:rsid w:val="4A474270"/>
    <w:rsid w:val="4A770278"/>
    <w:rsid w:val="4A847B69"/>
    <w:rsid w:val="4B433063"/>
    <w:rsid w:val="4BE312D1"/>
    <w:rsid w:val="4CDF00C4"/>
    <w:rsid w:val="4E2745F0"/>
    <w:rsid w:val="51AB8BA4"/>
    <w:rsid w:val="51DD26AA"/>
    <w:rsid w:val="520DC885"/>
    <w:rsid w:val="523D0057"/>
    <w:rsid w:val="545BDDC4"/>
    <w:rsid w:val="54DE994E"/>
    <w:rsid w:val="584984E2"/>
    <w:rsid w:val="5854BF54"/>
    <w:rsid w:val="58A6EB5C"/>
    <w:rsid w:val="58A86D7C"/>
    <w:rsid w:val="58B983DD"/>
    <w:rsid w:val="591B484C"/>
    <w:rsid w:val="597632BB"/>
    <w:rsid w:val="5BF20DE9"/>
    <w:rsid w:val="5DA1B24F"/>
    <w:rsid w:val="5FA7FAA4"/>
    <w:rsid w:val="6080BAF4"/>
    <w:rsid w:val="60A1771C"/>
    <w:rsid w:val="612348C3"/>
    <w:rsid w:val="62C2CF35"/>
    <w:rsid w:val="63223D9A"/>
    <w:rsid w:val="644CAFAA"/>
    <w:rsid w:val="644D0AC7"/>
    <w:rsid w:val="646BF50E"/>
    <w:rsid w:val="65637A97"/>
    <w:rsid w:val="65DA60BB"/>
    <w:rsid w:val="666344CF"/>
    <w:rsid w:val="68A53377"/>
    <w:rsid w:val="690E94A9"/>
    <w:rsid w:val="6BD2BC1B"/>
    <w:rsid w:val="6E13F762"/>
    <w:rsid w:val="6E33A78C"/>
    <w:rsid w:val="6E95DDE2"/>
    <w:rsid w:val="7195494B"/>
    <w:rsid w:val="7360E907"/>
    <w:rsid w:val="7382CF4F"/>
    <w:rsid w:val="75096B2B"/>
    <w:rsid w:val="758D9D4D"/>
    <w:rsid w:val="766D6154"/>
    <w:rsid w:val="77C3A87A"/>
    <w:rsid w:val="77DA89D2"/>
    <w:rsid w:val="78240211"/>
    <w:rsid w:val="782BDE54"/>
    <w:rsid w:val="78BEC080"/>
    <w:rsid w:val="7A5E01BB"/>
    <w:rsid w:val="7AF91688"/>
    <w:rsid w:val="7B30F866"/>
    <w:rsid w:val="7D04D98A"/>
    <w:rsid w:val="7FACD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A4E2"/>
  <w15:docId w15:val="{950CCF6E-F1D1-4715-9123-C77F952C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B0E9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B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B95"/>
    <w:pPr>
      <w:ind w:left="720"/>
      <w:contextualSpacing/>
    </w:pPr>
  </w:style>
  <w:style w:type="character" w:styleId="CommentReference">
    <w:name w:val="annotation reference"/>
    <w:basedOn w:val="DefaultParagraphFont"/>
    <w:uiPriority w:val="99"/>
    <w:semiHidden/>
    <w:unhideWhenUsed/>
    <w:rsid w:val="006B4538"/>
    <w:rPr>
      <w:sz w:val="16"/>
      <w:szCs w:val="16"/>
    </w:rPr>
  </w:style>
  <w:style w:type="paragraph" w:styleId="CommentText">
    <w:name w:val="annotation text"/>
    <w:basedOn w:val="Normal"/>
    <w:link w:val="CommentTextChar"/>
    <w:uiPriority w:val="99"/>
    <w:semiHidden/>
    <w:unhideWhenUsed/>
    <w:rsid w:val="006B4538"/>
    <w:pPr>
      <w:spacing w:line="240" w:lineRule="auto"/>
    </w:pPr>
    <w:rPr>
      <w:sz w:val="20"/>
      <w:szCs w:val="20"/>
    </w:rPr>
  </w:style>
  <w:style w:type="character" w:customStyle="1" w:styleId="CommentTextChar">
    <w:name w:val="Comment Text Char"/>
    <w:basedOn w:val="DefaultParagraphFont"/>
    <w:link w:val="CommentText"/>
    <w:uiPriority w:val="99"/>
    <w:semiHidden/>
    <w:rsid w:val="006B4538"/>
    <w:rPr>
      <w:sz w:val="20"/>
      <w:szCs w:val="20"/>
    </w:rPr>
  </w:style>
  <w:style w:type="paragraph" w:styleId="CommentSubject">
    <w:name w:val="annotation subject"/>
    <w:basedOn w:val="CommentText"/>
    <w:next w:val="CommentText"/>
    <w:link w:val="CommentSubjectChar"/>
    <w:uiPriority w:val="99"/>
    <w:semiHidden/>
    <w:unhideWhenUsed/>
    <w:rsid w:val="006B4538"/>
    <w:rPr>
      <w:b/>
      <w:bCs/>
    </w:rPr>
  </w:style>
  <w:style w:type="character" w:customStyle="1" w:styleId="CommentSubjectChar">
    <w:name w:val="Comment Subject Char"/>
    <w:basedOn w:val="CommentTextChar"/>
    <w:link w:val="CommentSubject"/>
    <w:uiPriority w:val="99"/>
    <w:semiHidden/>
    <w:rsid w:val="006B4538"/>
    <w:rPr>
      <w:b/>
      <w:bCs/>
      <w:sz w:val="20"/>
      <w:szCs w:val="20"/>
    </w:rPr>
  </w:style>
  <w:style w:type="paragraph" w:styleId="Header">
    <w:name w:val="header"/>
    <w:basedOn w:val="Normal"/>
    <w:link w:val="HeaderChar"/>
    <w:uiPriority w:val="99"/>
    <w:unhideWhenUsed/>
    <w:rsid w:val="00310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E4"/>
  </w:style>
  <w:style w:type="paragraph" w:styleId="Footer">
    <w:name w:val="footer"/>
    <w:basedOn w:val="Normal"/>
    <w:link w:val="FooterChar"/>
    <w:uiPriority w:val="99"/>
    <w:unhideWhenUsed/>
    <w:rsid w:val="0031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89154">
      <w:bodyDiv w:val="1"/>
      <w:marLeft w:val="0"/>
      <w:marRight w:val="0"/>
      <w:marTop w:val="0"/>
      <w:marBottom w:val="0"/>
      <w:divBdr>
        <w:top w:val="none" w:sz="0" w:space="0" w:color="auto"/>
        <w:left w:val="none" w:sz="0" w:space="0" w:color="auto"/>
        <w:bottom w:val="none" w:sz="0" w:space="0" w:color="auto"/>
        <w:right w:val="none" w:sz="0" w:space="0" w:color="auto"/>
      </w:divBdr>
    </w:div>
    <w:div w:id="1109738567">
      <w:bodyDiv w:val="1"/>
      <w:marLeft w:val="0"/>
      <w:marRight w:val="0"/>
      <w:marTop w:val="0"/>
      <w:marBottom w:val="0"/>
      <w:divBdr>
        <w:top w:val="none" w:sz="0" w:space="0" w:color="auto"/>
        <w:left w:val="none" w:sz="0" w:space="0" w:color="auto"/>
        <w:bottom w:val="none" w:sz="0" w:space="0" w:color="auto"/>
        <w:right w:val="none" w:sz="0" w:space="0" w:color="auto"/>
      </w:divBdr>
      <w:divsChild>
        <w:div w:id="1441412266">
          <w:marLeft w:val="0"/>
          <w:marRight w:val="0"/>
          <w:marTop w:val="0"/>
          <w:marBottom w:val="0"/>
          <w:divBdr>
            <w:top w:val="none" w:sz="0" w:space="0" w:color="auto"/>
            <w:left w:val="none" w:sz="0" w:space="0" w:color="auto"/>
            <w:bottom w:val="none" w:sz="0" w:space="0" w:color="auto"/>
            <w:right w:val="none" w:sz="0" w:space="0" w:color="auto"/>
          </w:divBdr>
          <w:divsChild>
            <w:div w:id="186261548">
              <w:marLeft w:val="0"/>
              <w:marRight w:val="0"/>
              <w:marTop w:val="0"/>
              <w:marBottom w:val="0"/>
              <w:divBdr>
                <w:top w:val="none" w:sz="0" w:space="0" w:color="auto"/>
                <w:left w:val="none" w:sz="0" w:space="0" w:color="auto"/>
                <w:bottom w:val="none" w:sz="0" w:space="0" w:color="auto"/>
                <w:right w:val="none" w:sz="0" w:space="0" w:color="auto"/>
              </w:divBdr>
              <w:divsChild>
                <w:div w:id="1586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D3C1440AD566B47A7EAF8C67EE72933" ma:contentTypeVersion="11" ma:contentTypeDescription="Kurkite naują dokumentą." ma:contentTypeScope="" ma:versionID="88b5481c06211c48bbf9fb55d48a2f4b">
  <xsd:schema xmlns:xsd="http://www.w3.org/2001/XMLSchema" xmlns:xs="http://www.w3.org/2001/XMLSchema" xmlns:p="http://schemas.microsoft.com/office/2006/metadata/properties" xmlns:ns3="8dcc38ff-e174-47e5-9c6a-e197489c53d8" xmlns:ns4="79e2a38e-3272-4a45-9ec0-eb540a2c99cb" targetNamespace="http://schemas.microsoft.com/office/2006/metadata/properties" ma:root="true" ma:fieldsID="d9c9c976617c37273230be12231d84a9" ns3:_="" ns4:_="">
    <xsd:import namespace="8dcc38ff-e174-47e5-9c6a-e197489c53d8"/>
    <xsd:import namespace="79e2a38e-3272-4a45-9ec0-eb540a2c99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c38ff-e174-47e5-9c6a-e197489c5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e2a38e-3272-4a45-9ec0-eb540a2c99cb"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8F256-BAC8-4D96-B0C2-011DA8322361}">
  <ds:schemaRefs>
    <ds:schemaRef ds:uri="http://schemas.openxmlformats.org/officeDocument/2006/bibliography"/>
  </ds:schemaRefs>
</ds:datastoreItem>
</file>

<file path=customXml/itemProps2.xml><?xml version="1.0" encoding="utf-8"?>
<ds:datastoreItem xmlns:ds="http://schemas.openxmlformats.org/officeDocument/2006/customXml" ds:itemID="{92D63F81-B74D-4856-BB23-9FE7270C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c38ff-e174-47e5-9c6a-e197489c53d8"/>
    <ds:schemaRef ds:uri="79e2a38e-3272-4a45-9ec0-eb540a2c9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5F0CA-D6C3-484C-9700-BA40D63E1783}">
  <ds:schemaRefs>
    <ds:schemaRef ds:uri="http://schemas.microsoft.com/sharepoint/v3/contenttype/forms"/>
  </ds:schemaRefs>
</ds:datastoreItem>
</file>

<file path=customXml/itemProps4.xml><?xml version="1.0" encoding="utf-8"?>
<ds:datastoreItem xmlns:ds="http://schemas.openxmlformats.org/officeDocument/2006/customXml" ds:itemID="{30FC0130-8EA8-49BC-8BFB-7EA21C1AC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7736</Words>
  <Characters>4411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IRD prie VRM</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Gasperė</dc:creator>
  <cp:lastModifiedBy>Saulius Zubrys</cp:lastModifiedBy>
  <cp:revision>3</cp:revision>
  <dcterms:created xsi:type="dcterms:W3CDTF">2021-07-23T07:59:00Z</dcterms:created>
  <dcterms:modified xsi:type="dcterms:W3CDTF">2021-07-23T09:05:00Z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0x0101004D3C1440AD566B47A7EAF8C67EE72933</vt:lpwstr>
  </property>
</Properties>
</file>