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C43" w:rsidRDefault="000F3C43" w:rsidP="00E7130D">
      <w:pPr>
        <w:jc w:val="center"/>
        <w:rPr>
          <w:rFonts w:eastAsia="Times New Roman"/>
          <w:b/>
        </w:rPr>
      </w:pPr>
    </w:p>
    <w:p w:rsidR="00E7130D" w:rsidRDefault="00E7130D" w:rsidP="00E7130D">
      <w:pPr>
        <w:jc w:val="center"/>
        <w:rPr>
          <w:rFonts w:eastAsia="Times New Roman"/>
          <w:b/>
        </w:rPr>
      </w:pPr>
      <w:r w:rsidRPr="002907FE">
        <w:rPr>
          <w:rFonts w:eastAsia="Times New Roman"/>
          <w:b/>
        </w:rPr>
        <w:t>POREIKIO STEIGTI PRIVAČIOSIOS IR VIEŠOSIOS PARTNERYSTĖS PAGRINDU SUDARYTĄ VIEŠĄJĄ ĮSTAIGĄ</w:t>
      </w:r>
    </w:p>
    <w:p w:rsidR="000F3C43" w:rsidRPr="002907FE" w:rsidRDefault="000F3C43" w:rsidP="000F3C43">
      <w:pPr>
        <w:jc w:val="center"/>
        <w:rPr>
          <w:rFonts w:eastAsia="Times New Roman"/>
          <w:b/>
        </w:rPr>
      </w:pPr>
      <w:r w:rsidRPr="002907FE">
        <w:rPr>
          <w:rFonts w:eastAsia="Times New Roman"/>
          <w:b/>
        </w:rPr>
        <w:t>PAGRINDIMAS</w:t>
      </w:r>
    </w:p>
    <w:p w:rsidR="00E7130D" w:rsidRPr="002907FE" w:rsidRDefault="00E7130D" w:rsidP="00E7130D">
      <w:pPr>
        <w:rPr>
          <w:rFonts w:eastAsia="Times New Roman"/>
          <w:sz w:val="20"/>
          <w:szCs w:val="20"/>
        </w:rPr>
      </w:pPr>
    </w:p>
    <w:p w:rsidR="00E7130D" w:rsidRPr="002907FE" w:rsidRDefault="00E7130D" w:rsidP="00E7130D">
      <w:pPr>
        <w:rPr>
          <w:rFonts w:eastAsia="Times New Roman"/>
        </w:rPr>
      </w:pPr>
    </w:p>
    <w:p w:rsidR="00E7130D" w:rsidRDefault="00E7130D" w:rsidP="002907FE">
      <w:pPr>
        <w:ind w:firstLine="360"/>
        <w:jc w:val="both"/>
      </w:pPr>
      <w:r w:rsidRPr="002907FE">
        <w:t>Vyriausybė 2018 m. gegužės 16 d. nutarimu Nr. 495</w:t>
      </w:r>
      <w:r w:rsidR="002907FE" w:rsidRPr="002907FE">
        <w:t xml:space="preserve"> patvirtino</w:t>
      </w:r>
      <w:r w:rsidRPr="002907FE">
        <w:t xml:space="preserve"> Viešojo sektoriaus įstaigų sistemos tobulinimo gaires (toliau – Gairės), </w:t>
      </w:r>
      <w:r w:rsidR="005D4DC4" w:rsidRPr="002907FE">
        <w:t>kuri</w:t>
      </w:r>
      <w:r w:rsidR="005D4DC4">
        <w:t>ų</w:t>
      </w:r>
      <w:r w:rsidR="005D4DC4" w:rsidRPr="002907FE">
        <w:t xml:space="preserve"> </w:t>
      </w:r>
      <w:r w:rsidR="002907FE" w:rsidRPr="002907FE">
        <w:t>nuostatos yra aktualios sprendžiant</w:t>
      </w:r>
      <w:r w:rsidR="00D05FAA" w:rsidRPr="00D05FAA">
        <w:t xml:space="preserve"> vieš</w:t>
      </w:r>
      <w:r w:rsidR="00D05FAA">
        <w:t xml:space="preserve">osios įstaigos (toliau – </w:t>
      </w:r>
      <w:proofErr w:type="spellStart"/>
      <w:r w:rsidR="00D05FAA">
        <w:t>VšĮ</w:t>
      </w:r>
      <w:proofErr w:type="spellEnd"/>
      <w:r w:rsidR="00D05FAA">
        <w:t>)</w:t>
      </w:r>
      <w:r w:rsidR="002907FE" w:rsidRPr="002907FE">
        <w:t xml:space="preserve"> </w:t>
      </w:r>
      <w:r w:rsidR="00161AD2">
        <w:t>Pinigų plovimo prevencijos kompetencijų</w:t>
      </w:r>
      <w:r w:rsidR="002907FE" w:rsidRPr="002907FE">
        <w:t xml:space="preserve"> centr</w:t>
      </w:r>
      <w:r w:rsidR="005D4DC4">
        <w:t>o</w:t>
      </w:r>
      <w:r w:rsidR="002907FE" w:rsidRPr="002907FE">
        <w:t xml:space="preserve"> steigimo klausimus</w:t>
      </w:r>
      <w:r w:rsidR="00E9372E">
        <w:t>,</w:t>
      </w:r>
      <w:r w:rsidR="002907FE" w:rsidRPr="002907FE">
        <w:t xml:space="preserve"> kadangi jos būtų taikomos vienam iš steigėjui, kuris atstovautų viešąjį sektorių (išskyrus Lietuvos banką).</w:t>
      </w:r>
    </w:p>
    <w:p w:rsidR="002907FE" w:rsidRPr="002907FE" w:rsidRDefault="002907FE" w:rsidP="002907FE">
      <w:pPr>
        <w:ind w:firstLine="360"/>
        <w:jc w:val="both"/>
      </w:pPr>
    </w:p>
    <w:p w:rsidR="002907FE" w:rsidRDefault="002907FE" w:rsidP="002907FE">
      <w:pPr>
        <w:ind w:firstLine="360"/>
        <w:jc w:val="both"/>
        <w:rPr>
          <w:rFonts w:eastAsia="Times New Roman"/>
        </w:rPr>
      </w:pPr>
      <w:r w:rsidRPr="002907FE">
        <w:rPr>
          <w:rFonts w:eastAsia="Times New Roman"/>
        </w:rPr>
        <w:t xml:space="preserve">Žemiau pateikiame pagrindimą dėl būtinybės </w:t>
      </w:r>
      <w:r>
        <w:rPr>
          <w:rFonts w:eastAsia="Times New Roman"/>
        </w:rPr>
        <w:t>priva</w:t>
      </w:r>
      <w:r w:rsidR="00E9372E">
        <w:rPr>
          <w:rFonts w:eastAsia="Times New Roman"/>
        </w:rPr>
        <w:t>taus</w:t>
      </w:r>
      <w:r>
        <w:rPr>
          <w:rFonts w:eastAsia="Times New Roman"/>
        </w:rPr>
        <w:t xml:space="preserve"> ir viešojo sektoriaus partnerystei organizuoti </w:t>
      </w:r>
      <w:r w:rsidRPr="002907FE">
        <w:rPr>
          <w:rFonts w:eastAsia="Times New Roman"/>
        </w:rPr>
        <w:t xml:space="preserve">pasirinkti </w:t>
      </w:r>
      <w:proofErr w:type="spellStart"/>
      <w:r w:rsidR="00D05FAA">
        <w:rPr>
          <w:rFonts w:eastAsia="Times New Roman"/>
        </w:rPr>
        <w:t>VšĮ</w:t>
      </w:r>
      <w:proofErr w:type="spellEnd"/>
      <w:r w:rsidRPr="002907FE">
        <w:rPr>
          <w:rFonts w:eastAsia="Times New Roman"/>
        </w:rPr>
        <w:t xml:space="preserve"> </w:t>
      </w:r>
      <w:r w:rsidR="0028688D">
        <w:rPr>
          <w:rFonts w:eastAsia="Times New Roman"/>
        </w:rPr>
        <w:t>formą</w:t>
      </w:r>
      <w:r w:rsidRPr="002907FE">
        <w:rPr>
          <w:rFonts w:eastAsia="Times New Roman"/>
        </w:rPr>
        <w:t>:</w:t>
      </w:r>
    </w:p>
    <w:p w:rsidR="002907FE" w:rsidRDefault="002907FE" w:rsidP="002907FE">
      <w:pPr>
        <w:jc w:val="both"/>
        <w:rPr>
          <w:rFonts w:eastAsia="Times New Roman"/>
        </w:rPr>
      </w:pPr>
    </w:p>
    <w:p w:rsidR="002907FE" w:rsidRPr="002907FE" w:rsidRDefault="002907FE" w:rsidP="002907FE">
      <w:pPr>
        <w:jc w:val="both"/>
        <w:rPr>
          <w:rFonts w:eastAsia="Times New Roman"/>
          <w:i/>
        </w:rPr>
      </w:pPr>
      <w:r w:rsidRPr="002907FE">
        <w:rPr>
          <w:rFonts w:eastAsia="Times New Roman"/>
          <w:b/>
        </w:rPr>
        <w:t>Gairių 5 puntas:</w:t>
      </w:r>
      <w:r w:rsidR="00E7130D" w:rsidRPr="002907FE">
        <w:rPr>
          <w:rFonts w:eastAsia="Times New Roman"/>
        </w:rPr>
        <w:t xml:space="preserve"> </w:t>
      </w:r>
      <w:r w:rsidR="00E7130D" w:rsidRPr="002907FE">
        <w:rPr>
          <w:rFonts w:eastAsia="Times New Roman"/>
          <w:i/>
        </w:rPr>
        <w:t>Bet kuri nauja viešojo sektoriaus įstaiga steigiama tik tada, kai tai pagrįstai būtina ir nėra galimybės pasiekti užsibrėžtų tikslų kitomis priemonėmis</w:t>
      </w:r>
      <w:r w:rsidR="00DB6218">
        <w:rPr>
          <w:rStyle w:val="Puslapioinaosnuoroda"/>
          <w:rFonts w:eastAsia="Times New Roman"/>
          <w:i/>
        </w:rPr>
        <w:footnoteReference w:id="1"/>
      </w:r>
      <w:r w:rsidR="00E7130D" w:rsidRPr="002907FE">
        <w:rPr>
          <w:rFonts w:eastAsia="Times New Roman"/>
          <w:i/>
        </w:rPr>
        <w:t>.</w:t>
      </w:r>
    </w:p>
    <w:p w:rsidR="00DB6218" w:rsidRDefault="002907FE" w:rsidP="002907FE">
      <w:pPr>
        <w:pStyle w:val="Sraopastraipa"/>
        <w:numPr>
          <w:ilvl w:val="0"/>
          <w:numId w:val="3"/>
        </w:numPr>
        <w:jc w:val="both"/>
        <w:rPr>
          <w:rFonts w:eastAsia="Times New Roman"/>
        </w:rPr>
      </w:pPr>
      <w:r>
        <w:rPr>
          <w:rFonts w:eastAsia="Times New Roman"/>
        </w:rPr>
        <w:t xml:space="preserve">Pažymėtina, kad </w:t>
      </w:r>
      <w:r w:rsidR="00860458">
        <w:rPr>
          <w:rFonts w:eastAsia="Times New Roman"/>
        </w:rPr>
        <w:t xml:space="preserve">siekiant efektyvaus </w:t>
      </w:r>
      <w:r w:rsidR="00800BA8">
        <w:rPr>
          <w:rFonts w:eastAsia="Times New Roman"/>
        </w:rPr>
        <w:t xml:space="preserve">Viešojo ir privataus sektoriaus įsitraukimo ir bendradarbiavimo </w:t>
      </w:r>
      <w:r w:rsidR="00FB1975">
        <w:rPr>
          <w:rFonts w:eastAsia="Times New Roman"/>
        </w:rPr>
        <w:t xml:space="preserve">tikslo </w:t>
      </w:r>
      <w:r>
        <w:rPr>
          <w:rFonts w:eastAsia="Times New Roman"/>
        </w:rPr>
        <w:t xml:space="preserve">siūloma steigti </w:t>
      </w:r>
      <w:proofErr w:type="spellStart"/>
      <w:r w:rsidR="00D05FAA">
        <w:rPr>
          <w:rFonts w:eastAsia="Times New Roman"/>
        </w:rPr>
        <w:t>VšĮ</w:t>
      </w:r>
      <w:proofErr w:type="spellEnd"/>
      <w:r>
        <w:rPr>
          <w:rFonts w:eastAsia="Times New Roman"/>
        </w:rPr>
        <w:t xml:space="preserve"> </w:t>
      </w:r>
      <w:r w:rsidR="00161AD2">
        <w:t>Pinigų plovimo prevencijos</w:t>
      </w:r>
      <w:r w:rsidR="00FB1975">
        <w:rPr>
          <w:rFonts w:eastAsia="Times New Roman"/>
        </w:rPr>
        <w:t xml:space="preserve"> kompetencijų</w:t>
      </w:r>
      <w:r>
        <w:rPr>
          <w:rFonts w:eastAsia="Times New Roman"/>
        </w:rPr>
        <w:t xml:space="preserve"> centr</w:t>
      </w:r>
      <w:r w:rsidR="00FB1975">
        <w:rPr>
          <w:rFonts w:eastAsia="Times New Roman"/>
        </w:rPr>
        <w:t>ą, kuris yra vienintelė alternatyva, galinti</w:t>
      </w:r>
      <w:r w:rsidR="00172F35">
        <w:rPr>
          <w:rFonts w:eastAsia="Times New Roman"/>
        </w:rPr>
        <w:t xml:space="preserve"> greitai ir</w:t>
      </w:r>
      <w:r w:rsidR="00FB1975">
        <w:rPr>
          <w:rFonts w:eastAsia="Times New Roman"/>
        </w:rPr>
        <w:t xml:space="preserve"> veiksmingai</w:t>
      </w:r>
      <w:r>
        <w:rPr>
          <w:rFonts w:eastAsia="Times New Roman"/>
        </w:rPr>
        <w:t xml:space="preserve"> </w:t>
      </w:r>
      <w:r w:rsidR="00FB1975">
        <w:rPr>
          <w:rFonts w:eastAsia="Times New Roman"/>
        </w:rPr>
        <w:t xml:space="preserve">konsoliduoti </w:t>
      </w:r>
      <w:r>
        <w:rPr>
          <w:rFonts w:eastAsia="Times New Roman"/>
        </w:rPr>
        <w:t>priva</w:t>
      </w:r>
      <w:r w:rsidR="00E9372E">
        <w:rPr>
          <w:rFonts w:eastAsia="Times New Roman"/>
        </w:rPr>
        <w:t>taus</w:t>
      </w:r>
      <w:r>
        <w:rPr>
          <w:rFonts w:eastAsia="Times New Roman"/>
        </w:rPr>
        <w:t xml:space="preserve"> ir viešojo sektoriaus pajėgumus</w:t>
      </w:r>
      <w:r w:rsidR="00FB1975">
        <w:rPr>
          <w:rFonts w:eastAsia="Times New Roman"/>
        </w:rPr>
        <w:t xml:space="preserve">, ir </w:t>
      </w:r>
      <w:r w:rsidR="005D4DC4">
        <w:rPr>
          <w:rFonts w:eastAsia="Times New Roman"/>
        </w:rPr>
        <w:t xml:space="preserve">pakelti </w:t>
      </w:r>
      <w:r w:rsidR="00DB6218">
        <w:rPr>
          <w:rFonts w:eastAsia="Times New Roman"/>
        </w:rPr>
        <w:t xml:space="preserve">pinigų plovimo ir teroristų finansavimo </w:t>
      </w:r>
      <w:r w:rsidR="009022BD">
        <w:rPr>
          <w:rFonts w:eastAsia="Times New Roman"/>
        </w:rPr>
        <w:t>(</w:t>
      </w:r>
      <w:r w:rsidR="00D05FAA">
        <w:rPr>
          <w:rFonts w:eastAsia="Times New Roman"/>
        </w:rPr>
        <w:t xml:space="preserve">toliau – </w:t>
      </w:r>
      <w:r w:rsidR="009022BD">
        <w:rPr>
          <w:rFonts w:eastAsia="Times New Roman"/>
        </w:rPr>
        <w:t xml:space="preserve">PP/TF) </w:t>
      </w:r>
      <w:r w:rsidR="00DB6218">
        <w:rPr>
          <w:rFonts w:eastAsia="Times New Roman"/>
        </w:rPr>
        <w:t>prevenciją į kokybiškai naują lyg</w:t>
      </w:r>
      <w:r w:rsidR="0028688D">
        <w:rPr>
          <w:rFonts w:eastAsia="Times New Roman"/>
        </w:rPr>
        <w:t xml:space="preserve">į </w:t>
      </w:r>
      <w:r w:rsidR="00FB1975">
        <w:rPr>
          <w:rFonts w:eastAsia="Times New Roman"/>
        </w:rPr>
        <w:t>bei</w:t>
      </w:r>
      <w:r w:rsidR="0028688D">
        <w:rPr>
          <w:rFonts w:eastAsia="Times New Roman"/>
        </w:rPr>
        <w:t xml:space="preserve"> sudaryti sąlygas efektyvesniam </w:t>
      </w:r>
      <w:r w:rsidR="00FB1975">
        <w:rPr>
          <w:rFonts w:eastAsia="Times New Roman"/>
        </w:rPr>
        <w:t xml:space="preserve">valstybės privataus ir valstybinio finansavimo sutelkimo ir nukreipimo </w:t>
      </w:r>
      <w:r w:rsidR="0028688D">
        <w:rPr>
          <w:rFonts w:eastAsia="Times New Roman"/>
        </w:rPr>
        <w:t xml:space="preserve">bendradarbiavimui </w:t>
      </w:r>
      <w:r w:rsidR="00C8693B">
        <w:rPr>
          <w:rFonts w:eastAsia="Times New Roman"/>
        </w:rPr>
        <w:t>visuose lygmenyse (strateginiame, procesiniame ir taktiniame)</w:t>
      </w:r>
      <w:r w:rsidR="00FB1975">
        <w:rPr>
          <w:rFonts w:eastAsia="Times New Roman"/>
        </w:rPr>
        <w:t>,</w:t>
      </w:r>
      <w:r w:rsidR="00C8693B">
        <w:rPr>
          <w:rFonts w:eastAsia="Times New Roman"/>
        </w:rPr>
        <w:t xml:space="preserve"> </w:t>
      </w:r>
      <w:r w:rsidR="00FB1975">
        <w:rPr>
          <w:rFonts w:eastAsia="Times New Roman"/>
        </w:rPr>
        <w:t>koordinuotai vykdant</w:t>
      </w:r>
      <w:r w:rsidR="0028688D">
        <w:rPr>
          <w:rFonts w:eastAsia="Times New Roman"/>
        </w:rPr>
        <w:t xml:space="preserve"> pinigų plovimo prevencij</w:t>
      </w:r>
      <w:r w:rsidR="00C8693B">
        <w:rPr>
          <w:rFonts w:eastAsia="Times New Roman"/>
        </w:rPr>
        <w:t>os priemones</w:t>
      </w:r>
      <w:r w:rsidR="00A20270">
        <w:rPr>
          <w:rFonts w:eastAsia="Times New Roman"/>
        </w:rPr>
        <w:t xml:space="preserve"> privačiame ir viešajame sektoriuje</w:t>
      </w:r>
      <w:r w:rsidR="00FB1975">
        <w:rPr>
          <w:rFonts w:eastAsia="Times New Roman"/>
        </w:rPr>
        <w:t xml:space="preserve"> ir taip mažinti pinigų plovimo rizikas valstybėje</w:t>
      </w:r>
    </w:p>
    <w:p w:rsidR="00DB6218" w:rsidRDefault="00D05FAA" w:rsidP="002907FE">
      <w:pPr>
        <w:pStyle w:val="Sraopastraipa"/>
        <w:numPr>
          <w:ilvl w:val="0"/>
          <w:numId w:val="3"/>
        </w:numPr>
        <w:jc w:val="both"/>
        <w:rPr>
          <w:rFonts w:eastAsia="Times New Roman"/>
        </w:rPr>
      </w:pPr>
      <w:proofErr w:type="spellStart"/>
      <w:r>
        <w:rPr>
          <w:rFonts w:eastAsia="Times New Roman"/>
        </w:rPr>
        <w:t>VšĮ</w:t>
      </w:r>
      <w:proofErr w:type="spellEnd"/>
      <w:r w:rsidR="00DB6218">
        <w:rPr>
          <w:rFonts w:eastAsia="Times New Roman"/>
        </w:rPr>
        <w:t xml:space="preserve"> formatas siūlomas atsižvelgiant į tai, kad</w:t>
      </w:r>
      <w:r w:rsidR="00404BC2">
        <w:rPr>
          <w:rFonts w:eastAsia="Times New Roman"/>
        </w:rPr>
        <w:t xml:space="preserve"> </w:t>
      </w:r>
      <w:r w:rsidR="00C8693B">
        <w:rPr>
          <w:rFonts w:eastAsia="Times New Roman"/>
        </w:rPr>
        <w:t>šis</w:t>
      </w:r>
      <w:r w:rsidR="00404BC2">
        <w:rPr>
          <w:rFonts w:eastAsia="Times New Roman"/>
        </w:rPr>
        <w:t xml:space="preserve"> </w:t>
      </w:r>
      <w:r w:rsidR="00161AD2">
        <w:rPr>
          <w:rFonts w:eastAsia="Times New Roman"/>
        </w:rPr>
        <w:t>viešojo ir privataus sektorių partnerystės</w:t>
      </w:r>
      <w:r w:rsidR="00404BC2">
        <w:rPr>
          <w:rFonts w:eastAsia="Times New Roman"/>
        </w:rPr>
        <w:t xml:space="preserve"> </w:t>
      </w:r>
      <w:r w:rsidR="00161AD2">
        <w:rPr>
          <w:rFonts w:eastAsia="Times New Roman"/>
        </w:rPr>
        <w:t xml:space="preserve">(toliau – VPSP) </w:t>
      </w:r>
      <w:r w:rsidR="00404BC2">
        <w:rPr>
          <w:rFonts w:eastAsia="Times New Roman"/>
        </w:rPr>
        <w:t>model</w:t>
      </w:r>
      <w:r w:rsidR="00C8693B">
        <w:rPr>
          <w:rFonts w:eastAsia="Times New Roman"/>
        </w:rPr>
        <w:t>is sudarytų sąlygas</w:t>
      </w:r>
      <w:r w:rsidR="00404BC2">
        <w:rPr>
          <w:rFonts w:eastAsia="Times New Roman"/>
        </w:rPr>
        <w:t xml:space="preserve"> </w:t>
      </w:r>
      <w:r w:rsidR="005D4DC4">
        <w:rPr>
          <w:rFonts w:eastAsia="Times New Roman"/>
        </w:rPr>
        <w:t xml:space="preserve">sumažinti </w:t>
      </w:r>
      <w:r w:rsidR="00404BC2">
        <w:rPr>
          <w:rFonts w:eastAsia="Times New Roman"/>
        </w:rPr>
        <w:t xml:space="preserve">finansinę </w:t>
      </w:r>
      <w:r w:rsidR="00DB6218">
        <w:rPr>
          <w:rFonts w:eastAsia="Times New Roman"/>
        </w:rPr>
        <w:t>naštą valstybės biudžetui</w:t>
      </w:r>
      <w:r w:rsidR="00404BC2">
        <w:rPr>
          <w:rFonts w:eastAsia="Times New Roman"/>
        </w:rPr>
        <w:t xml:space="preserve"> </w:t>
      </w:r>
      <w:r w:rsidR="00C8693B">
        <w:rPr>
          <w:rFonts w:eastAsia="Times New Roman"/>
        </w:rPr>
        <w:t>ir leistų</w:t>
      </w:r>
      <w:r w:rsidR="00DB6218">
        <w:rPr>
          <w:rFonts w:eastAsia="Times New Roman"/>
        </w:rPr>
        <w:t xml:space="preserve"> centro veiklą didžiąja dalimi </w:t>
      </w:r>
      <w:r w:rsidR="00C8693B">
        <w:rPr>
          <w:rFonts w:eastAsia="Times New Roman"/>
        </w:rPr>
        <w:t xml:space="preserve">finansuoti </w:t>
      </w:r>
      <w:r w:rsidR="00E9372E">
        <w:rPr>
          <w:rFonts w:eastAsia="Times New Roman"/>
        </w:rPr>
        <w:t>privataus</w:t>
      </w:r>
      <w:r w:rsidR="00DB6218">
        <w:rPr>
          <w:rFonts w:eastAsia="Times New Roman"/>
        </w:rPr>
        <w:t xml:space="preserve"> sektoriaus – centro dalininkų – lėšomis</w:t>
      </w:r>
      <w:r w:rsidR="00C8693B">
        <w:rPr>
          <w:rFonts w:eastAsia="Times New Roman"/>
        </w:rPr>
        <w:t>, valstybei išlaikant įstaigos kontrolę.</w:t>
      </w:r>
    </w:p>
    <w:p w:rsidR="00D50DA7" w:rsidRDefault="00D05FAA" w:rsidP="002907FE">
      <w:pPr>
        <w:pStyle w:val="Sraopastraipa"/>
        <w:numPr>
          <w:ilvl w:val="0"/>
          <w:numId w:val="3"/>
        </w:numPr>
        <w:jc w:val="both"/>
        <w:rPr>
          <w:rFonts w:eastAsia="Times New Roman"/>
        </w:rPr>
      </w:pPr>
      <w:proofErr w:type="spellStart"/>
      <w:r>
        <w:rPr>
          <w:rFonts w:eastAsia="Times New Roman"/>
        </w:rPr>
        <w:t>VšĮ</w:t>
      </w:r>
      <w:proofErr w:type="spellEnd"/>
      <w:r w:rsidR="00DB6218">
        <w:rPr>
          <w:rFonts w:eastAsia="Times New Roman"/>
        </w:rPr>
        <w:t xml:space="preserve"> formatas sudarytų sąlygas </w:t>
      </w:r>
      <w:r w:rsidR="009022BD">
        <w:rPr>
          <w:rFonts w:eastAsia="Times New Roman"/>
        </w:rPr>
        <w:t>pasamdyti</w:t>
      </w:r>
      <w:r w:rsidR="00DB6218">
        <w:rPr>
          <w:rFonts w:eastAsia="Times New Roman"/>
        </w:rPr>
        <w:t xml:space="preserve"> </w:t>
      </w:r>
      <w:r w:rsidR="005D4DC4">
        <w:rPr>
          <w:rFonts w:eastAsia="Times New Roman"/>
        </w:rPr>
        <w:t xml:space="preserve">specifinių įgūdžių reikalaujančių </w:t>
      </w:r>
      <w:r w:rsidR="00FB1975">
        <w:rPr>
          <w:rFonts w:eastAsia="Times New Roman"/>
        </w:rPr>
        <w:t>aukštos kompetencijos</w:t>
      </w:r>
      <w:r w:rsidR="00DB6218">
        <w:rPr>
          <w:rFonts w:eastAsia="Times New Roman"/>
        </w:rPr>
        <w:t xml:space="preserve"> specialistus, </w:t>
      </w:r>
      <w:r w:rsidR="00172F35">
        <w:rPr>
          <w:rFonts w:eastAsia="Times New Roman"/>
        </w:rPr>
        <w:t>bendromis viešojo ir privataus sektoriaus lėšomis</w:t>
      </w:r>
      <w:r w:rsidR="00F8105C">
        <w:rPr>
          <w:rFonts w:eastAsia="Times New Roman"/>
        </w:rPr>
        <w:t>, kurių samdos neribotų Valstybės tarnybos įstatymo nuostatos</w:t>
      </w:r>
      <w:r w:rsidR="00D50DA7">
        <w:rPr>
          <w:rFonts w:eastAsia="Times New Roman"/>
        </w:rPr>
        <w:t>;</w:t>
      </w:r>
    </w:p>
    <w:p w:rsidR="00DB6218" w:rsidRDefault="00D05FAA" w:rsidP="002907FE">
      <w:pPr>
        <w:pStyle w:val="Sraopastraipa"/>
        <w:numPr>
          <w:ilvl w:val="0"/>
          <w:numId w:val="3"/>
        </w:numPr>
        <w:jc w:val="both"/>
        <w:rPr>
          <w:rFonts w:eastAsia="Times New Roman"/>
        </w:rPr>
      </w:pPr>
      <w:proofErr w:type="spellStart"/>
      <w:r>
        <w:t>VšĮ</w:t>
      </w:r>
      <w:proofErr w:type="spellEnd"/>
      <w:r w:rsidR="00D50DA7">
        <w:t xml:space="preserve"> </w:t>
      </w:r>
      <w:r w:rsidR="00161AD2">
        <w:t>Pinigų plovimo prevencijos</w:t>
      </w:r>
      <w:r w:rsidR="00161AD2">
        <w:rPr>
          <w:rFonts w:eastAsia="Times New Roman"/>
        </w:rPr>
        <w:t xml:space="preserve"> kompetencijų</w:t>
      </w:r>
      <w:r w:rsidR="00D50DA7">
        <w:t xml:space="preserve"> centras galėtų būti paramos gavėjas –</w:t>
      </w:r>
      <w:r w:rsidR="00D50DA7" w:rsidRPr="009F6B66">
        <w:t xml:space="preserve"> </w:t>
      </w:r>
      <w:r w:rsidR="00D50DA7">
        <w:t>v</w:t>
      </w:r>
      <w:r w:rsidR="00D50DA7" w:rsidRPr="009F6B66">
        <w:t>eiklai finansuoti iš dalies galima</w:t>
      </w:r>
      <w:r w:rsidR="00D50DA7">
        <w:t xml:space="preserve"> būtų</w:t>
      </w:r>
      <w:r w:rsidR="00D50DA7" w:rsidRPr="009F6B66">
        <w:t xml:space="preserve"> pritraukti ir panaudot</w:t>
      </w:r>
      <w:r w:rsidR="00D50DA7" w:rsidRPr="003033D9">
        <w:t xml:space="preserve">i tarptautinį finansavimą </w:t>
      </w:r>
      <w:r w:rsidR="00D50DA7">
        <w:t>bei</w:t>
      </w:r>
      <w:r w:rsidR="00D50DA7" w:rsidRPr="003033D9">
        <w:t xml:space="preserve"> kitą paramą;</w:t>
      </w:r>
      <w:r w:rsidR="00DB6218">
        <w:rPr>
          <w:rFonts w:eastAsia="Times New Roman"/>
        </w:rPr>
        <w:t xml:space="preserve"> </w:t>
      </w:r>
    </w:p>
    <w:p w:rsidR="005D4DC4" w:rsidRPr="00D50DA7" w:rsidRDefault="00023CAA" w:rsidP="002907FE">
      <w:pPr>
        <w:pStyle w:val="Sraopastraipa"/>
        <w:numPr>
          <w:ilvl w:val="0"/>
          <w:numId w:val="3"/>
        </w:numPr>
        <w:jc w:val="both"/>
        <w:rPr>
          <w:rFonts w:eastAsia="Times New Roman"/>
        </w:rPr>
      </w:pPr>
      <w:r>
        <w:t xml:space="preserve">Vienas </w:t>
      </w:r>
      <w:r>
        <w:rPr>
          <w:rFonts w:eastAsia="Times New Roman"/>
        </w:rPr>
        <w:t>iš pagrindinių faktorių, dėl kuri</w:t>
      </w:r>
      <w:r w:rsidR="009D40A1">
        <w:rPr>
          <w:rFonts w:eastAsia="Times New Roman"/>
        </w:rPr>
        <w:t>o</w:t>
      </w:r>
      <w:r>
        <w:rPr>
          <w:rFonts w:eastAsia="Times New Roman"/>
        </w:rPr>
        <w:t xml:space="preserve"> </w:t>
      </w:r>
      <w:proofErr w:type="spellStart"/>
      <w:r>
        <w:rPr>
          <w:rFonts w:eastAsia="Times New Roman"/>
        </w:rPr>
        <w:t>VšĮ</w:t>
      </w:r>
      <w:proofErr w:type="spellEnd"/>
      <w:r>
        <w:rPr>
          <w:rFonts w:eastAsia="Times New Roman"/>
        </w:rPr>
        <w:t xml:space="preserve"> patrauklumas yra daug didesnis nei žemiau aprašytos alternatyvos – padalinio prie jau veikiančios institucijos įsteigimas – yra laiko faktorius. </w:t>
      </w:r>
      <w:proofErr w:type="spellStart"/>
      <w:r>
        <w:rPr>
          <w:rFonts w:eastAsia="Times New Roman"/>
        </w:rPr>
        <w:t>VšĮ</w:t>
      </w:r>
      <w:proofErr w:type="spellEnd"/>
      <w:r>
        <w:rPr>
          <w:rFonts w:eastAsia="Times New Roman"/>
        </w:rPr>
        <w:t xml:space="preserve"> įsteigti būtų galima jau </w:t>
      </w:r>
      <w:r w:rsidRPr="002D2BC4">
        <w:rPr>
          <w:rFonts w:eastAsia="Times New Roman"/>
        </w:rPr>
        <w:t xml:space="preserve">2020 m. </w:t>
      </w:r>
      <w:r>
        <w:rPr>
          <w:rFonts w:eastAsia="Times New Roman"/>
        </w:rPr>
        <w:t xml:space="preserve">pirmoje pusėje, </w:t>
      </w:r>
      <w:r w:rsidR="002D2BC4" w:rsidRPr="002D2BC4">
        <w:rPr>
          <w:rFonts w:eastAsia="Times New Roman"/>
        </w:rPr>
        <w:t xml:space="preserve">taip užtikrinant savalaikę reakciją į pasikeitusį Baltijos regiono vertinimą užsienio partnerių akyse. </w:t>
      </w:r>
      <w:r w:rsidR="002D2BC4">
        <w:rPr>
          <w:rFonts w:eastAsia="Times New Roman"/>
        </w:rPr>
        <w:t xml:space="preserve">Atkreiptinas dėmesys, kad Lietuvos kaimynė Latvija viešojo ir </w:t>
      </w:r>
      <w:r w:rsidR="00E9372E">
        <w:rPr>
          <w:rFonts w:eastAsia="Times New Roman"/>
        </w:rPr>
        <w:t>privataus</w:t>
      </w:r>
      <w:r w:rsidR="002D2BC4">
        <w:rPr>
          <w:rFonts w:eastAsia="Times New Roman"/>
        </w:rPr>
        <w:t xml:space="preserve"> sektoriaus partnerystę įgyvendino dar praeitais metais ir šiuo metu dalyvauja </w:t>
      </w:r>
      <w:proofErr w:type="spellStart"/>
      <w:r w:rsidR="002D2BC4">
        <w:rPr>
          <w:rFonts w:eastAsia="Times New Roman"/>
        </w:rPr>
        <w:t>Europol</w:t>
      </w:r>
      <w:proofErr w:type="spellEnd"/>
      <w:r w:rsidR="002D2BC4">
        <w:rPr>
          <w:rFonts w:eastAsia="Times New Roman"/>
        </w:rPr>
        <w:t xml:space="preserve"> viešojo ir </w:t>
      </w:r>
      <w:r w:rsidR="00E9372E">
        <w:rPr>
          <w:rFonts w:eastAsia="Times New Roman"/>
        </w:rPr>
        <w:t>privataus</w:t>
      </w:r>
      <w:r w:rsidR="002D2BC4">
        <w:rPr>
          <w:rFonts w:eastAsia="Times New Roman"/>
        </w:rPr>
        <w:t xml:space="preserve"> sektoriaus formatus turinčių valstybių darbo grupėje.</w:t>
      </w:r>
    </w:p>
    <w:p w:rsidR="00D50DA7" w:rsidRPr="00D50DA7" w:rsidRDefault="00D50DA7" w:rsidP="00D50DA7">
      <w:pPr>
        <w:pStyle w:val="Sraopastraipa"/>
        <w:jc w:val="both"/>
        <w:rPr>
          <w:rFonts w:eastAsia="Times New Roman"/>
        </w:rPr>
      </w:pPr>
      <w:bookmarkStart w:id="0" w:name="_GoBack"/>
      <w:bookmarkEnd w:id="0"/>
    </w:p>
    <w:p w:rsidR="00E7130D" w:rsidRDefault="002907FE" w:rsidP="00D50DA7">
      <w:pPr>
        <w:spacing w:after="240"/>
        <w:jc w:val="both"/>
        <w:rPr>
          <w:rFonts w:eastAsia="Times New Roman"/>
          <w:i/>
        </w:rPr>
      </w:pPr>
      <w:r w:rsidRPr="002907FE">
        <w:rPr>
          <w:rFonts w:eastAsia="Times New Roman"/>
          <w:b/>
        </w:rPr>
        <w:t xml:space="preserve">Gairių </w:t>
      </w:r>
      <w:r w:rsidR="00E7130D" w:rsidRPr="002907FE">
        <w:rPr>
          <w:rFonts w:eastAsia="Times New Roman"/>
          <w:b/>
        </w:rPr>
        <w:t>6</w:t>
      </w:r>
      <w:r w:rsidRPr="002907FE">
        <w:rPr>
          <w:rFonts w:eastAsia="Times New Roman"/>
          <w:b/>
        </w:rPr>
        <w:t xml:space="preserve"> punktas:</w:t>
      </w:r>
      <w:r w:rsidR="00E7130D" w:rsidRPr="002907FE">
        <w:rPr>
          <w:rFonts w:eastAsia="Times New Roman"/>
        </w:rPr>
        <w:t xml:space="preserve"> </w:t>
      </w:r>
      <w:r w:rsidR="00E7130D" w:rsidRPr="002907FE">
        <w:rPr>
          <w:rFonts w:eastAsia="Times New Roman"/>
          <w:i/>
        </w:rPr>
        <w:t>Visais atvejais turi būti įvertinama galimybė naujas funkcijas pavesti jau veikiančiai viešojo sektoriaus įstaigai (ar veikiančioms viešojo sektoriaus įstaigoms) arba įvertinamos su naujų funkcijų sritimi susijusių jau veikiančių viešojo sektoriaus įstaigų reorganizavimo ar pertvarkymo galimybės.</w:t>
      </w:r>
    </w:p>
    <w:p w:rsidR="009022BD" w:rsidRPr="000559CA" w:rsidRDefault="009022BD" w:rsidP="00D527E1">
      <w:pPr>
        <w:pStyle w:val="Sraopastraipa"/>
        <w:numPr>
          <w:ilvl w:val="0"/>
          <w:numId w:val="4"/>
        </w:numPr>
        <w:jc w:val="both"/>
        <w:rPr>
          <w:rFonts w:eastAsia="Times New Roman"/>
        </w:rPr>
      </w:pPr>
      <w:r>
        <w:rPr>
          <w:rFonts w:eastAsia="Times New Roman"/>
        </w:rPr>
        <w:lastRenderedPageBreak/>
        <w:t xml:space="preserve">Pažymėtina, kad </w:t>
      </w:r>
      <w:proofErr w:type="spellStart"/>
      <w:r w:rsidR="00FC404C">
        <w:rPr>
          <w:rFonts w:eastAsia="Times New Roman"/>
        </w:rPr>
        <w:t>VšĮ</w:t>
      </w:r>
      <w:proofErr w:type="spellEnd"/>
      <w:r w:rsidR="00FC404C">
        <w:rPr>
          <w:rFonts w:eastAsia="Times New Roman"/>
        </w:rPr>
        <w:t xml:space="preserve"> </w:t>
      </w:r>
      <w:r w:rsidR="00161AD2">
        <w:t>Pinigų plovimo prevencijos</w:t>
      </w:r>
      <w:r w:rsidR="00161AD2">
        <w:rPr>
          <w:rFonts w:eastAsia="Times New Roman"/>
        </w:rPr>
        <w:t xml:space="preserve"> kompetencijų</w:t>
      </w:r>
      <w:r w:rsidR="00FC404C">
        <w:rPr>
          <w:rFonts w:eastAsia="Times New Roman"/>
        </w:rPr>
        <w:t xml:space="preserve"> centras </w:t>
      </w:r>
      <w:r w:rsidR="00FC404C" w:rsidRPr="00D05FAA">
        <w:rPr>
          <w:rFonts w:eastAsia="Times New Roman"/>
        </w:rPr>
        <w:t>tenkint</w:t>
      </w:r>
      <w:r w:rsidR="00FC404C">
        <w:rPr>
          <w:rFonts w:eastAsia="Times New Roman"/>
        </w:rPr>
        <w:t>ų</w:t>
      </w:r>
      <w:r w:rsidR="00FC404C" w:rsidRPr="00D05FAA">
        <w:rPr>
          <w:rFonts w:eastAsia="Times New Roman"/>
        </w:rPr>
        <w:t xml:space="preserve"> viešuosius interesus</w:t>
      </w:r>
      <w:r w:rsidR="00FC404C">
        <w:rPr>
          <w:rFonts w:eastAsia="Times New Roman"/>
        </w:rPr>
        <w:t xml:space="preserve"> pagal </w:t>
      </w:r>
      <w:r w:rsidR="00FC404C" w:rsidRPr="00D05FAA">
        <w:rPr>
          <w:rFonts w:eastAsia="Times New Roman"/>
        </w:rPr>
        <w:t>Lietuvos Respublikos viešųjų įstaigų įstatym</w:t>
      </w:r>
      <w:r w:rsidR="00FC404C">
        <w:rPr>
          <w:rFonts w:eastAsia="Times New Roman"/>
        </w:rPr>
        <w:t xml:space="preserve">o 2 straipsnyje įtvirtintą </w:t>
      </w:r>
      <w:proofErr w:type="spellStart"/>
      <w:r w:rsidR="00FC404C">
        <w:rPr>
          <w:rFonts w:eastAsia="Times New Roman"/>
        </w:rPr>
        <w:t>VšĮ</w:t>
      </w:r>
      <w:proofErr w:type="spellEnd"/>
      <w:r w:rsidR="00FC404C">
        <w:rPr>
          <w:rFonts w:eastAsia="Times New Roman"/>
        </w:rPr>
        <w:t xml:space="preserve"> sampratą</w:t>
      </w:r>
      <w:r w:rsidR="00D527E1">
        <w:rPr>
          <w:rFonts w:eastAsia="Times New Roman"/>
        </w:rPr>
        <w:t xml:space="preserve">. Centras </w:t>
      </w:r>
      <w:r>
        <w:rPr>
          <w:rFonts w:eastAsia="Times New Roman"/>
        </w:rPr>
        <w:t xml:space="preserve">būtų skirtas </w:t>
      </w:r>
      <w:r w:rsidR="00172F35">
        <w:rPr>
          <w:rFonts w:eastAsia="Times New Roman"/>
        </w:rPr>
        <w:t>bendradarbiavimui tarp viešo ir privataus sektoriaus vystyti ir palaikyti,</w:t>
      </w:r>
      <w:r>
        <w:rPr>
          <w:rFonts w:eastAsia="Times New Roman"/>
        </w:rPr>
        <w:t xml:space="preserve"> </w:t>
      </w:r>
      <w:r w:rsidR="00172F35">
        <w:rPr>
          <w:rFonts w:eastAsia="Times New Roman"/>
        </w:rPr>
        <w:t xml:space="preserve">gerinant </w:t>
      </w:r>
      <w:r>
        <w:rPr>
          <w:rFonts w:eastAsia="Times New Roman"/>
        </w:rPr>
        <w:t>viešojo sektoriaus</w:t>
      </w:r>
      <w:r w:rsidR="00D05FAA">
        <w:rPr>
          <w:rFonts w:eastAsia="Times New Roman"/>
        </w:rPr>
        <w:t xml:space="preserve"> (</w:t>
      </w:r>
      <w:r>
        <w:rPr>
          <w:rFonts w:eastAsia="Times New Roman"/>
        </w:rPr>
        <w:t>konkrečiai – PP/TF prevencijos</w:t>
      </w:r>
      <w:r w:rsidR="00D05FAA">
        <w:rPr>
          <w:rFonts w:eastAsia="Times New Roman"/>
        </w:rPr>
        <w:t>)</w:t>
      </w:r>
      <w:r>
        <w:rPr>
          <w:rFonts w:eastAsia="Times New Roman"/>
        </w:rPr>
        <w:t xml:space="preserve"> funkcijų</w:t>
      </w:r>
      <w:r w:rsidR="00172F35">
        <w:rPr>
          <w:rFonts w:eastAsia="Times New Roman"/>
        </w:rPr>
        <w:t xml:space="preserve"> vykdymo</w:t>
      </w:r>
      <w:r>
        <w:rPr>
          <w:rFonts w:eastAsia="Times New Roman"/>
        </w:rPr>
        <w:t xml:space="preserve"> kokybę, į prevencijos veiklą įtraukiant </w:t>
      </w:r>
      <w:r w:rsidR="00172F35">
        <w:rPr>
          <w:rFonts w:eastAsia="Times New Roman"/>
        </w:rPr>
        <w:t xml:space="preserve">privataus </w:t>
      </w:r>
      <w:r>
        <w:rPr>
          <w:rFonts w:eastAsia="Times New Roman"/>
        </w:rPr>
        <w:t>sektoriaus atstovus, kurie, kaip ir valstybė, yra suinteresuoti efektyviai veikiančia PP/TF prevencijos sistema</w:t>
      </w:r>
      <w:r w:rsidR="00172F35">
        <w:rPr>
          <w:rFonts w:eastAsia="Times New Roman"/>
        </w:rPr>
        <w:t>, greitesniu pinigų plovimo prevencijos grėsmių identifikavimų ir rizikos valdymu</w:t>
      </w:r>
      <w:r w:rsidR="00D05FAA">
        <w:rPr>
          <w:rFonts w:eastAsia="Times New Roman"/>
        </w:rPr>
        <w:t>.</w:t>
      </w:r>
    </w:p>
    <w:p w:rsidR="002907FE" w:rsidRPr="00D50DA7" w:rsidRDefault="009022BD" w:rsidP="00D50DA7">
      <w:pPr>
        <w:pStyle w:val="Sraopastraipa"/>
        <w:numPr>
          <w:ilvl w:val="0"/>
          <w:numId w:val="4"/>
        </w:numPr>
        <w:spacing w:after="240"/>
        <w:jc w:val="both"/>
        <w:rPr>
          <w:rFonts w:eastAsia="Times New Roman"/>
        </w:rPr>
      </w:pPr>
      <w:r>
        <w:rPr>
          <w:rFonts w:eastAsia="Times New Roman"/>
        </w:rPr>
        <w:t xml:space="preserve">Darbo grupė svarstė ir kitas alternatyvas – centro funkcijų, t.y. </w:t>
      </w:r>
      <w:r w:rsidR="00161AD2">
        <w:rPr>
          <w:rFonts w:eastAsia="Times New Roman"/>
        </w:rPr>
        <w:t>VPSP</w:t>
      </w:r>
      <w:r>
        <w:rPr>
          <w:rFonts w:eastAsia="Times New Roman"/>
        </w:rPr>
        <w:t xml:space="preserve"> įgyvendinimą – organizuoti darbo grupės arba naujo padalinio prie FNTT formatu. Šios alternatyvos buvo įvertintos kaip mažai ar mažiau efektyvios</w:t>
      </w:r>
      <w:r w:rsidR="00D50DA7">
        <w:rPr>
          <w:rFonts w:eastAsia="Times New Roman"/>
        </w:rPr>
        <w:t xml:space="preserve"> dėl </w:t>
      </w:r>
      <w:r w:rsidR="00D527E1">
        <w:rPr>
          <w:rFonts w:eastAsia="Times New Roman"/>
        </w:rPr>
        <w:t xml:space="preserve">trijų </w:t>
      </w:r>
      <w:r w:rsidR="00D50DA7">
        <w:rPr>
          <w:rFonts w:eastAsia="Times New Roman"/>
        </w:rPr>
        <w:t xml:space="preserve">pagrindinių priežasčių: a) esamų pajėgumų neužtenka tokiam formatui administruoti, jis pareikalautų papildomų </w:t>
      </w:r>
      <w:r w:rsidR="00D50DA7" w:rsidRPr="00D50DA7">
        <w:rPr>
          <w:rFonts w:eastAsia="Times New Roman"/>
        </w:rPr>
        <w:t>4 etat</w:t>
      </w:r>
      <w:r w:rsidR="00D50DA7">
        <w:rPr>
          <w:rFonts w:eastAsia="Times New Roman"/>
        </w:rPr>
        <w:t>ų; b) jos nesudaro</w:t>
      </w:r>
      <w:r>
        <w:rPr>
          <w:rFonts w:eastAsia="Times New Roman"/>
        </w:rPr>
        <w:t xml:space="preserve"> prielaidų </w:t>
      </w:r>
      <w:r w:rsidR="00172F35">
        <w:rPr>
          <w:rFonts w:eastAsia="Times New Roman"/>
        </w:rPr>
        <w:t>per trumpą laikotarpį pritraukti privataus sektoriaus finansavimo</w:t>
      </w:r>
      <w:r w:rsidR="00D50DA7">
        <w:rPr>
          <w:rFonts w:eastAsia="Times New Roman"/>
        </w:rPr>
        <w:t>, todėl visa centro-padalinio išlaikymo našta tektų valstybės biudžetui</w:t>
      </w:r>
      <w:r w:rsidR="00C11843" w:rsidRPr="00217670">
        <w:rPr>
          <w:rFonts w:eastAsia="Times New Roman"/>
        </w:rPr>
        <w:t>;</w:t>
      </w:r>
      <w:r w:rsidR="00C11843">
        <w:rPr>
          <w:rFonts w:eastAsia="Times New Roman"/>
        </w:rPr>
        <w:t xml:space="preserve"> c) veikiančioms institucijoms priskirtos funkcijos neapima veiklos, kurią vykdytų </w:t>
      </w:r>
      <w:proofErr w:type="spellStart"/>
      <w:r w:rsidR="00C11843">
        <w:rPr>
          <w:rFonts w:eastAsia="Times New Roman"/>
        </w:rPr>
        <w:t>VšĮ</w:t>
      </w:r>
      <w:proofErr w:type="spellEnd"/>
      <w:r w:rsidR="00C11843">
        <w:rPr>
          <w:rFonts w:eastAsia="Times New Roman"/>
        </w:rPr>
        <w:t xml:space="preserve"> </w:t>
      </w:r>
      <w:r w:rsidR="00161AD2">
        <w:t>Pinigų plovimo prevencijos</w:t>
      </w:r>
      <w:r w:rsidR="00161AD2">
        <w:rPr>
          <w:rFonts w:eastAsia="Times New Roman"/>
        </w:rPr>
        <w:t xml:space="preserve"> kompetencijų</w:t>
      </w:r>
      <w:r w:rsidR="00C11843">
        <w:rPr>
          <w:rFonts w:eastAsia="Times New Roman"/>
        </w:rPr>
        <w:t xml:space="preserve"> centras</w:t>
      </w:r>
      <w:r w:rsidR="005D4DC4">
        <w:rPr>
          <w:rFonts w:eastAsia="Times New Roman"/>
        </w:rPr>
        <w:t>.</w:t>
      </w:r>
    </w:p>
    <w:p w:rsidR="00E7130D" w:rsidRPr="009022BD" w:rsidRDefault="009022BD" w:rsidP="00161AD2">
      <w:pPr>
        <w:spacing w:after="240"/>
        <w:jc w:val="both"/>
        <w:rPr>
          <w:rFonts w:eastAsia="Times New Roman"/>
          <w:i/>
        </w:rPr>
      </w:pPr>
      <w:r w:rsidRPr="002907FE">
        <w:rPr>
          <w:rFonts w:eastAsia="Times New Roman"/>
          <w:b/>
        </w:rPr>
        <w:t xml:space="preserve">Gairių </w:t>
      </w:r>
      <w:r w:rsidRPr="008F7C59">
        <w:rPr>
          <w:rFonts w:eastAsia="Times New Roman"/>
          <w:b/>
        </w:rPr>
        <w:t xml:space="preserve">7 </w:t>
      </w:r>
      <w:r w:rsidRPr="002907FE">
        <w:rPr>
          <w:rFonts w:eastAsia="Times New Roman"/>
          <w:b/>
        </w:rPr>
        <w:t>punktas:</w:t>
      </w:r>
      <w:r w:rsidR="00E7130D" w:rsidRPr="002907FE">
        <w:rPr>
          <w:rFonts w:eastAsia="Times New Roman"/>
        </w:rPr>
        <w:t xml:space="preserve"> </w:t>
      </w:r>
      <w:r w:rsidR="00E7130D" w:rsidRPr="009022BD">
        <w:rPr>
          <w:rFonts w:eastAsia="Times New Roman"/>
          <w:i/>
        </w:rPr>
        <w:t xml:space="preserve">Teikiant siūlymą įsteigti naują viešojo sektoriaus įstaigą, kartu turi būti pateiktas išsamus siūlomo sprendimo pagrindimas, apimantis visų galimų alternatyvų, atitinkančių Gairių 5 ir 6 punktų nuostatas (taip pat ir tų, kurios buvo nagrinėtos ir atmestos), analizės rezultatus. </w:t>
      </w:r>
    </w:p>
    <w:p w:rsidR="00F24B6D" w:rsidRDefault="00F24B6D" w:rsidP="00161AD2">
      <w:pPr>
        <w:pStyle w:val="Sraopastraipa"/>
        <w:numPr>
          <w:ilvl w:val="0"/>
          <w:numId w:val="6"/>
        </w:numPr>
        <w:jc w:val="both"/>
      </w:pPr>
      <w:r>
        <w:t xml:space="preserve">Buvo svarstytos kitos alternatyvos: </w:t>
      </w:r>
      <w:r w:rsidR="00161AD2">
        <w:t>VPSP</w:t>
      </w:r>
      <w:r>
        <w:t xml:space="preserve"> įgyvendinti darbo grupės formatu arba steigiant atskirą padalinį </w:t>
      </w:r>
      <w:r w:rsidR="00172F35">
        <w:t>valstybės institucijoje ar įstaigoje, kur</w:t>
      </w:r>
      <w:r w:rsidR="00E35B39">
        <w:t>i</w:t>
      </w:r>
      <w:r w:rsidR="00172F35">
        <w:t xml:space="preserve"> </w:t>
      </w:r>
      <w:r w:rsidR="00611EC2">
        <w:t xml:space="preserve">įgyvendina </w:t>
      </w:r>
      <w:r w:rsidR="00172F35">
        <w:t>pinigų plovimo prevencijos priemon</w:t>
      </w:r>
      <w:r w:rsidR="00611EC2">
        <w:t>es, a</w:t>
      </w:r>
      <w:r w:rsidR="000559CA">
        <w:t>t</w:t>
      </w:r>
      <w:r w:rsidR="00611EC2">
        <w:t>lieka šių priemonių įgyvendinimo vertinimą</w:t>
      </w:r>
      <w:r w:rsidR="00172F35">
        <w:t xml:space="preserve"> arba formuoja politiką</w:t>
      </w:r>
      <w:r>
        <w:t>.</w:t>
      </w:r>
    </w:p>
    <w:p w:rsidR="00F24B6D" w:rsidRDefault="00F24B6D" w:rsidP="00161AD2">
      <w:pPr>
        <w:pStyle w:val="Sraopastraipa"/>
        <w:numPr>
          <w:ilvl w:val="0"/>
          <w:numId w:val="6"/>
        </w:numPr>
        <w:jc w:val="both"/>
      </w:pPr>
      <w:r>
        <w:t xml:space="preserve">Darbo grupės formato variantas darbo grupės narių vienbalsiai buvo atmestas kaip neefektyvus, kadangi </w:t>
      </w:r>
      <w:r w:rsidR="00172F35">
        <w:t xml:space="preserve">efektyviam </w:t>
      </w:r>
      <w:r>
        <w:t>partnerystės</w:t>
      </w:r>
      <w:r w:rsidR="00172F35">
        <w:t xml:space="preserve"> modelio</w:t>
      </w:r>
      <w:r>
        <w:t xml:space="preserve"> įgyvendinimui reikia </w:t>
      </w:r>
      <w:r w:rsidR="00172F35">
        <w:t>nemažų piniginių ir žmogiškųjų išteklių</w:t>
      </w:r>
      <w:r>
        <w:t xml:space="preserve">, </w:t>
      </w:r>
      <w:r w:rsidR="00172F35">
        <w:t>kurių</w:t>
      </w:r>
      <w:r>
        <w:t xml:space="preserve"> </w:t>
      </w:r>
      <w:r w:rsidR="00172F35">
        <w:t xml:space="preserve">pakankamai </w:t>
      </w:r>
      <w:r>
        <w:t xml:space="preserve">šiuo metu </w:t>
      </w:r>
      <w:r w:rsidR="00172F35">
        <w:t>valstybės institucijos neturi arba šiam tikslui negali skirti</w:t>
      </w:r>
      <w:r>
        <w:t>;</w:t>
      </w:r>
    </w:p>
    <w:p w:rsidR="00F24B6D" w:rsidRDefault="00F24B6D" w:rsidP="00161AD2">
      <w:pPr>
        <w:pStyle w:val="Sraopastraipa"/>
        <w:numPr>
          <w:ilvl w:val="0"/>
          <w:numId w:val="6"/>
        </w:numPr>
        <w:jc w:val="both"/>
      </w:pPr>
      <w:r>
        <w:t>Kita alternatyva – įsteigti padalinį, kuri</w:t>
      </w:r>
      <w:r w:rsidR="00E35B39">
        <w:t>am</w:t>
      </w:r>
      <w:r>
        <w:t xml:space="preserve"> būtų </w:t>
      </w:r>
      <w:r w:rsidR="00E35B39">
        <w:t xml:space="preserve">pavesta partnerystę </w:t>
      </w:r>
      <w:r>
        <w:t>įgyvendinti</w:t>
      </w:r>
      <w:r w:rsidR="00E35B39">
        <w:t xml:space="preserve"> ir užtikrinti</w:t>
      </w:r>
      <w:r>
        <w:t xml:space="preserve">, buvo įvertinta kaip mažiau efektyvi nei </w:t>
      </w:r>
      <w:proofErr w:type="spellStart"/>
      <w:r w:rsidR="00D05FAA">
        <w:t>VšĮ</w:t>
      </w:r>
      <w:proofErr w:type="spellEnd"/>
      <w:r>
        <w:t xml:space="preserve"> formatas dėl šių priežasčių:  </w:t>
      </w:r>
    </w:p>
    <w:p w:rsidR="00F24B6D" w:rsidRPr="00667745" w:rsidRDefault="00161AD2" w:rsidP="00161AD2">
      <w:pPr>
        <w:pStyle w:val="Sraopastraipa"/>
        <w:numPr>
          <w:ilvl w:val="0"/>
          <w:numId w:val="6"/>
        </w:numPr>
        <w:jc w:val="both"/>
      </w:pPr>
      <w:r>
        <w:t>a</w:t>
      </w:r>
      <w:r w:rsidR="00F24B6D">
        <w:t>)</w:t>
      </w:r>
      <w:r w:rsidR="00F24B6D" w:rsidRPr="00667745">
        <w:t xml:space="preserve"> </w:t>
      </w:r>
      <w:r>
        <w:t>p</w:t>
      </w:r>
      <w:r w:rsidR="00F24B6D" w:rsidRPr="00667745">
        <w:t>riklausomumas</w:t>
      </w:r>
      <w:r w:rsidR="00F24B6D">
        <w:t xml:space="preserve"> (</w:t>
      </w:r>
      <w:r w:rsidR="00F24B6D" w:rsidRPr="00667745">
        <w:t>pavaldumas</w:t>
      </w:r>
      <w:r w:rsidR="00F24B6D">
        <w:t>)</w:t>
      </w:r>
      <w:r w:rsidR="00F24B6D" w:rsidRPr="00667745">
        <w:t xml:space="preserve"> institucijos vadovybei: Padalinys negalė</w:t>
      </w:r>
      <w:r w:rsidR="0022521E">
        <w:t>tų</w:t>
      </w:r>
      <w:r w:rsidR="00F24B6D" w:rsidRPr="00667745">
        <w:t xml:space="preserve"> veikti kaip nešališkas ir nepriklausomas subjektas, jo veiklos prioritet</w:t>
      </w:r>
      <w:r w:rsidR="00F24B6D">
        <w:t xml:space="preserve">as </w:t>
      </w:r>
      <w:r w:rsidR="00F24B6D" w:rsidRPr="00667745">
        <w:t>ir biudžeto perskirstymas priklausy</w:t>
      </w:r>
      <w:r w:rsidR="0022521E">
        <w:t>tų</w:t>
      </w:r>
      <w:r w:rsidR="00F24B6D" w:rsidRPr="00667745">
        <w:t xml:space="preserve"> nuo institucijos veiklos prioritetų;</w:t>
      </w:r>
    </w:p>
    <w:p w:rsidR="00F24B6D" w:rsidRPr="00703DC1" w:rsidRDefault="00161AD2" w:rsidP="00161AD2">
      <w:pPr>
        <w:pStyle w:val="Sraopastraipa"/>
        <w:numPr>
          <w:ilvl w:val="0"/>
          <w:numId w:val="6"/>
        </w:numPr>
        <w:jc w:val="both"/>
      </w:pPr>
      <w:r>
        <w:t>b</w:t>
      </w:r>
      <w:r w:rsidR="00F24B6D">
        <w:t xml:space="preserve">) </w:t>
      </w:r>
      <w:r>
        <w:t>f</w:t>
      </w:r>
      <w:r w:rsidR="00F24B6D" w:rsidRPr="003832A6">
        <w:t>inansavim</w:t>
      </w:r>
      <w:r w:rsidR="00084721">
        <w:t>ą</w:t>
      </w:r>
      <w:r w:rsidR="008B560C">
        <w:t xml:space="preserve"> </w:t>
      </w:r>
      <w:r w:rsidR="00F24B6D" w:rsidRPr="003832A6">
        <w:t>valstybės institucijai</w:t>
      </w:r>
      <w:r w:rsidR="00084721">
        <w:t xml:space="preserve"> skiriant</w:t>
      </w:r>
      <w:r w:rsidR="00F24B6D" w:rsidRPr="003832A6">
        <w:t xml:space="preserve"> iš valstybės biudžeto, atsiranda rizika, kad darbo užmokesčiui ar turto įsigij</w:t>
      </w:r>
      <w:r w:rsidR="00F24B6D">
        <w:t>imui</w:t>
      </w:r>
      <w:r w:rsidR="00084721">
        <w:t xml:space="preserve"> skiriamas finansavimas</w:t>
      </w:r>
      <w:r w:rsidR="00F24B6D">
        <w:t xml:space="preserve"> gali būti</w:t>
      </w:r>
      <w:r w:rsidR="00084721">
        <w:t xml:space="preserve"> perskirstytas ir</w:t>
      </w:r>
      <w:r w:rsidR="00F24B6D">
        <w:t xml:space="preserve"> panaudotas ne viešojo ir </w:t>
      </w:r>
      <w:r w:rsidR="00E9372E">
        <w:t>privataus</w:t>
      </w:r>
      <w:r w:rsidR="00F24B6D">
        <w:t xml:space="preserve"> sektorių bendradarbiavimo stiprinimo tiksl</w:t>
      </w:r>
      <w:r w:rsidR="00172F35">
        <w:t>ais</w:t>
      </w:r>
      <w:r w:rsidR="00F24B6D">
        <w:t>;</w:t>
      </w:r>
      <w:r w:rsidR="00F24B6D" w:rsidRPr="00703DC1">
        <w:t xml:space="preserve"> </w:t>
      </w:r>
    </w:p>
    <w:p w:rsidR="00F24B6D" w:rsidRPr="00B33BA5" w:rsidRDefault="00161AD2" w:rsidP="00161AD2">
      <w:pPr>
        <w:pStyle w:val="Sraopastraipa"/>
        <w:numPr>
          <w:ilvl w:val="0"/>
          <w:numId w:val="6"/>
        </w:numPr>
        <w:jc w:val="both"/>
      </w:pPr>
      <w:r>
        <w:t>c</w:t>
      </w:r>
      <w:r w:rsidR="00F24B6D">
        <w:t xml:space="preserve">) </w:t>
      </w:r>
      <w:r>
        <w:t>m</w:t>
      </w:r>
      <w:r w:rsidR="00F24B6D" w:rsidRPr="00B33BA5">
        <w:t xml:space="preserve">ažesnės galimybės pritraukti geriausius specialistus ir juos motyvuoti; </w:t>
      </w:r>
    </w:p>
    <w:p w:rsidR="00F24B6D" w:rsidRPr="007D1A73" w:rsidRDefault="00161AD2" w:rsidP="00161AD2">
      <w:pPr>
        <w:pStyle w:val="Sraopastraipa"/>
        <w:numPr>
          <w:ilvl w:val="0"/>
          <w:numId w:val="6"/>
        </w:numPr>
        <w:jc w:val="both"/>
      </w:pPr>
      <w:r>
        <w:t>d</w:t>
      </w:r>
      <w:r w:rsidR="00F24B6D">
        <w:t>)</w:t>
      </w:r>
      <w:r w:rsidR="00F24B6D" w:rsidRPr="007D1A73">
        <w:t xml:space="preserve"> </w:t>
      </w:r>
      <w:r>
        <w:t>l</w:t>
      </w:r>
      <w:r w:rsidR="00F24B6D" w:rsidRPr="007D1A73">
        <w:t>ėtesnis</w:t>
      </w:r>
      <w:r w:rsidR="00084721">
        <w:t xml:space="preserve"> veiklos vykdymui svarbi</w:t>
      </w:r>
      <w:r w:rsidR="008B560C">
        <w:t>ų</w:t>
      </w:r>
      <w:r w:rsidR="00F24B6D" w:rsidRPr="007D1A73">
        <w:t xml:space="preserve"> sprendimų priėmimas ir jų įgyvendinimas</w:t>
      </w:r>
      <w:r w:rsidR="00E35B39">
        <w:t xml:space="preserve">, </w:t>
      </w:r>
      <w:r w:rsidR="00084721">
        <w:t xml:space="preserve">sudėtingesnis </w:t>
      </w:r>
      <w:r w:rsidR="00E35B39">
        <w:t>atskaitomybė</w:t>
      </w:r>
      <w:r w:rsidR="00084721">
        <w:t>s</w:t>
      </w:r>
      <w:r w:rsidR="00E35B39">
        <w:t xml:space="preserve"> ir atsakomybė</w:t>
      </w:r>
      <w:r w:rsidR="00084721">
        <w:t>s</w:t>
      </w:r>
      <w:r w:rsidR="00E35B39">
        <w:t xml:space="preserve"> už</w:t>
      </w:r>
      <w:r w:rsidR="00084721">
        <w:t xml:space="preserve"> tinkamą</w:t>
      </w:r>
      <w:r w:rsidR="00E35B39">
        <w:t xml:space="preserve"> funkcijų vykdymą</w:t>
      </w:r>
      <w:r w:rsidR="00084721">
        <w:t xml:space="preserve"> mechanizmas</w:t>
      </w:r>
      <w:r w:rsidR="00F24B6D" w:rsidRPr="007D1A73">
        <w:t>;</w:t>
      </w:r>
    </w:p>
    <w:p w:rsidR="00F24B6D" w:rsidRPr="0056101D" w:rsidRDefault="00161AD2" w:rsidP="00161AD2">
      <w:pPr>
        <w:pStyle w:val="Sraopastraipa"/>
        <w:numPr>
          <w:ilvl w:val="0"/>
          <w:numId w:val="6"/>
        </w:numPr>
        <w:jc w:val="both"/>
      </w:pPr>
      <w:r>
        <w:t>e</w:t>
      </w:r>
      <w:r w:rsidR="00F24B6D">
        <w:t>)</w:t>
      </w:r>
      <w:r w:rsidR="00F24B6D" w:rsidRPr="0056101D">
        <w:t xml:space="preserve"> </w:t>
      </w:r>
      <w:r>
        <w:t>n</w:t>
      </w:r>
      <w:r w:rsidR="00E35B39">
        <w:t>ebūtų galima tiesiogiai</w:t>
      </w:r>
      <w:r w:rsidR="00F24B6D" w:rsidRPr="0056101D">
        <w:t xml:space="preserve"> dalyvauti ES ar kituose tarptautiniuose projektuose ir pritraukti </w:t>
      </w:r>
      <w:r w:rsidR="00E35B39">
        <w:t xml:space="preserve">tikslinį </w:t>
      </w:r>
      <w:r w:rsidR="00F24B6D" w:rsidRPr="0056101D">
        <w:t>finansavimą iš privačių asmenų paramos ES ar kitų tarptautinių fondų. Padalinys nebūtų atskiras paramos gavėjas;</w:t>
      </w:r>
    </w:p>
    <w:p w:rsidR="00F24B6D" w:rsidRPr="0056101D" w:rsidRDefault="00161AD2" w:rsidP="00161AD2">
      <w:pPr>
        <w:pStyle w:val="Sraopastraipa"/>
        <w:numPr>
          <w:ilvl w:val="0"/>
          <w:numId w:val="6"/>
        </w:numPr>
        <w:spacing w:after="240"/>
        <w:jc w:val="both"/>
      </w:pPr>
      <w:r>
        <w:t>f</w:t>
      </w:r>
      <w:r w:rsidR="00F24B6D">
        <w:t>)</w:t>
      </w:r>
      <w:r>
        <w:t xml:space="preserve"> m</w:t>
      </w:r>
      <w:r w:rsidR="00F24B6D" w:rsidRPr="0056101D">
        <w:t xml:space="preserve">ažesnis </w:t>
      </w:r>
      <w:r w:rsidR="00E35B39">
        <w:t>privataus</w:t>
      </w:r>
      <w:r w:rsidR="00075866">
        <w:t xml:space="preserve"> </w:t>
      </w:r>
      <w:r w:rsidR="00F24B6D" w:rsidRPr="0056101D">
        <w:t>sektoriaus pasitikėjimas</w:t>
      </w:r>
      <w:r w:rsidR="00E35B39">
        <w:t xml:space="preserve"> </w:t>
      </w:r>
      <w:r>
        <w:t>VPSP</w:t>
      </w:r>
      <w:r w:rsidR="00E35B39">
        <w:t xml:space="preserve"> modeliu</w:t>
      </w:r>
      <w:r w:rsidR="00075866">
        <w:t xml:space="preserve"> ir atsakomybė už bendradarbiavimo palaikymą</w:t>
      </w:r>
      <w:r w:rsidR="00F24B6D" w:rsidRPr="0056101D">
        <w:t xml:space="preserve"> </w:t>
      </w:r>
    </w:p>
    <w:p w:rsidR="00E7130D" w:rsidRDefault="0066162B" w:rsidP="00161AD2">
      <w:pPr>
        <w:spacing w:after="240"/>
        <w:jc w:val="both"/>
        <w:rPr>
          <w:rFonts w:eastAsia="Times New Roman"/>
          <w:i/>
        </w:rPr>
      </w:pPr>
      <w:r w:rsidRPr="002907FE">
        <w:rPr>
          <w:rFonts w:eastAsia="Times New Roman"/>
          <w:b/>
        </w:rPr>
        <w:t xml:space="preserve">Gairių </w:t>
      </w:r>
      <w:r w:rsidRPr="0066162B">
        <w:rPr>
          <w:rFonts w:eastAsia="Times New Roman"/>
          <w:b/>
        </w:rPr>
        <w:t>11</w:t>
      </w:r>
      <w:r w:rsidRPr="002907FE">
        <w:rPr>
          <w:rFonts w:eastAsia="Times New Roman"/>
          <w:b/>
        </w:rPr>
        <w:t xml:space="preserve"> punktas</w:t>
      </w:r>
      <w:r>
        <w:rPr>
          <w:rFonts w:eastAsia="Times New Roman"/>
        </w:rPr>
        <w:t>:</w:t>
      </w:r>
      <w:r w:rsidR="00E7130D" w:rsidRPr="002907FE">
        <w:rPr>
          <w:rFonts w:eastAsia="Times New Roman"/>
        </w:rPr>
        <w:t xml:space="preserve"> </w:t>
      </w:r>
      <w:r w:rsidR="00E7130D" w:rsidRPr="0066162B">
        <w:rPr>
          <w:rFonts w:eastAsia="Times New Roman"/>
          <w:i/>
        </w:rPr>
        <w:t>Kiekvienos viešojo sektoriaus įstaigos nuostatuose (įstatuose) siekiama nurodyti ministrui pavestą valdymo sritį (pavestas valdymo sritis), kurioje (kuriose) veikia ši įstaiga.</w:t>
      </w:r>
    </w:p>
    <w:p w:rsidR="0066162B" w:rsidRPr="0066162B" w:rsidRDefault="00074043" w:rsidP="00161AD2">
      <w:pPr>
        <w:pStyle w:val="Sraopastraipa"/>
        <w:numPr>
          <w:ilvl w:val="0"/>
          <w:numId w:val="5"/>
        </w:numPr>
        <w:jc w:val="both"/>
        <w:rPr>
          <w:rFonts w:eastAsia="Times New Roman"/>
        </w:rPr>
      </w:pPr>
      <w:r>
        <w:rPr>
          <w:rFonts w:eastAsia="Times New Roman"/>
        </w:rPr>
        <w:lastRenderedPageBreak/>
        <w:t>Įstatuose nurodyta,</w:t>
      </w:r>
      <w:r w:rsidR="00161AD2">
        <w:rPr>
          <w:rFonts w:eastAsia="Times New Roman"/>
        </w:rPr>
        <w:t xml:space="preserve"> kad </w:t>
      </w:r>
      <w:r w:rsidR="00161AD2">
        <w:t>Pinigų plovimo prevencijos</w:t>
      </w:r>
      <w:r w:rsidR="00161AD2">
        <w:rPr>
          <w:rFonts w:eastAsia="Times New Roman"/>
        </w:rPr>
        <w:t xml:space="preserve"> kompetencijų centras veiks pinigų plovimo prevencijos </w:t>
      </w:r>
      <w:r>
        <w:rPr>
          <w:rFonts w:eastAsia="Times New Roman"/>
        </w:rPr>
        <w:t>ir</w:t>
      </w:r>
      <w:r w:rsidR="00161AD2">
        <w:rPr>
          <w:rFonts w:eastAsia="Times New Roman"/>
        </w:rPr>
        <w:t xml:space="preserve"> Finansų ministrui</w:t>
      </w:r>
      <w:r>
        <w:rPr>
          <w:rFonts w:eastAsia="Times New Roman"/>
        </w:rPr>
        <w:t xml:space="preserve"> pavestoje finansų rinkos ir finansinių paslaugų valdymo srityje</w:t>
      </w:r>
      <w:r w:rsidR="008B560C">
        <w:rPr>
          <w:rFonts w:eastAsia="Times New Roman"/>
        </w:rPr>
        <w:t>.</w:t>
      </w:r>
    </w:p>
    <w:p w:rsidR="00E7130D" w:rsidRPr="002907FE" w:rsidRDefault="00E7130D" w:rsidP="00E7130D">
      <w:pPr>
        <w:rPr>
          <w:rFonts w:eastAsia="Times New Roman"/>
        </w:rPr>
      </w:pPr>
      <w:r w:rsidRPr="002907FE">
        <w:rPr>
          <w:rFonts w:eastAsia="Times New Roman"/>
        </w:rPr>
        <w:t> </w:t>
      </w:r>
    </w:p>
    <w:p w:rsidR="00E7130D" w:rsidRPr="0066162B" w:rsidRDefault="0066162B" w:rsidP="00A9680D">
      <w:pPr>
        <w:spacing w:after="240"/>
        <w:jc w:val="both"/>
        <w:rPr>
          <w:rFonts w:eastAsia="Times New Roman"/>
          <w:i/>
        </w:rPr>
      </w:pPr>
      <w:r w:rsidRPr="0066162B">
        <w:rPr>
          <w:rFonts w:eastAsia="Times New Roman"/>
          <w:b/>
        </w:rPr>
        <w:t>Gairių 12 punktas</w:t>
      </w:r>
      <w:r>
        <w:rPr>
          <w:rFonts w:eastAsia="Times New Roman"/>
        </w:rPr>
        <w:t>:</w:t>
      </w:r>
      <w:r w:rsidRPr="002907FE">
        <w:rPr>
          <w:rFonts w:eastAsia="Times New Roman"/>
        </w:rPr>
        <w:t xml:space="preserve"> </w:t>
      </w:r>
      <w:r w:rsidR="00E7130D" w:rsidRPr="0066162B">
        <w:rPr>
          <w:rFonts w:eastAsia="Times New Roman"/>
          <w:i/>
        </w:rPr>
        <w:t>Siekiama, kad viešojo sektoriaus įstaigų kompetenciją (funkcijas) nustatančiuose teisės aktuose jų funkcijos būtų dėstomos kaip konkreti priskirta veikla.</w:t>
      </w:r>
    </w:p>
    <w:p w:rsidR="000F13C7" w:rsidRDefault="000F13C7" w:rsidP="000F13C7">
      <w:pPr>
        <w:pStyle w:val="Sraopastraipa"/>
        <w:numPr>
          <w:ilvl w:val="0"/>
          <w:numId w:val="5"/>
        </w:numPr>
      </w:pPr>
      <w:r>
        <w:t xml:space="preserve">Siūloma, kad </w:t>
      </w:r>
      <w:proofErr w:type="spellStart"/>
      <w:r w:rsidR="00D05FAA">
        <w:t>VšĮ</w:t>
      </w:r>
      <w:proofErr w:type="spellEnd"/>
      <w:r>
        <w:t xml:space="preserve"> </w:t>
      </w:r>
      <w:r w:rsidR="00A9680D">
        <w:t>Pinigų plovimo prevencijos</w:t>
      </w:r>
      <w:r w:rsidR="00A9680D">
        <w:rPr>
          <w:rFonts w:eastAsia="Times New Roman"/>
        </w:rPr>
        <w:t xml:space="preserve"> kompetencijų</w:t>
      </w:r>
      <w:r>
        <w:t xml:space="preserve"> centro funkcijos būtų šios:</w:t>
      </w:r>
    </w:p>
    <w:p w:rsidR="00627E40" w:rsidRPr="003622B3" w:rsidRDefault="00627E40" w:rsidP="00627E40">
      <w:pPr>
        <w:pStyle w:val="Sraopastraipa"/>
        <w:numPr>
          <w:ilvl w:val="1"/>
          <w:numId w:val="5"/>
        </w:numPr>
        <w:tabs>
          <w:tab w:val="left" w:pos="285"/>
          <w:tab w:val="left" w:pos="456"/>
        </w:tabs>
        <w:spacing w:line="259" w:lineRule="auto"/>
        <w:ind w:right="-57"/>
        <w:jc w:val="both"/>
        <w:rPr>
          <w:spacing w:val="-2"/>
        </w:rPr>
      </w:pPr>
      <w:r w:rsidRPr="003622B3">
        <w:t>Kurti ir administruoti viešojo ir privataus sektorių bendradarbiavimo ir dalijimosi informacija pinigų plovimo ir teroristų finansavimo prevencijos srityje platformą;</w:t>
      </w:r>
    </w:p>
    <w:p w:rsidR="000F13C7" w:rsidRPr="0056101D" w:rsidRDefault="000F13C7" w:rsidP="00161AD2">
      <w:pPr>
        <w:pStyle w:val="Sraopastraipa"/>
        <w:numPr>
          <w:ilvl w:val="1"/>
          <w:numId w:val="5"/>
        </w:numPr>
        <w:jc w:val="both"/>
      </w:pPr>
      <w:r w:rsidRPr="0056101D">
        <w:t xml:space="preserve">Organizuoti ir koordinuoti tarpusavio </w:t>
      </w:r>
      <w:r w:rsidR="00627E40">
        <w:t>viešojo ir privataus sektoriaus subjektų</w:t>
      </w:r>
      <w:r w:rsidRPr="0056101D">
        <w:t xml:space="preserve"> bendradarbiavimą, darbo grupių posėdžius, koordinuoti priimtų sprendimų įgyvendinimą;</w:t>
      </w:r>
    </w:p>
    <w:p w:rsidR="000F13C7" w:rsidRPr="0056101D" w:rsidRDefault="000F13C7" w:rsidP="006B56F9">
      <w:pPr>
        <w:pStyle w:val="Sraopastraipa"/>
        <w:numPr>
          <w:ilvl w:val="1"/>
          <w:numId w:val="5"/>
        </w:numPr>
        <w:jc w:val="both"/>
      </w:pPr>
      <w:r w:rsidRPr="0056101D">
        <w:t xml:space="preserve">Atlikti tyrimus, vertinimus ir analizes, rengti </w:t>
      </w:r>
      <w:r w:rsidR="006B56F9">
        <w:t xml:space="preserve">gerosios praktikos apibendrinimus </w:t>
      </w:r>
      <w:r w:rsidR="006B56F9" w:rsidRPr="006B56F9">
        <w:t xml:space="preserve">ir pasiūlymus dėl jos taikymo </w:t>
      </w:r>
      <w:r w:rsidR="00E9372E">
        <w:t>privataus</w:t>
      </w:r>
      <w:r w:rsidR="006B56F9" w:rsidRPr="006B56F9">
        <w:t xml:space="preserve"> sektoriaus subjektams atliekant pinigų plovimo ir teroristų finansavimo prevencijos vidaus rizikos vertinimą ir taikant pinigų plovimo ir teroristų finansavimo prevencijos priemones, taip pat </w:t>
      </w:r>
      <w:r w:rsidR="00C25808" w:rsidRPr="003622B3">
        <w:t xml:space="preserve">pinigų plovimo ir teroristų finansavimo prevencijos </w:t>
      </w:r>
      <w:r w:rsidR="00C25808">
        <w:t xml:space="preserve">valstybės politiką formuojančios institucijos prašymu </w:t>
      </w:r>
      <w:r w:rsidR="0039593C">
        <w:t>teikt</w:t>
      </w:r>
      <w:r w:rsidR="000953B1">
        <w:t>i</w:t>
      </w:r>
      <w:r w:rsidR="0039593C">
        <w:t xml:space="preserve"> ekspertinę nuomonę (išvadas ar pasiūlymus) dėl teisinio reguliavimo tobulinimo</w:t>
      </w:r>
      <w:r w:rsidRPr="0056101D">
        <w:t xml:space="preserve"> </w:t>
      </w:r>
      <w:r w:rsidR="00627E40" w:rsidRPr="003622B3">
        <w:t>;</w:t>
      </w:r>
    </w:p>
    <w:p w:rsidR="000F13C7" w:rsidRPr="0056101D" w:rsidRDefault="006B56F9" w:rsidP="00161AD2">
      <w:pPr>
        <w:pStyle w:val="Sraopastraipa"/>
        <w:numPr>
          <w:ilvl w:val="1"/>
          <w:numId w:val="5"/>
        </w:numPr>
        <w:jc w:val="both"/>
      </w:pPr>
      <w:r>
        <w:t xml:space="preserve">Kurti </w:t>
      </w:r>
      <w:r w:rsidR="000F13C7" w:rsidRPr="0056101D">
        <w:t xml:space="preserve">ir ugdyti viešojo ir </w:t>
      </w:r>
      <w:r w:rsidR="00E9372E">
        <w:t>privataus</w:t>
      </w:r>
      <w:r w:rsidR="000F13C7" w:rsidRPr="0056101D">
        <w:t xml:space="preserve"> </w:t>
      </w:r>
      <w:r w:rsidR="000F13C7">
        <w:t>sektorių</w:t>
      </w:r>
      <w:r w:rsidR="000F13C7" w:rsidRPr="0056101D">
        <w:t xml:space="preserve"> subjektų ir jų darbuotojų kompetenciją </w:t>
      </w:r>
      <w:r w:rsidR="00627E40" w:rsidRPr="003622B3">
        <w:t>pinigų plovimo ir teroristų finansavimo prevencijos</w:t>
      </w:r>
      <w:r w:rsidR="00627E40">
        <w:t xml:space="preserve"> srityje</w:t>
      </w:r>
      <w:r w:rsidR="000F13C7" w:rsidRPr="0056101D">
        <w:t>, organizuoti mokymus, seminarus, konferencijas ir kitus renginius;</w:t>
      </w:r>
    </w:p>
    <w:p w:rsidR="00627E40" w:rsidRPr="003622B3" w:rsidRDefault="00627E40" w:rsidP="00627E40">
      <w:pPr>
        <w:pStyle w:val="Sraopastraipa"/>
        <w:numPr>
          <w:ilvl w:val="1"/>
          <w:numId w:val="5"/>
        </w:numPr>
        <w:tabs>
          <w:tab w:val="left" w:pos="285"/>
          <w:tab w:val="left" w:pos="456"/>
        </w:tabs>
        <w:spacing w:line="259" w:lineRule="auto"/>
        <w:ind w:right="-57"/>
        <w:jc w:val="both"/>
        <w:rPr>
          <w:spacing w:val="-2"/>
        </w:rPr>
      </w:pPr>
      <w:r w:rsidRPr="003622B3">
        <w:t>Viešinti bendradarbiavimo bei pinigų plovimo ir teroristų finansavimo prevencijos priemonių taikymo Lietuvos Respublikoje veiklą.</w:t>
      </w:r>
    </w:p>
    <w:p w:rsidR="00627E40" w:rsidRPr="000F13C7" w:rsidRDefault="00627E40" w:rsidP="001C695F">
      <w:pPr>
        <w:spacing w:after="240"/>
        <w:ind w:left="1140"/>
        <w:jc w:val="both"/>
      </w:pPr>
    </w:p>
    <w:p w:rsidR="001C695F" w:rsidRPr="008F7C59" w:rsidRDefault="0066162B" w:rsidP="008F7C59">
      <w:pPr>
        <w:spacing w:after="240"/>
        <w:jc w:val="both"/>
        <w:rPr>
          <w:rFonts w:eastAsia="Times New Roman"/>
        </w:rPr>
      </w:pPr>
      <w:r w:rsidRPr="008F7C59">
        <w:rPr>
          <w:rFonts w:eastAsia="Times New Roman"/>
          <w:b/>
        </w:rPr>
        <w:t>Gairių 32 punktas:</w:t>
      </w:r>
      <w:r w:rsidR="00E7130D" w:rsidRPr="008F7C59">
        <w:rPr>
          <w:rFonts w:eastAsia="Times New Roman"/>
        </w:rPr>
        <w:t xml:space="preserve"> </w:t>
      </w:r>
      <w:r w:rsidR="00E7130D" w:rsidRPr="008F7C59">
        <w:rPr>
          <w:rFonts w:eastAsia="Times New Roman"/>
          <w:i/>
        </w:rPr>
        <w:t>Kai daugiau nei 1/2 viešojo sektoriaus įstaigos funkcijų (ar siūlomai įsteigti viešojo sektoriaus įstaigai numatomų funkcijų) yra viešųjų paslaugų teikimas – paprastai jos te</w:t>
      </w:r>
      <w:r w:rsidR="001C695F" w:rsidRPr="008F7C59">
        <w:rPr>
          <w:rFonts w:eastAsia="Times New Roman"/>
          <w:i/>
        </w:rPr>
        <w:t>isinė forma yra viešoji įstaiga.</w:t>
      </w:r>
    </w:p>
    <w:p w:rsidR="001C695F" w:rsidRPr="001C695F" w:rsidRDefault="0039593C" w:rsidP="008F7C59">
      <w:pPr>
        <w:pStyle w:val="Sraopastraipa"/>
        <w:numPr>
          <w:ilvl w:val="0"/>
          <w:numId w:val="5"/>
        </w:numPr>
        <w:spacing w:after="240"/>
        <w:jc w:val="both"/>
        <w:rPr>
          <w:rFonts w:eastAsia="Times New Roman"/>
        </w:rPr>
      </w:pPr>
      <w:proofErr w:type="spellStart"/>
      <w:r>
        <w:t>VšĮ</w:t>
      </w:r>
      <w:proofErr w:type="spellEnd"/>
      <w:r>
        <w:t xml:space="preserve"> Pinigų plovimo prevencijos</w:t>
      </w:r>
      <w:r>
        <w:rPr>
          <w:rFonts w:eastAsia="Times New Roman"/>
        </w:rPr>
        <w:t xml:space="preserve"> kompetencijų</w:t>
      </w:r>
      <w:r>
        <w:t xml:space="preserve"> centras </w:t>
      </w:r>
      <w:r w:rsidR="00C25808">
        <w:t xml:space="preserve">viešųjų paslaugų neteiks, bet </w:t>
      </w:r>
      <w:r>
        <w:t>atliks valstybei svarbias funkcijas.</w:t>
      </w:r>
    </w:p>
    <w:p w:rsidR="00E7130D" w:rsidRPr="002907FE" w:rsidRDefault="0066162B" w:rsidP="00A9680D">
      <w:pPr>
        <w:spacing w:after="240"/>
        <w:jc w:val="both"/>
        <w:rPr>
          <w:rFonts w:eastAsia="Times New Roman"/>
        </w:rPr>
      </w:pPr>
      <w:r w:rsidRPr="002907FE">
        <w:rPr>
          <w:rFonts w:eastAsia="Times New Roman"/>
          <w:b/>
        </w:rPr>
        <w:t xml:space="preserve">Gairių </w:t>
      </w:r>
      <w:r w:rsidRPr="0066162B">
        <w:rPr>
          <w:rFonts w:eastAsia="Times New Roman"/>
          <w:b/>
        </w:rPr>
        <w:t>33</w:t>
      </w:r>
      <w:r w:rsidRPr="002907FE">
        <w:rPr>
          <w:rFonts w:eastAsia="Times New Roman"/>
          <w:b/>
        </w:rPr>
        <w:t xml:space="preserve"> punktas</w:t>
      </w:r>
      <w:r>
        <w:rPr>
          <w:rFonts w:eastAsia="Times New Roman"/>
        </w:rPr>
        <w:t>:</w:t>
      </w:r>
      <w:r w:rsidR="00E7130D" w:rsidRPr="002907FE">
        <w:rPr>
          <w:rFonts w:eastAsia="Times New Roman"/>
        </w:rPr>
        <w:t xml:space="preserve"> </w:t>
      </w:r>
      <w:r w:rsidR="00E7130D" w:rsidRPr="0066162B">
        <w:rPr>
          <w:rFonts w:eastAsia="Times New Roman"/>
          <w:i/>
        </w:rPr>
        <w:t>Valstybė ar savivaldybės galėtų dalyvauti tik tose viešosiose įstaigose, kurios vykdo viešojo administravimo veiklą, teikia viešąsias paslaugas ar atlieka kitas valstybei ar savivaldybei svarbias funkcijas. Kitais atvejais siūloma atsisakyti valstybės ar savivaldybių dalyvavimo viešosiose įstaigose kaip netikslingo.</w:t>
      </w:r>
    </w:p>
    <w:p w:rsidR="008F7C59" w:rsidRPr="008F7C59" w:rsidRDefault="00A9680D" w:rsidP="008F7C59">
      <w:pPr>
        <w:pStyle w:val="Sraopastraipa"/>
        <w:numPr>
          <w:ilvl w:val="0"/>
          <w:numId w:val="8"/>
        </w:numPr>
        <w:spacing w:after="240"/>
        <w:jc w:val="both"/>
        <w:rPr>
          <w:rFonts w:eastAsia="Times New Roman"/>
        </w:rPr>
      </w:pPr>
      <w:r>
        <w:t>Pinigų plovimo prevencijos</w:t>
      </w:r>
      <w:r w:rsidRPr="008F7C59">
        <w:rPr>
          <w:rFonts w:eastAsia="Times New Roman"/>
        </w:rPr>
        <w:t xml:space="preserve"> kompetencijų</w:t>
      </w:r>
      <w:r w:rsidR="000F13C7" w:rsidRPr="008F7C59">
        <w:rPr>
          <w:rFonts w:eastAsia="Times New Roman"/>
        </w:rPr>
        <w:t xml:space="preserve"> </w:t>
      </w:r>
      <w:r w:rsidR="006A06BB" w:rsidRPr="008F7C59">
        <w:rPr>
          <w:rFonts w:eastAsia="Times New Roman"/>
        </w:rPr>
        <w:t xml:space="preserve">centro </w:t>
      </w:r>
      <w:r w:rsidR="00640592" w:rsidRPr="008F7C59">
        <w:rPr>
          <w:rFonts w:eastAsia="Times New Roman"/>
        </w:rPr>
        <w:t>funkcijų įgyvendinimas</w:t>
      </w:r>
      <w:r w:rsidR="000F13C7" w:rsidRPr="008F7C59">
        <w:rPr>
          <w:rFonts w:eastAsia="Times New Roman"/>
        </w:rPr>
        <w:t xml:space="preserve"> prisidėtų prie viešųjų funkcijų</w:t>
      </w:r>
      <w:r w:rsidR="006A06BB" w:rsidRPr="008F7C59">
        <w:rPr>
          <w:rFonts w:eastAsia="Times New Roman"/>
        </w:rPr>
        <w:t>, kurias atlieka Pinigų plovimo ir teroristų finansavimo prevencijos įstatyme nustatytos priežiūros institucijos,</w:t>
      </w:r>
      <w:r w:rsidR="000F13C7" w:rsidRPr="008F7C59">
        <w:rPr>
          <w:rFonts w:eastAsia="Times New Roman"/>
        </w:rPr>
        <w:t xml:space="preserve"> </w:t>
      </w:r>
      <w:r w:rsidR="007D6204" w:rsidRPr="008F7C59">
        <w:rPr>
          <w:rFonts w:eastAsia="Times New Roman"/>
        </w:rPr>
        <w:t>PP/TF</w:t>
      </w:r>
      <w:r w:rsidR="007D6204" w:rsidRPr="008F7C59" w:rsidDel="007D6204">
        <w:rPr>
          <w:rFonts w:eastAsia="Times New Roman"/>
        </w:rPr>
        <w:t xml:space="preserve"> </w:t>
      </w:r>
      <w:r w:rsidR="000F13C7" w:rsidRPr="008F7C59">
        <w:rPr>
          <w:rFonts w:eastAsia="Times New Roman"/>
        </w:rPr>
        <w:t xml:space="preserve">prevencijos srityje kokybės gerinimo. </w:t>
      </w:r>
      <w:r w:rsidR="00C2352F" w:rsidRPr="008F7C59">
        <w:rPr>
          <w:rFonts w:eastAsia="Times New Roman"/>
        </w:rPr>
        <w:t>Daugiau apie svarbą ir naudą valstybei ir visuomenei žr. 43 punktą.</w:t>
      </w:r>
      <w:r w:rsidR="00F85F36" w:rsidRPr="008F7C59">
        <w:rPr>
          <w:rFonts w:eastAsia="Times New Roman"/>
        </w:rPr>
        <w:t xml:space="preserve"> Be to, centro veikla galės būti dengiama kitų vykdomų veiklų pajamomis</w:t>
      </w:r>
      <w:r w:rsidR="004B25D1" w:rsidRPr="008F7C59">
        <w:rPr>
          <w:rFonts w:eastAsia="Times New Roman"/>
        </w:rPr>
        <w:t xml:space="preserve"> (finansuos privataus sektoriaus subjektai)</w:t>
      </w:r>
      <w:r w:rsidR="00F85F36" w:rsidRPr="008F7C59">
        <w:rPr>
          <w:rFonts w:eastAsia="Times New Roman"/>
        </w:rPr>
        <w:t xml:space="preserve"> ir biudžeto lėšų nereikės. </w:t>
      </w:r>
    </w:p>
    <w:p w:rsidR="00E7130D" w:rsidRPr="006A06BB" w:rsidRDefault="0066162B" w:rsidP="008F7C59">
      <w:pPr>
        <w:spacing w:after="240"/>
        <w:jc w:val="both"/>
        <w:rPr>
          <w:rFonts w:eastAsia="Times New Roman"/>
        </w:rPr>
      </w:pPr>
      <w:r w:rsidRPr="006A06BB">
        <w:rPr>
          <w:rFonts w:eastAsia="Times New Roman"/>
          <w:b/>
        </w:rPr>
        <w:t>Gairių 35 punktas:</w:t>
      </w:r>
      <w:r w:rsidR="00E7130D" w:rsidRPr="006A06BB">
        <w:rPr>
          <w:rFonts w:eastAsia="Times New Roman"/>
        </w:rPr>
        <w:t xml:space="preserve"> </w:t>
      </w:r>
      <w:r w:rsidR="00E7130D" w:rsidRPr="006A06BB">
        <w:rPr>
          <w:rFonts w:eastAsia="Times New Roman"/>
          <w:i/>
        </w:rPr>
        <w:t>Viešosios įstaigos, kurios savininkė ar dalininkė yra valstybė ar savivaldybė, veiklą reguliuojančiuose teisės aktuose nustatomas baigtinis veiklų, kurias galėtų vykdyti ši viešoji įstaiga, sąrašas.</w:t>
      </w:r>
    </w:p>
    <w:p w:rsidR="00E7130D" w:rsidRPr="000F13C7" w:rsidRDefault="000F13C7" w:rsidP="00A9680D">
      <w:pPr>
        <w:pStyle w:val="Sraopastraipa"/>
        <w:numPr>
          <w:ilvl w:val="0"/>
          <w:numId w:val="8"/>
        </w:numPr>
        <w:spacing w:after="240"/>
        <w:jc w:val="both"/>
        <w:rPr>
          <w:rFonts w:eastAsia="Times New Roman"/>
        </w:rPr>
      </w:pPr>
      <w:r>
        <w:rPr>
          <w:rFonts w:eastAsia="Times New Roman"/>
        </w:rPr>
        <w:t xml:space="preserve">Prie </w:t>
      </w:r>
      <w:r>
        <w:rPr>
          <w:rFonts w:eastAsia="Times New Roman"/>
          <w:lang w:val="en-US"/>
        </w:rPr>
        <w:t xml:space="preserve">12 </w:t>
      </w:r>
      <w:r>
        <w:rPr>
          <w:rFonts w:eastAsia="Times New Roman"/>
        </w:rPr>
        <w:t xml:space="preserve">punkto pagrindimo yra nurodytas baigtinis sąrašas veiklų, kurias atliktų </w:t>
      </w:r>
      <w:proofErr w:type="spellStart"/>
      <w:r w:rsidR="00D05FAA">
        <w:rPr>
          <w:rFonts w:eastAsia="Times New Roman"/>
        </w:rPr>
        <w:t>VšĮ</w:t>
      </w:r>
      <w:proofErr w:type="spellEnd"/>
      <w:r>
        <w:rPr>
          <w:rFonts w:eastAsia="Times New Roman"/>
        </w:rPr>
        <w:t xml:space="preserve"> </w:t>
      </w:r>
      <w:r w:rsidR="00A9680D">
        <w:t>Pinigų plovimo prevencijos</w:t>
      </w:r>
      <w:r w:rsidR="00A9680D">
        <w:rPr>
          <w:rFonts w:eastAsia="Times New Roman"/>
        </w:rPr>
        <w:t xml:space="preserve"> kompetencijų</w:t>
      </w:r>
      <w:r>
        <w:rPr>
          <w:rFonts w:eastAsia="Times New Roman"/>
        </w:rPr>
        <w:t xml:space="preserve"> centras.</w:t>
      </w:r>
    </w:p>
    <w:p w:rsidR="00E7130D" w:rsidRPr="002907FE" w:rsidRDefault="0066162B" w:rsidP="00A9680D">
      <w:pPr>
        <w:spacing w:after="240"/>
        <w:jc w:val="both"/>
        <w:rPr>
          <w:rFonts w:eastAsia="Times New Roman"/>
        </w:rPr>
      </w:pPr>
      <w:r w:rsidRPr="002907FE">
        <w:rPr>
          <w:rFonts w:eastAsia="Times New Roman"/>
          <w:b/>
        </w:rPr>
        <w:lastRenderedPageBreak/>
        <w:t xml:space="preserve">Gairių </w:t>
      </w:r>
      <w:r>
        <w:rPr>
          <w:rFonts w:eastAsia="Times New Roman"/>
          <w:b/>
        </w:rPr>
        <w:t>37</w:t>
      </w:r>
      <w:r w:rsidRPr="002907FE">
        <w:rPr>
          <w:rFonts w:eastAsia="Times New Roman"/>
          <w:b/>
        </w:rPr>
        <w:t xml:space="preserve"> punktas</w:t>
      </w:r>
      <w:r>
        <w:rPr>
          <w:rFonts w:eastAsia="Times New Roman"/>
          <w:b/>
        </w:rPr>
        <w:t>:</w:t>
      </w:r>
      <w:r w:rsidR="00E7130D" w:rsidRPr="002907FE">
        <w:rPr>
          <w:rFonts w:eastAsia="Times New Roman"/>
        </w:rPr>
        <w:t xml:space="preserve"> </w:t>
      </w:r>
      <w:r w:rsidR="00E7130D" w:rsidRPr="0066162B">
        <w:rPr>
          <w:rFonts w:eastAsia="Times New Roman"/>
          <w:i/>
        </w:rPr>
        <w:t>Viešojoje įstaigoje atstovauti valstybei ir įgyvendinti savininko ar dalininko teises ir pareigas gali būti pavedama tik ministerijoms, Vyriausybės įstaigoms ar Vyriausybei atskaitingoms biudžetinėms įstaigoms.</w:t>
      </w:r>
    </w:p>
    <w:p w:rsidR="00E7130D" w:rsidRPr="00D60D93" w:rsidRDefault="00D05FAA" w:rsidP="00A9680D">
      <w:pPr>
        <w:pStyle w:val="Sraopastraipa"/>
        <w:numPr>
          <w:ilvl w:val="0"/>
          <w:numId w:val="8"/>
        </w:numPr>
        <w:spacing w:after="240"/>
        <w:jc w:val="both"/>
        <w:rPr>
          <w:rFonts w:eastAsia="Times New Roman"/>
        </w:rPr>
      </w:pPr>
      <w:proofErr w:type="spellStart"/>
      <w:r>
        <w:rPr>
          <w:rFonts w:eastAsia="Times New Roman"/>
        </w:rPr>
        <w:t>VšĮ</w:t>
      </w:r>
      <w:proofErr w:type="spellEnd"/>
      <w:r w:rsidR="00D60D93">
        <w:rPr>
          <w:rFonts w:eastAsia="Times New Roman"/>
        </w:rPr>
        <w:t xml:space="preserve"> </w:t>
      </w:r>
      <w:r w:rsidR="00A9680D">
        <w:t>Pinigų plovimo prevencijos</w:t>
      </w:r>
      <w:r w:rsidR="00A9680D">
        <w:rPr>
          <w:rFonts w:eastAsia="Times New Roman"/>
        </w:rPr>
        <w:t xml:space="preserve"> kompetencijų</w:t>
      </w:r>
      <w:r w:rsidR="00D60D93">
        <w:rPr>
          <w:rFonts w:eastAsia="Times New Roman"/>
        </w:rPr>
        <w:t xml:space="preserve"> centro steigime valstybę atstovau</w:t>
      </w:r>
      <w:r w:rsidR="00A9680D">
        <w:rPr>
          <w:rFonts w:eastAsia="Times New Roman"/>
        </w:rPr>
        <w:t>s</w:t>
      </w:r>
      <w:r w:rsidR="00D60D93">
        <w:rPr>
          <w:rFonts w:eastAsia="Times New Roman"/>
        </w:rPr>
        <w:t xml:space="preserve"> </w:t>
      </w:r>
      <w:r w:rsidR="005947AF">
        <w:rPr>
          <w:rFonts w:eastAsia="Times New Roman"/>
        </w:rPr>
        <w:t>F</w:t>
      </w:r>
      <w:r w:rsidR="00074043">
        <w:rPr>
          <w:rFonts w:eastAsia="Times New Roman"/>
        </w:rPr>
        <w:t>inansų ministerija</w:t>
      </w:r>
      <w:r w:rsidR="00D60D93">
        <w:rPr>
          <w:rFonts w:eastAsia="Times New Roman"/>
        </w:rPr>
        <w:t>.</w:t>
      </w:r>
    </w:p>
    <w:p w:rsidR="00E7130D" w:rsidRPr="002907FE" w:rsidRDefault="0066162B" w:rsidP="00A9680D">
      <w:pPr>
        <w:spacing w:after="240"/>
        <w:jc w:val="both"/>
        <w:rPr>
          <w:rFonts w:eastAsia="Times New Roman"/>
        </w:rPr>
      </w:pPr>
      <w:r w:rsidRPr="002907FE">
        <w:rPr>
          <w:rFonts w:eastAsia="Times New Roman"/>
          <w:b/>
        </w:rPr>
        <w:t xml:space="preserve">Gairių </w:t>
      </w:r>
      <w:r>
        <w:rPr>
          <w:rFonts w:eastAsia="Times New Roman"/>
          <w:b/>
        </w:rPr>
        <w:t>38</w:t>
      </w:r>
      <w:r w:rsidRPr="002907FE">
        <w:rPr>
          <w:rFonts w:eastAsia="Times New Roman"/>
          <w:b/>
        </w:rPr>
        <w:t xml:space="preserve"> punktas</w:t>
      </w:r>
      <w:r>
        <w:rPr>
          <w:rFonts w:eastAsia="Times New Roman"/>
          <w:b/>
        </w:rPr>
        <w:t>:</w:t>
      </w:r>
      <w:r w:rsidR="00E7130D" w:rsidRPr="002907FE">
        <w:rPr>
          <w:rFonts w:eastAsia="Times New Roman"/>
        </w:rPr>
        <w:t xml:space="preserve"> </w:t>
      </w:r>
      <w:r w:rsidR="00E7130D" w:rsidRPr="0066162B">
        <w:rPr>
          <w:rFonts w:eastAsia="Times New Roman"/>
          <w:i/>
        </w:rPr>
        <w:t>Viešojoje įstaigoje atstovauti valstybei ir įgyvendinti savininko ar dalininko teises ir pareigas gali tik viena ministerija, Vyriausybės įstaiga ar Vyriausybei atskaitinga biudžetinė įstaiga.</w:t>
      </w:r>
    </w:p>
    <w:p w:rsidR="00E7130D" w:rsidRPr="00D60D93" w:rsidRDefault="00D05FAA" w:rsidP="00A9680D">
      <w:pPr>
        <w:pStyle w:val="Sraopastraipa"/>
        <w:numPr>
          <w:ilvl w:val="0"/>
          <w:numId w:val="8"/>
        </w:numPr>
        <w:spacing w:after="240"/>
        <w:jc w:val="both"/>
        <w:rPr>
          <w:rFonts w:eastAsia="Times New Roman"/>
        </w:rPr>
      </w:pPr>
      <w:proofErr w:type="spellStart"/>
      <w:r>
        <w:rPr>
          <w:rFonts w:eastAsia="Times New Roman"/>
        </w:rPr>
        <w:t>VšĮ</w:t>
      </w:r>
      <w:proofErr w:type="spellEnd"/>
      <w:r w:rsidR="00D60D93">
        <w:rPr>
          <w:rFonts w:eastAsia="Times New Roman"/>
        </w:rPr>
        <w:t xml:space="preserve"> </w:t>
      </w:r>
      <w:r w:rsidR="00A9680D">
        <w:t>Pinigų plovimo prevencijos</w:t>
      </w:r>
      <w:r w:rsidR="00A9680D">
        <w:rPr>
          <w:rFonts w:eastAsia="Times New Roman"/>
        </w:rPr>
        <w:t xml:space="preserve"> kompetencijų</w:t>
      </w:r>
      <w:r w:rsidR="00D60D93">
        <w:rPr>
          <w:rFonts w:eastAsia="Times New Roman"/>
        </w:rPr>
        <w:t xml:space="preserve"> centro steigime valstybę atstovau</w:t>
      </w:r>
      <w:r w:rsidR="00A9680D">
        <w:rPr>
          <w:rFonts w:eastAsia="Times New Roman"/>
        </w:rPr>
        <w:t>s</w:t>
      </w:r>
      <w:r w:rsidR="00D60D93">
        <w:rPr>
          <w:rFonts w:eastAsia="Times New Roman"/>
        </w:rPr>
        <w:t xml:space="preserve"> </w:t>
      </w:r>
      <w:r w:rsidR="005947AF">
        <w:rPr>
          <w:rFonts w:eastAsia="Times New Roman"/>
        </w:rPr>
        <w:t>F</w:t>
      </w:r>
      <w:r w:rsidR="00074043">
        <w:rPr>
          <w:rFonts w:eastAsia="Times New Roman"/>
        </w:rPr>
        <w:t>inansų ministerija</w:t>
      </w:r>
      <w:r w:rsidR="00D60D93">
        <w:rPr>
          <w:rFonts w:eastAsia="Times New Roman"/>
        </w:rPr>
        <w:t>.</w:t>
      </w:r>
    </w:p>
    <w:p w:rsidR="00E7130D" w:rsidRPr="0066162B" w:rsidRDefault="0066162B" w:rsidP="00A9680D">
      <w:pPr>
        <w:spacing w:after="240"/>
        <w:jc w:val="both"/>
        <w:rPr>
          <w:rFonts w:eastAsia="Times New Roman"/>
          <w:i/>
        </w:rPr>
      </w:pPr>
      <w:r w:rsidRPr="002907FE">
        <w:rPr>
          <w:rFonts w:eastAsia="Times New Roman"/>
          <w:b/>
        </w:rPr>
        <w:t xml:space="preserve">Gairių </w:t>
      </w:r>
      <w:r>
        <w:rPr>
          <w:rFonts w:eastAsia="Times New Roman"/>
          <w:b/>
        </w:rPr>
        <w:t>39</w:t>
      </w:r>
      <w:r w:rsidRPr="002907FE">
        <w:rPr>
          <w:rFonts w:eastAsia="Times New Roman"/>
          <w:b/>
        </w:rPr>
        <w:t xml:space="preserve"> punktas</w:t>
      </w:r>
      <w:r>
        <w:rPr>
          <w:rFonts w:eastAsia="Times New Roman"/>
          <w:b/>
        </w:rPr>
        <w:t>:</w:t>
      </w:r>
      <w:r w:rsidR="00E7130D" w:rsidRPr="002907FE">
        <w:rPr>
          <w:rFonts w:eastAsia="Times New Roman"/>
        </w:rPr>
        <w:t xml:space="preserve"> </w:t>
      </w:r>
      <w:r w:rsidR="00E7130D" w:rsidRPr="0066162B">
        <w:rPr>
          <w:rFonts w:eastAsia="Times New Roman"/>
          <w:i/>
        </w:rPr>
        <w:t>Ministerija, Vyriausybės įstaiga ar Vyriausybei atskaitinga biudžetinė įstaiga, kuri viešojoje įstaigoje atstovauja valstybei ir įgyvendina savininko ar dalininko teises ir pareigas, privalo užtikrinti viešosios įstaigos planuojamų veiklos rodiklių sąsajas su atitinkamos ministrui pavestos valdymo srities ar savo strateginiais ir (arba) veiklos tikslais.</w:t>
      </w:r>
    </w:p>
    <w:p w:rsidR="00E7130D" w:rsidRPr="00D60D93" w:rsidRDefault="00A9680D" w:rsidP="00EC53EE">
      <w:pPr>
        <w:pStyle w:val="Sraopastraipa"/>
        <w:numPr>
          <w:ilvl w:val="0"/>
          <w:numId w:val="8"/>
        </w:numPr>
        <w:spacing w:after="240"/>
        <w:jc w:val="both"/>
        <w:rPr>
          <w:rFonts w:eastAsia="Times New Roman"/>
          <w:i/>
        </w:rPr>
      </w:pPr>
      <w:r>
        <w:rPr>
          <w:rFonts w:eastAsia="Times New Roman"/>
        </w:rPr>
        <w:t xml:space="preserve">Atsižvelgiant į tai, kad </w:t>
      </w:r>
      <w:proofErr w:type="spellStart"/>
      <w:r>
        <w:rPr>
          <w:rFonts w:eastAsia="Times New Roman"/>
        </w:rPr>
        <w:t>VšĮ</w:t>
      </w:r>
      <w:proofErr w:type="spellEnd"/>
      <w:r>
        <w:rPr>
          <w:rFonts w:eastAsia="Times New Roman"/>
        </w:rPr>
        <w:t xml:space="preserve"> veiks</w:t>
      </w:r>
      <w:r w:rsidR="0039593C">
        <w:rPr>
          <w:rFonts w:eastAsia="Times New Roman"/>
        </w:rPr>
        <w:t xml:space="preserve"> ir Lietuvos Respublikos finansų ministrui pavestoje finansų rinkos ir finansinių paslaugų valdymo srityje</w:t>
      </w:r>
      <w:r w:rsidR="00EC53EE">
        <w:rPr>
          <w:rFonts w:eastAsia="Times New Roman"/>
        </w:rPr>
        <w:t xml:space="preserve">, jos planuojami veiklos rodikliai taip pat bus </w:t>
      </w:r>
      <w:r w:rsidR="00C25808">
        <w:rPr>
          <w:rFonts w:eastAsia="Times New Roman"/>
        </w:rPr>
        <w:t>susieti</w:t>
      </w:r>
      <w:r w:rsidR="00EC53EE">
        <w:rPr>
          <w:rFonts w:eastAsia="Times New Roman"/>
        </w:rPr>
        <w:t xml:space="preserve"> su finansų ministrui pavestos valdymo srities</w:t>
      </w:r>
      <w:r w:rsidR="00C25808">
        <w:rPr>
          <w:rFonts w:eastAsia="Times New Roman"/>
        </w:rPr>
        <w:t xml:space="preserve"> strateginiu veiklos tikslu (Didinti tvarų ekonomikos augimą ir visuomenės gerovę) Finansų ministerijos Strateginio veiklos plano peržiūros metu</w:t>
      </w:r>
      <w:r w:rsidR="00D60D93">
        <w:rPr>
          <w:rFonts w:eastAsia="Times New Roman"/>
        </w:rPr>
        <w:t>.</w:t>
      </w:r>
    </w:p>
    <w:p w:rsidR="00E7130D" w:rsidRPr="002907FE" w:rsidRDefault="0066162B" w:rsidP="002901C7">
      <w:pPr>
        <w:spacing w:after="240"/>
        <w:jc w:val="both"/>
        <w:rPr>
          <w:rFonts w:eastAsia="Times New Roman"/>
        </w:rPr>
      </w:pPr>
      <w:r w:rsidRPr="002907FE">
        <w:rPr>
          <w:rFonts w:eastAsia="Times New Roman"/>
          <w:b/>
        </w:rPr>
        <w:t xml:space="preserve">Gairių </w:t>
      </w:r>
      <w:r>
        <w:rPr>
          <w:rFonts w:eastAsia="Times New Roman"/>
          <w:b/>
        </w:rPr>
        <w:t>41</w:t>
      </w:r>
      <w:r w:rsidRPr="002907FE">
        <w:rPr>
          <w:rFonts w:eastAsia="Times New Roman"/>
          <w:b/>
        </w:rPr>
        <w:t xml:space="preserve"> punktas</w:t>
      </w:r>
      <w:r>
        <w:rPr>
          <w:rFonts w:eastAsia="Times New Roman"/>
          <w:b/>
        </w:rPr>
        <w:t>:</w:t>
      </w:r>
      <w:r w:rsidR="00E7130D" w:rsidRPr="002907FE">
        <w:rPr>
          <w:rFonts w:eastAsia="Times New Roman"/>
        </w:rPr>
        <w:t xml:space="preserve"> </w:t>
      </w:r>
      <w:r w:rsidR="00E7130D" w:rsidRPr="0066162B">
        <w:rPr>
          <w:rFonts w:eastAsia="Times New Roman"/>
          <w:i/>
        </w:rPr>
        <w:t>Mažinama viešajai įstaigai galimų suteikti viešojo administravimo įgaliojimų – siūloma nustatyti, kad viešosioms įstaigoms gali būti suteikiami viešojo administravimo įgaliojimai priimti administracinius sprendimus, teikti administracines paslaugas, vykdyti įstatymų ir administracinių sprendimų įgyvendinimo kontrolę. Siekiama, kad viešosioms įstaigoms nebūtų suteikiami viešojo administravimo įgaliojimai atlikti administracinį reglamentavimą, administruoti viešųjų paslaugų teikimą.</w:t>
      </w:r>
    </w:p>
    <w:p w:rsidR="00627E40" w:rsidRDefault="006A06BB" w:rsidP="00627E40">
      <w:pPr>
        <w:pStyle w:val="Sraopastraipa"/>
        <w:numPr>
          <w:ilvl w:val="0"/>
          <w:numId w:val="8"/>
        </w:numPr>
        <w:spacing w:after="240"/>
        <w:jc w:val="both"/>
        <w:rPr>
          <w:rFonts w:eastAsia="Times New Roman"/>
        </w:rPr>
      </w:pPr>
      <w:r>
        <w:rPr>
          <w:rFonts w:eastAsia="Times New Roman"/>
        </w:rPr>
        <w:t xml:space="preserve"> Viešojo administravimo įgaliojimai nesuteikiami. </w:t>
      </w:r>
    </w:p>
    <w:p w:rsidR="00E7130D" w:rsidRPr="00627E40" w:rsidRDefault="0066162B" w:rsidP="00627E40">
      <w:pPr>
        <w:spacing w:after="240"/>
        <w:jc w:val="both"/>
        <w:rPr>
          <w:rFonts w:eastAsia="Times New Roman"/>
        </w:rPr>
      </w:pPr>
      <w:r w:rsidRPr="00627E40">
        <w:rPr>
          <w:rFonts w:eastAsia="Times New Roman"/>
          <w:b/>
        </w:rPr>
        <w:t>Gairių 42 punktas:</w:t>
      </w:r>
      <w:r w:rsidR="00E7130D" w:rsidRPr="00627E40">
        <w:rPr>
          <w:rFonts w:eastAsia="Times New Roman"/>
        </w:rPr>
        <w:t xml:space="preserve"> </w:t>
      </w:r>
      <w:r w:rsidR="00E7130D" w:rsidRPr="00627E40">
        <w:rPr>
          <w:rFonts w:eastAsia="Times New Roman"/>
          <w:i/>
        </w:rPr>
        <w:t>Sprendimas dėl viešojo administravimo įgaliojimų suteikimo viešajai įstaigai gali būti priimamas tik tuo atveju, kai objektyviai nustatoma ir sprendimą lydinčiuose dokumentuose pagrindžiama, kad nėra biudžetinių įstaigų, kurioms šie įgaliojimai gali būti suteikti, ir kad tokie įgaliojimai yra tiesiogiai susiję su viešosios įstaigos veiklos tikslais.</w:t>
      </w:r>
    </w:p>
    <w:p w:rsidR="00E7130D" w:rsidRPr="005979E1" w:rsidRDefault="006A06BB" w:rsidP="002901C7">
      <w:pPr>
        <w:pStyle w:val="Sraopastraipa"/>
        <w:numPr>
          <w:ilvl w:val="0"/>
          <w:numId w:val="8"/>
        </w:numPr>
        <w:spacing w:after="240"/>
        <w:jc w:val="both"/>
        <w:rPr>
          <w:rFonts w:eastAsia="Times New Roman"/>
        </w:rPr>
      </w:pPr>
      <w:r>
        <w:rPr>
          <w:rFonts w:eastAsia="Times New Roman"/>
        </w:rPr>
        <w:t>Viešojo administravimo įgaliojimai nesuteikiami.</w:t>
      </w:r>
      <w:r w:rsidR="00E7130D" w:rsidRPr="002907FE">
        <w:rPr>
          <w:rFonts w:eastAsia="Times New Roman"/>
        </w:rPr>
        <w:t> </w:t>
      </w:r>
    </w:p>
    <w:p w:rsidR="00E7130D" w:rsidRPr="002907FE" w:rsidRDefault="0066162B" w:rsidP="002901C7">
      <w:pPr>
        <w:spacing w:after="240"/>
        <w:jc w:val="both"/>
        <w:rPr>
          <w:rFonts w:eastAsia="Times New Roman"/>
        </w:rPr>
      </w:pPr>
      <w:r w:rsidRPr="002907FE">
        <w:rPr>
          <w:rFonts w:eastAsia="Times New Roman"/>
          <w:b/>
        </w:rPr>
        <w:t xml:space="preserve">Gairių </w:t>
      </w:r>
      <w:r>
        <w:rPr>
          <w:rFonts w:eastAsia="Times New Roman"/>
          <w:b/>
        </w:rPr>
        <w:t>43</w:t>
      </w:r>
      <w:r w:rsidRPr="002907FE">
        <w:rPr>
          <w:rFonts w:eastAsia="Times New Roman"/>
          <w:b/>
        </w:rPr>
        <w:t xml:space="preserve"> punktas</w:t>
      </w:r>
      <w:r>
        <w:rPr>
          <w:rFonts w:eastAsia="Times New Roman"/>
          <w:b/>
        </w:rPr>
        <w:t>:</w:t>
      </w:r>
      <w:r w:rsidR="00E7130D" w:rsidRPr="002907FE">
        <w:rPr>
          <w:rFonts w:eastAsia="Times New Roman"/>
        </w:rPr>
        <w:t xml:space="preserve"> </w:t>
      </w:r>
      <w:r w:rsidR="00E7130D" w:rsidRPr="0066162B">
        <w:rPr>
          <w:rFonts w:eastAsia="Times New Roman"/>
          <w:i/>
        </w:rPr>
        <w:t>Jei numatoma, kad viešoji įstaiga atliks kitas valstybei ar savivaldybei svarbias funkcijas (vykdys kitą visuomenei naudingą veiklą), ministerijai, Vyriausybės įstaigai ar Vyriausybei atskaitingai biudžetinei įstaigai, atstovaujančiai viešojoje įstaigoje valstybei, arba savivaldybės institucijai, atstovaujančiai viešojoje įstaigoje savivaldybei, rekomenduotina pagrįsti, kad šiame punkte nurodyta veikla tikrai svarbi valstybei ar savivaldybei arba naudinga visuomenei.</w:t>
      </w:r>
    </w:p>
    <w:p w:rsidR="001859CD" w:rsidRPr="001859CD" w:rsidRDefault="00B80A82" w:rsidP="001859CD">
      <w:pPr>
        <w:pStyle w:val="Sraopastraipa"/>
        <w:numPr>
          <w:ilvl w:val="0"/>
          <w:numId w:val="8"/>
        </w:numPr>
        <w:spacing w:after="240"/>
        <w:jc w:val="both"/>
        <w:rPr>
          <w:rFonts w:eastAsia="Times New Roman"/>
        </w:rPr>
      </w:pPr>
      <w:r w:rsidRPr="00C50E9F">
        <w:rPr>
          <w:rStyle w:val="tekstasboldChar"/>
          <w:rFonts w:ascii="Times New Roman" w:hAnsi="Times New Roman" w:cs="Times New Roman"/>
          <w:sz w:val="24"/>
          <w:szCs w:val="24"/>
        </w:rPr>
        <w:t>Lietuvos Respublikai iškėlus sau tikslą tapti finansinių technologijų (</w:t>
      </w:r>
      <w:proofErr w:type="spellStart"/>
      <w:r w:rsidRPr="00C50E9F">
        <w:rPr>
          <w:rStyle w:val="tekstasboldChar"/>
          <w:rFonts w:ascii="Times New Roman" w:hAnsi="Times New Roman" w:cs="Times New Roman"/>
          <w:i/>
          <w:sz w:val="24"/>
          <w:szCs w:val="24"/>
        </w:rPr>
        <w:t>FinTech</w:t>
      </w:r>
      <w:proofErr w:type="spellEnd"/>
      <w:r w:rsidRPr="00C50E9F">
        <w:rPr>
          <w:rStyle w:val="tekstasboldChar"/>
          <w:rFonts w:ascii="Times New Roman" w:hAnsi="Times New Roman" w:cs="Times New Roman"/>
          <w:sz w:val="24"/>
          <w:szCs w:val="24"/>
        </w:rPr>
        <w:t>) sektoriaus regioniniu centru</w:t>
      </w:r>
      <w:r w:rsidRPr="00703DC1">
        <w:rPr>
          <w:rStyle w:val="Puslapioinaosnuoroda"/>
          <w:sz w:val="18"/>
        </w:rPr>
        <w:footnoteReference w:id="2"/>
      </w:r>
      <w:r w:rsidRPr="00703DC1">
        <w:t xml:space="preserve">, </w:t>
      </w:r>
      <w:r w:rsidRPr="008424E3">
        <w:t>šalyje</w:t>
      </w:r>
      <w:r w:rsidRPr="00703DC1">
        <w:t xml:space="preserve"> pradeda steigtis</w:t>
      </w:r>
      <w:r w:rsidRPr="00B33BA5">
        <w:t xml:space="preserve"> regioninių ir globalių ambicijų turintys finansų rinkos dalyviai</w:t>
      </w:r>
      <w:r w:rsidRPr="0040433B">
        <w:t xml:space="preserve">, kurie, </w:t>
      </w:r>
      <w:r w:rsidRPr="007D1A73">
        <w:t>viena vertus,</w:t>
      </w:r>
      <w:r w:rsidRPr="0056101D">
        <w:t xml:space="preserve"> </w:t>
      </w:r>
      <w:r w:rsidRPr="00667745">
        <w:t>į šalį atneša naujoviškus rizikų atpažinimo ir kovos su jomis val</w:t>
      </w:r>
      <w:r w:rsidRPr="003832A6">
        <w:t xml:space="preserve">dymo būdus bei priemones, kita vertus, augantis ir ne tik </w:t>
      </w:r>
      <w:r w:rsidRPr="008424E3">
        <w:t>Lietuvoje</w:t>
      </w:r>
      <w:r w:rsidRPr="00703DC1">
        <w:t xml:space="preserve"> paslaugas </w:t>
      </w:r>
      <w:r w:rsidRPr="00703DC1">
        <w:lastRenderedPageBreak/>
        <w:t xml:space="preserve">teikiantis finansų sektorius kelia naujų iššūkių </w:t>
      </w:r>
      <w:r w:rsidRPr="00B33BA5">
        <w:t>už rizikų valdymą atsakingoms institucijoms.</w:t>
      </w:r>
      <w:r w:rsidRPr="00B80A82">
        <w:rPr>
          <w:rFonts w:eastAsia="Times New Roman"/>
        </w:rPr>
        <w:t xml:space="preserve"> </w:t>
      </w:r>
      <w:r>
        <w:rPr>
          <w:rFonts w:eastAsia="Times New Roman"/>
        </w:rPr>
        <w:t>Taigi poreikis tobulinti pinigų plovimo ir teroristų finansavimo prevencijos sistemą valstybėje yra nuolatinis ir tęstinis procesas</w:t>
      </w:r>
      <w:r w:rsidR="009E498E">
        <w:rPr>
          <w:rFonts w:eastAsia="Times New Roman"/>
        </w:rPr>
        <w:t xml:space="preserve">. </w:t>
      </w:r>
      <w:r w:rsidR="009E498E" w:rsidRPr="00806FFF">
        <w:t>Ne</w:t>
      </w:r>
      <w:r w:rsidR="009E498E">
        <w:t>pakankami</w:t>
      </w:r>
      <w:r w:rsidR="009E498E" w:rsidRPr="00806FFF">
        <w:t xml:space="preserve"> </w:t>
      </w:r>
      <w:r w:rsidR="009E498E">
        <w:t>veiksmai stiprinant</w:t>
      </w:r>
      <w:r w:rsidR="009E498E" w:rsidRPr="00806FFF">
        <w:t xml:space="preserve"> PP/TF</w:t>
      </w:r>
      <w:r w:rsidR="009E498E">
        <w:t xml:space="preserve"> prevencijos sistemą</w:t>
      </w:r>
      <w:r w:rsidR="009E498E" w:rsidRPr="00806FFF">
        <w:t xml:space="preserve"> kenkia šalies reputacijai tarptautinėje erdvėje, o tai tiesiogiai susiję su šalies patrauklumu tiesioginėms užsienio investicijoms. </w:t>
      </w:r>
      <w:r w:rsidR="009E498E">
        <w:t>Šiuo metu</w:t>
      </w:r>
      <w:r w:rsidR="009E498E" w:rsidRPr="00806FFF">
        <w:t xml:space="preserve"> užsienio bankai-korespondentai Lietuvą ir visą Baltijos regioną vertina kaip padidintos rizikos valstybes, kelia papildomas</w:t>
      </w:r>
      <w:r w:rsidR="009E498E">
        <w:t>,</w:t>
      </w:r>
      <w:r w:rsidR="009E498E" w:rsidRPr="00806FFF">
        <w:t xml:space="preserve"> sunkiai įgyvendinamas</w:t>
      </w:r>
      <w:r w:rsidR="009E498E">
        <w:t>,</w:t>
      </w:r>
      <w:r w:rsidR="009E498E" w:rsidRPr="00806FFF">
        <w:t xml:space="preserve"> sąlygas</w:t>
      </w:r>
      <w:r w:rsidR="009E498E">
        <w:t xml:space="preserve"> tolimesniems dalykiniams santykiams su Lietuvos finansų įstaigomis tęsti arba apskritai nutraukia savo veiklą Lietuvoje</w:t>
      </w:r>
      <w:r w:rsidR="009E498E" w:rsidRPr="00806FFF">
        <w:t xml:space="preserve">. </w:t>
      </w:r>
      <w:r w:rsidR="009E498E">
        <w:t>To</w:t>
      </w:r>
      <w:r w:rsidR="009E498E" w:rsidRPr="00806FFF">
        <w:t xml:space="preserve"> pasekmė</w:t>
      </w:r>
      <w:r w:rsidR="009E498E">
        <w:t xml:space="preserve"> - </w:t>
      </w:r>
      <w:r w:rsidR="009E498E" w:rsidRPr="00806FFF">
        <w:t>šalyje veikiantys bankai tampa dar atsargesni ir atsisako atidaryti banko sąskaitą užsienio investuotojams Lietuvoje.</w:t>
      </w:r>
      <w:r w:rsidR="001859CD">
        <w:t xml:space="preserve"> </w:t>
      </w:r>
      <w:r w:rsidR="009E498E">
        <w:t>Tai</w:t>
      </w:r>
      <w:r w:rsidR="001859CD">
        <w:t>gi</w:t>
      </w:r>
      <w:r w:rsidR="009E498E">
        <w:t xml:space="preserve"> </w:t>
      </w:r>
      <w:proofErr w:type="spellStart"/>
      <w:r w:rsidR="009E498E">
        <w:t>VšĮ</w:t>
      </w:r>
      <w:proofErr w:type="spellEnd"/>
      <w:r w:rsidR="009E498E">
        <w:t xml:space="preserve"> steigimas </w:t>
      </w:r>
      <w:r w:rsidR="009E498E" w:rsidRPr="00806FFF">
        <w:t>leistų sutelkti valstybės ir atsakingų institucijų dėmesį bei lengviau deleguoti reikalingus resursus šiai sričiai</w:t>
      </w:r>
      <w:r w:rsidR="001859CD">
        <w:t xml:space="preserve">. </w:t>
      </w:r>
      <w:proofErr w:type="spellStart"/>
      <w:r w:rsidR="009E498E">
        <w:t>VšĮ</w:t>
      </w:r>
      <w:proofErr w:type="spellEnd"/>
      <w:r w:rsidR="009E498E">
        <w:t xml:space="preserve"> įsteigimas </w:t>
      </w:r>
      <w:r w:rsidR="004B25D1">
        <w:t xml:space="preserve">pagerins </w:t>
      </w:r>
      <w:r w:rsidR="009E498E">
        <w:t xml:space="preserve">finansų rinkos dalyvių </w:t>
      </w:r>
      <w:r w:rsidR="009E498E" w:rsidRPr="001859CD">
        <w:rPr>
          <w:rFonts w:eastAsia="Times New Roman"/>
        </w:rPr>
        <w:t xml:space="preserve">kompetencijas, </w:t>
      </w:r>
      <w:proofErr w:type="spellStart"/>
      <w:r w:rsidR="009E498E" w:rsidRPr="001859CD">
        <w:rPr>
          <w:rFonts w:eastAsia="Times New Roman"/>
        </w:rPr>
        <w:t>rizikų</w:t>
      </w:r>
      <w:proofErr w:type="spellEnd"/>
      <w:r w:rsidR="009E498E" w:rsidRPr="001859CD">
        <w:rPr>
          <w:rFonts w:eastAsia="Times New Roman"/>
        </w:rPr>
        <w:t xml:space="preserve"> valdymą bei reagavim</w:t>
      </w:r>
      <w:r w:rsidR="00C50E9F">
        <w:rPr>
          <w:rFonts w:eastAsia="Times New Roman"/>
        </w:rPr>
        <w:t>ą</w:t>
      </w:r>
      <w:r w:rsidR="009E498E" w:rsidRPr="001859CD">
        <w:rPr>
          <w:rFonts w:eastAsia="Times New Roman"/>
        </w:rPr>
        <w:t xml:space="preserve"> į galimus PP atvejus, o valstybės institucijų, atsakingų už sisteminę priežiūrą, darbuotojų kompetencijas ir gebėjimą bendradarbiauti ir kooperuotis su rinkos subjektais siekiant užkardyti ar ištirti pinigų plovimo atvejus.</w:t>
      </w:r>
      <w:r w:rsidR="001859CD" w:rsidRPr="001859CD">
        <w:rPr>
          <w:rFonts w:eastAsia="Times New Roman"/>
        </w:rPr>
        <w:t xml:space="preserve"> </w:t>
      </w:r>
    </w:p>
    <w:p w:rsidR="009E498E" w:rsidRPr="001859CD" w:rsidRDefault="001859CD" w:rsidP="001859CD">
      <w:pPr>
        <w:pStyle w:val="Sraopastraipa"/>
        <w:spacing w:after="240"/>
        <w:jc w:val="both"/>
        <w:rPr>
          <w:rFonts w:eastAsia="Times New Roman"/>
        </w:rPr>
      </w:pPr>
      <w:r>
        <w:rPr>
          <w:rFonts w:eastAsia="Times New Roman"/>
        </w:rPr>
        <w:t xml:space="preserve">Viešojo ir privataus sektoriaus bendradarbiavimo platforma, kuri įgyvendinama steigiant </w:t>
      </w:r>
      <w:proofErr w:type="spellStart"/>
      <w:r>
        <w:rPr>
          <w:rFonts w:eastAsia="Times New Roman"/>
        </w:rPr>
        <w:t>VšĮ</w:t>
      </w:r>
      <w:proofErr w:type="spellEnd"/>
      <w:r>
        <w:rPr>
          <w:rFonts w:eastAsia="Times New Roman"/>
        </w:rPr>
        <w:t xml:space="preserve">,  padidins valstybės ir privataus sektoriaus subjektų pasitikėjimą ir bendrų veiksmų efektyvumą, pagerins pranešimų apie įtartinas pinigines operacijas kokybę, jų administravimo kaštus ir prisidės pinigų plovimo </w:t>
      </w:r>
      <w:proofErr w:type="spellStart"/>
      <w:r>
        <w:rPr>
          <w:rFonts w:eastAsia="Times New Roman"/>
        </w:rPr>
        <w:t>rizikų</w:t>
      </w:r>
      <w:proofErr w:type="spellEnd"/>
      <w:r>
        <w:rPr>
          <w:rFonts w:eastAsia="Times New Roman"/>
        </w:rPr>
        <w:t xml:space="preserve"> valstybėje užkardymo, taip stiprinant šalies regioninę reputaciją. </w:t>
      </w:r>
    </w:p>
    <w:p w:rsidR="009E498E" w:rsidRDefault="009E498E" w:rsidP="001859CD">
      <w:pPr>
        <w:spacing w:after="240"/>
        <w:jc w:val="both"/>
        <w:rPr>
          <w:rFonts w:eastAsia="Times New Roman"/>
        </w:rPr>
      </w:pPr>
    </w:p>
    <w:p w:rsidR="00330832" w:rsidRPr="002907FE" w:rsidRDefault="00330832" w:rsidP="00D60D93">
      <w:pPr>
        <w:spacing w:before="240"/>
      </w:pPr>
    </w:p>
    <w:sectPr w:rsidR="00330832" w:rsidRPr="002907FE" w:rsidSect="00074043">
      <w:pgSz w:w="11906" w:h="16838"/>
      <w:pgMar w:top="1701" w:right="567" w:bottom="709"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BA90A8" w15:done="0"/>
  <w15:commentEx w15:paraId="66629289" w15:done="0"/>
  <w15:commentEx w15:paraId="6E9C74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BA90A8" w16cid:durableId="219A1CF0"/>
  <w16cid:commentId w16cid:paraId="66629289" w16cid:durableId="219A41CC"/>
  <w16cid:commentId w16cid:paraId="6E9C7413" w16cid:durableId="219A42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B12" w:rsidRDefault="00C75B12" w:rsidP="00DB6218">
      <w:r>
        <w:separator/>
      </w:r>
    </w:p>
  </w:endnote>
  <w:endnote w:type="continuationSeparator" w:id="0">
    <w:p w:rsidR="00C75B12" w:rsidRDefault="00C75B12" w:rsidP="00DB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Raleway-Bold">
    <w:altName w:val="Times New Roman"/>
    <w:panose1 w:val="00000000000000000000"/>
    <w:charset w:val="4D"/>
    <w:family w:val="auto"/>
    <w:notTrueType/>
    <w:pitch w:val="default"/>
    <w:sig w:usb0="00000003"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B12" w:rsidRDefault="00C75B12" w:rsidP="00DB6218">
      <w:r>
        <w:separator/>
      </w:r>
    </w:p>
  </w:footnote>
  <w:footnote w:type="continuationSeparator" w:id="0">
    <w:p w:rsidR="00C75B12" w:rsidRDefault="00C75B12" w:rsidP="00DB6218">
      <w:r>
        <w:continuationSeparator/>
      </w:r>
    </w:p>
  </w:footnote>
  <w:footnote w:id="1">
    <w:p w:rsidR="00DB6218" w:rsidRPr="00DB6218" w:rsidRDefault="00DB6218" w:rsidP="00DB6218">
      <w:pPr>
        <w:jc w:val="both"/>
        <w:rPr>
          <w:rFonts w:eastAsia="Times New Roman"/>
        </w:rPr>
      </w:pPr>
      <w:r>
        <w:rPr>
          <w:rStyle w:val="Puslapioinaosnuoroda"/>
        </w:rPr>
        <w:footnoteRef/>
      </w:r>
      <w:r>
        <w:t xml:space="preserve"> </w:t>
      </w:r>
      <w:r w:rsidRPr="00DB6218">
        <w:rPr>
          <w:rFonts w:eastAsia="Times New Roman"/>
        </w:rPr>
        <w:t xml:space="preserve">Poreikis steigti </w:t>
      </w:r>
      <w:r w:rsidR="00161AD2">
        <w:t>Pinigų plovimo prevencijos</w:t>
      </w:r>
      <w:r w:rsidR="00161AD2">
        <w:rPr>
          <w:rFonts w:eastAsia="Times New Roman"/>
        </w:rPr>
        <w:t xml:space="preserve"> kompetencijų</w:t>
      </w:r>
      <w:r w:rsidRPr="00DB6218">
        <w:rPr>
          <w:rFonts w:eastAsia="Times New Roman"/>
        </w:rPr>
        <w:t xml:space="preserve"> centrą yra pagrįstas Pinigų plovimo prevencijos ko</w:t>
      </w:r>
      <w:r>
        <w:rPr>
          <w:rFonts w:eastAsia="Times New Roman"/>
        </w:rPr>
        <w:t xml:space="preserve">mpetencijų centro koncepcijoje, palaikymą įdėjai (be prie koncepcijos prisidėjusių FNTT ir FM) išreiškė </w:t>
      </w:r>
      <w:r w:rsidR="009022BD">
        <w:rPr>
          <w:rFonts w:eastAsia="Times New Roman"/>
        </w:rPr>
        <w:t xml:space="preserve">VRM, </w:t>
      </w:r>
      <w:r>
        <w:rPr>
          <w:rFonts w:eastAsia="Times New Roman"/>
        </w:rPr>
        <w:t>Policija, VSD, VMI, STT, Prokuratūra</w:t>
      </w:r>
      <w:r w:rsidR="009022BD">
        <w:rPr>
          <w:rFonts w:eastAsia="Times New Roman"/>
        </w:rPr>
        <w:t>.</w:t>
      </w:r>
      <w:r>
        <w:rPr>
          <w:rFonts w:eastAsia="Times New Roman"/>
        </w:rPr>
        <w:t xml:space="preserve"> </w:t>
      </w:r>
    </w:p>
    <w:p w:rsidR="00DB6218" w:rsidRDefault="00DB6218">
      <w:pPr>
        <w:pStyle w:val="Puslapioinaostekstas"/>
      </w:pPr>
    </w:p>
  </w:footnote>
  <w:footnote w:id="2">
    <w:p w:rsidR="00B80A82" w:rsidRPr="00E97E25" w:rsidRDefault="00B80A82" w:rsidP="00B80A82">
      <w:pPr>
        <w:pStyle w:val="Puslapioinaostekstas"/>
      </w:pPr>
      <w:r w:rsidRPr="00127AEA">
        <w:rPr>
          <w:rStyle w:val="Puslapioinaosnuoroda"/>
        </w:rPr>
        <w:footnoteRef/>
      </w:r>
      <w:hyperlink r:id="rId1" w:history="1">
        <w:r w:rsidR="001859CD" w:rsidRPr="001859CD">
          <w:rPr>
            <w:rStyle w:val="Hipersaitas"/>
            <w:sz w:val="14"/>
            <w:u w:color="00B0F0"/>
          </w:rPr>
          <w:t>https://finmin.lrv.lt/uploads/finmin/documents/files/Finansini%C5%B3%20technologij%C5%B3%20(FINTECH)%20priemoni%C5%B3%20planas.pdf</w:t>
        </w:r>
      </w:hyperlink>
      <w:r w:rsidRPr="001859CD">
        <w:rPr>
          <w:rStyle w:val="Hipersaitas"/>
          <w:sz w:val="14"/>
        </w:rPr>
        <w:t xml:space="preserve">; </w:t>
      </w:r>
      <w:hyperlink r:id="rId2" w:anchor="ex-1-2" w:history="1">
        <w:r w:rsidRPr="003217E4">
          <w:rPr>
            <w:rStyle w:val="Hipersaitas"/>
            <w:sz w:val="14"/>
            <w:u w:color="00B0F0"/>
          </w:rPr>
          <w:t>https://www.lb.lt/lt/strategines-kryptys#ex-1-2</w:t>
        </w:r>
      </w:hyperlink>
      <w:r w:rsidRPr="003217E4">
        <w:rPr>
          <w:u w:val="single" w:color="00B0F0"/>
        </w:rPr>
        <w:t xml:space="preserve">; </w:t>
      </w:r>
      <w:hyperlink r:id="rId3" w:history="1">
        <w:r w:rsidRPr="003217E4">
          <w:rPr>
            <w:rStyle w:val="Hipersaitas"/>
            <w:sz w:val="14"/>
            <w:u w:color="00B0F0"/>
          </w:rPr>
          <w:t>https://www.lb.lt/lt/naujienos/v-vasiliauskas-lietuvos-patirtis-padeda-formuoti-geraja-pasauline-fintech-praktika</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2155"/>
    <w:multiLevelType w:val="hybridMultilevel"/>
    <w:tmpl w:val="E4E838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9455797"/>
    <w:multiLevelType w:val="hybridMultilevel"/>
    <w:tmpl w:val="34BC863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1A313F2"/>
    <w:multiLevelType w:val="hybridMultilevel"/>
    <w:tmpl w:val="DC94939E"/>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C515665"/>
    <w:multiLevelType w:val="hybridMultilevel"/>
    <w:tmpl w:val="3AA0752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6F20178"/>
    <w:multiLevelType w:val="hybridMultilevel"/>
    <w:tmpl w:val="F23EFB7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8B92649"/>
    <w:multiLevelType w:val="hybridMultilevel"/>
    <w:tmpl w:val="D302962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F970881"/>
    <w:multiLevelType w:val="multilevel"/>
    <w:tmpl w:val="546899DA"/>
    <w:lvl w:ilvl="0">
      <w:start w:val="1"/>
      <w:numFmt w:val="decimal"/>
      <w:lvlText w:val="%1."/>
      <w:lvlJc w:val="left"/>
      <w:pPr>
        <w:ind w:left="720" w:hanging="360"/>
      </w:pPr>
      <w:rPr>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7DB3B48"/>
    <w:multiLevelType w:val="hybridMultilevel"/>
    <w:tmpl w:val="E932DADE"/>
    <w:lvl w:ilvl="0" w:tplc="0427000D">
      <w:start w:val="1"/>
      <w:numFmt w:val="bullet"/>
      <w:lvlText w:val=""/>
      <w:lvlJc w:val="left"/>
      <w:pPr>
        <w:ind w:left="780" w:hanging="360"/>
      </w:pPr>
      <w:rPr>
        <w:rFonts w:ascii="Wingdings" w:hAnsi="Wingdings"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nsid w:val="61ED7F89"/>
    <w:multiLevelType w:val="hybridMultilevel"/>
    <w:tmpl w:val="D74293DA"/>
    <w:lvl w:ilvl="0" w:tplc="0427000D">
      <w:start w:val="1"/>
      <w:numFmt w:val="bullet"/>
      <w:lvlText w:val=""/>
      <w:lvlJc w:val="left"/>
      <w:pPr>
        <w:ind w:left="780" w:hanging="360"/>
      </w:pPr>
      <w:rPr>
        <w:rFonts w:ascii="Wingdings" w:hAnsi="Wingdings"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8"/>
  </w:num>
  <w:num w:numId="6">
    <w:abstractNumId w:val="7"/>
  </w:num>
  <w:num w:numId="7">
    <w:abstractNumId w:val="0"/>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mantas Gudonis">
    <w15:presenceInfo w15:providerId="AD" w15:userId="S-1-5-21-2403058742-2811928540-3344014676-18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0D"/>
    <w:rsid w:val="000179F8"/>
    <w:rsid w:val="00023CAA"/>
    <w:rsid w:val="0004710A"/>
    <w:rsid w:val="000559CA"/>
    <w:rsid w:val="00074043"/>
    <w:rsid w:val="00075866"/>
    <w:rsid w:val="00084721"/>
    <w:rsid w:val="00090A72"/>
    <w:rsid w:val="000953B1"/>
    <w:rsid w:val="000D5F50"/>
    <w:rsid w:val="000F13C7"/>
    <w:rsid w:val="000F3C43"/>
    <w:rsid w:val="00142F66"/>
    <w:rsid w:val="00161AD2"/>
    <w:rsid w:val="00161C00"/>
    <w:rsid w:val="001624DE"/>
    <w:rsid w:val="00172F35"/>
    <w:rsid w:val="00175A4B"/>
    <w:rsid w:val="001859CD"/>
    <w:rsid w:val="001C695F"/>
    <w:rsid w:val="001D0B77"/>
    <w:rsid w:val="00217670"/>
    <w:rsid w:val="00221812"/>
    <w:rsid w:val="0022521E"/>
    <w:rsid w:val="00261CAF"/>
    <w:rsid w:val="00281B87"/>
    <w:rsid w:val="0028688D"/>
    <w:rsid w:val="002901C7"/>
    <w:rsid w:val="002907FE"/>
    <w:rsid w:val="002D2BC4"/>
    <w:rsid w:val="00311A84"/>
    <w:rsid w:val="00330832"/>
    <w:rsid w:val="00336AAA"/>
    <w:rsid w:val="00344DC6"/>
    <w:rsid w:val="00385217"/>
    <w:rsid w:val="0039593C"/>
    <w:rsid w:val="003B2F8E"/>
    <w:rsid w:val="00404BC2"/>
    <w:rsid w:val="00443E76"/>
    <w:rsid w:val="004549B1"/>
    <w:rsid w:val="004B25D1"/>
    <w:rsid w:val="004B7BFD"/>
    <w:rsid w:val="004E07DA"/>
    <w:rsid w:val="00556C99"/>
    <w:rsid w:val="005947AF"/>
    <w:rsid w:val="005979E1"/>
    <w:rsid w:val="005D4DC4"/>
    <w:rsid w:val="00611EC2"/>
    <w:rsid w:val="00627E40"/>
    <w:rsid w:val="00640592"/>
    <w:rsid w:val="00652565"/>
    <w:rsid w:val="0066162B"/>
    <w:rsid w:val="00683372"/>
    <w:rsid w:val="006853A3"/>
    <w:rsid w:val="006A06BB"/>
    <w:rsid w:val="006B56F9"/>
    <w:rsid w:val="007D6204"/>
    <w:rsid w:val="00800BA8"/>
    <w:rsid w:val="0083689A"/>
    <w:rsid w:val="00860458"/>
    <w:rsid w:val="008B560C"/>
    <w:rsid w:val="008B5DA9"/>
    <w:rsid w:val="008F734B"/>
    <w:rsid w:val="008F7C59"/>
    <w:rsid w:val="009022BD"/>
    <w:rsid w:val="00954DEC"/>
    <w:rsid w:val="009D40A1"/>
    <w:rsid w:val="009E498E"/>
    <w:rsid w:val="00A20270"/>
    <w:rsid w:val="00A65AFB"/>
    <w:rsid w:val="00A817A1"/>
    <w:rsid w:val="00A9680D"/>
    <w:rsid w:val="00B15712"/>
    <w:rsid w:val="00B80A82"/>
    <w:rsid w:val="00B92030"/>
    <w:rsid w:val="00C11843"/>
    <w:rsid w:val="00C2352F"/>
    <w:rsid w:val="00C25808"/>
    <w:rsid w:val="00C50E9F"/>
    <w:rsid w:val="00C75B12"/>
    <w:rsid w:val="00C8693B"/>
    <w:rsid w:val="00D042BB"/>
    <w:rsid w:val="00D05FAA"/>
    <w:rsid w:val="00D50DA7"/>
    <w:rsid w:val="00D527E1"/>
    <w:rsid w:val="00D60D93"/>
    <w:rsid w:val="00DA4862"/>
    <w:rsid w:val="00DB6218"/>
    <w:rsid w:val="00E35B39"/>
    <w:rsid w:val="00E7130D"/>
    <w:rsid w:val="00E9372E"/>
    <w:rsid w:val="00EC53EE"/>
    <w:rsid w:val="00EE0583"/>
    <w:rsid w:val="00F24B6D"/>
    <w:rsid w:val="00F50587"/>
    <w:rsid w:val="00F6161D"/>
    <w:rsid w:val="00F8105C"/>
    <w:rsid w:val="00F85F36"/>
    <w:rsid w:val="00FB1975"/>
    <w:rsid w:val="00FC404C"/>
    <w:rsid w:val="00FE5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30D"/>
    <w:pPr>
      <w:spacing w:after="0" w:line="240" w:lineRule="auto"/>
    </w:pPr>
    <w:rPr>
      <w:rFonts w:ascii="Times New Roman" w:hAnsi="Times New Roman" w:cs="Times New Roman"/>
      <w:sz w:val="24"/>
      <w:szCs w:val="24"/>
      <w:lang w:eastAsia="lt-LT"/>
    </w:rPr>
  </w:style>
  <w:style w:type="paragraph" w:styleId="Antrat1">
    <w:name w:val="heading 1"/>
    <w:basedOn w:val="prastasis"/>
    <w:next w:val="prastasis"/>
    <w:link w:val="Antrat1Diagrama"/>
    <w:uiPriority w:val="9"/>
    <w:qFormat/>
    <w:rsid w:val="002907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2907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2907FE"/>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unhideWhenUsed/>
    <w:qFormat/>
    <w:rsid w:val="002907FE"/>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unhideWhenUsed/>
    <w:qFormat/>
    <w:rsid w:val="002907FE"/>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2907FE"/>
    <w:pPr>
      <w:ind w:left="720"/>
      <w:contextualSpacing/>
    </w:pPr>
  </w:style>
  <w:style w:type="paragraph" w:styleId="Betarp">
    <w:name w:val="No Spacing"/>
    <w:uiPriority w:val="1"/>
    <w:qFormat/>
    <w:rsid w:val="002907FE"/>
    <w:pPr>
      <w:spacing w:after="0" w:line="240" w:lineRule="auto"/>
    </w:pPr>
    <w:rPr>
      <w:rFonts w:ascii="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2907FE"/>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uiPriority w:val="9"/>
    <w:rsid w:val="002907FE"/>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basedOn w:val="Numatytasispastraiposriftas"/>
    <w:link w:val="Antrat3"/>
    <w:uiPriority w:val="9"/>
    <w:rsid w:val="002907FE"/>
    <w:rPr>
      <w:rFonts w:asciiTheme="majorHAnsi" w:eastAsiaTheme="majorEastAsia" w:hAnsiTheme="majorHAnsi" w:cstheme="majorBidi"/>
      <w:b/>
      <w:bCs/>
      <w:color w:val="4F81BD" w:themeColor="accent1"/>
      <w:sz w:val="24"/>
      <w:szCs w:val="24"/>
      <w:lang w:eastAsia="lt-LT"/>
    </w:rPr>
  </w:style>
  <w:style w:type="character" w:customStyle="1" w:styleId="Antrat4Diagrama">
    <w:name w:val="Antraštė 4 Diagrama"/>
    <w:basedOn w:val="Numatytasispastraiposriftas"/>
    <w:link w:val="Antrat4"/>
    <w:uiPriority w:val="9"/>
    <w:rsid w:val="002907FE"/>
    <w:rPr>
      <w:rFonts w:asciiTheme="majorHAnsi" w:eastAsiaTheme="majorEastAsia" w:hAnsiTheme="majorHAnsi" w:cstheme="majorBidi"/>
      <w:b/>
      <w:bCs/>
      <w:i/>
      <w:iCs/>
      <w:color w:val="4F81BD" w:themeColor="accent1"/>
      <w:sz w:val="24"/>
      <w:szCs w:val="24"/>
      <w:lang w:eastAsia="lt-LT"/>
    </w:rPr>
  </w:style>
  <w:style w:type="character" w:customStyle="1" w:styleId="Antrat5Diagrama">
    <w:name w:val="Antraštė 5 Diagrama"/>
    <w:basedOn w:val="Numatytasispastraiposriftas"/>
    <w:link w:val="Antrat5"/>
    <w:uiPriority w:val="9"/>
    <w:rsid w:val="002907FE"/>
    <w:rPr>
      <w:rFonts w:asciiTheme="majorHAnsi" w:eastAsiaTheme="majorEastAsia" w:hAnsiTheme="majorHAnsi" w:cstheme="majorBidi"/>
      <w:color w:val="243F60" w:themeColor="accent1" w:themeShade="7F"/>
      <w:sz w:val="24"/>
      <w:szCs w:val="24"/>
      <w:lang w:eastAsia="lt-LT"/>
    </w:rPr>
  </w:style>
  <w:style w:type="paragraph" w:styleId="Pavadinimas">
    <w:name w:val="Title"/>
    <w:basedOn w:val="prastasis"/>
    <w:next w:val="prastasis"/>
    <w:link w:val="PavadinimasDiagrama"/>
    <w:uiPriority w:val="10"/>
    <w:qFormat/>
    <w:rsid w:val="002907F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2907FE"/>
    <w:rPr>
      <w:rFonts w:asciiTheme="majorHAnsi" w:eastAsiaTheme="majorEastAsia" w:hAnsiTheme="majorHAnsi" w:cstheme="majorBidi"/>
      <w:color w:val="17365D" w:themeColor="text2" w:themeShade="BF"/>
      <w:spacing w:val="5"/>
      <w:kern w:val="28"/>
      <w:sz w:val="52"/>
      <w:szCs w:val="52"/>
      <w:lang w:eastAsia="lt-LT"/>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DB6218"/>
    <w:rPr>
      <w:sz w:val="20"/>
      <w:szCs w:val="20"/>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w:basedOn w:val="Numatytasispastraiposriftas"/>
    <w:link w:val="Puslapioinaostekstas"/>
    <w:uiPriority w:val="99"/>
    <w:rsid w:val="00DB6218"/>
    <w:rPr>
      <w:rFonts w:ascii="Times New Roman" w:hAnsi="Times New Roman" w:cs="Times New Roman"/>
      <w:sz w:val="20"/>
      <w:szCs w:val="20"/>
      <w:lang w:eastAsia="lt-LT"/>
    </w:rPr>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
    <w:basedOn w:val="Numatytasispastraiposriftas"/>
    <w:uiPriority w:val="99"/>
    <w:unhideWhenUsed/>
    <w:rsid w:val="00DB6218"/>
    <w:rPr>
      <w:vertAlign w:val="superscript"/>
    </w:rPr>
  </w:style>
  <w:style w:type="character" w:styleId="Komentaronuoroda">
    <w:name w:val="annotation reference"/>
    <w:basedOn w:val="Numatytasispastraiposriftas"/>
    <w:uiPriority w:val="99"/>
    <w:semiHidden/>
    <w:unhideWhenUsed/>
    <w:rsid w:val="0028688D"/>
    <w:rPr>
      <w:sz w:val="16"/>
      <w:szCs w:val="16"/>
    </w:rPr>
  </w:style>
  <w:style w:type="paragraph" w:styleId="Komentarotekstas">
    <w:name w:val="annotation text"/>
    <w:basedOn w:val="prastasis"/>
    <w:link w:val="KomentarotekstasDiagrama"/>
    <w:uiPriority w:val="99"/>
    <w:semiHidden/>
    <w:unhideWhenUsed/>
    <w:rsid w:val="0028688D"/>
    <w:rPr>
      <w:sz w:val="20"/>
      <w:szCs w:val="20"/>
    </w:rPr>
  </w:style>
  <w:style w:type="character" w:customStyle="1" w:styleId="KomentarotekstasDiagrama">
    <w:name w:val="Komentaro tekstas Diagrama"/>
    <w:basedOn w:val="Numatytasispastraiposriftas"/>
    <w:link w:val="Komentarotekstas"/>
    <w:uiPriority w:val="99"/>
    <w:semiHidden/>
    <w:rsid w:val="0028688D"/>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8688D"/>
    <w:rPr>
      <w:b/>
      <w:bCs/>
    </w:rPr>
  </w:style>
  <w:style w:type="character" w:customStyle="1" w:styleId="KomentarotemaDiagrama">
    <w:name w:val="Komentaro tema Diagrama"/>
    <w:basedOn w:val="KomentarotekstasDiagrama"/>
    <w:link w:val="Komentarotema"/>
    <w:uiPriority w:val="99"/>
    <w:semiHidden/>
    <w:rsid w:val="0028688D"/>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2868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688D"/>
    <w:rPr>
      <w:rFonts w:ascii="Segoe UI" w:hAnsi="Segoe UI" w:cs="Segoe UI"/>
      <w:sz w:val="18"/>
      <w:szCs w:val="18"/>
      <w:lang w:eastAsia="lt-LT"/>
    </w:rPr>
  </w:style>
  <w:style w:type="character" w:styleId="Hipersaitas">
    <w:name w:val="Hyperlink"/>
    <w:basedOn w:val="Numatytasispastraiposriftas"/>
    <w:uiPriority w:val="99"/>
    <w:unhideWhenUsed/>
    <w:rsid w:val="00A65AFB"/>
    <w:rPr>
      <w:color w:val="0000FF" w:themeColor="hyperlink"/>
      <w:u w:val="single"/>
    </w:rPr>
  </w:style>
  <w:style w:type="paragraph" w:customStyle="1" w:styleId="tekstasbold">
    <w:name w:val="tekstas_bold"/>
    <w:basedOn w:val="prastasis"/>
    <w:link w:val="tekstasboldChar"/>
    <w:qFormat/>
    <w:rsid w:val="00B80A82"/>
    <w:pPr>
      <w:suppressAutoHyphens/>
      <w:spacing w:after="100" w:line="312" w:lineRule="auto"/>
    </w:pPr>
    <w:rPr>
      <w:rFonts w:ascii="Verdana" w:eastAsia="MS PGothic" w:hAnsi="Verdana" w:cs="Raleway-Bold"/>
      <w:b/>
      <w:spacing w:val="-4"/>
      <w:sz w:val="18"/>
      <w:szCs w:val="18"/>
      <w:u w:color="28FF4C"/>
      <w:lang w:eastAsia="en-US"/>
    </w:rPr>
  </w:style>
  <w:style w:type="character" w:customStyle="1" w:styleId="tekstasboldChar">
    <w:name w:val="tekstas_bold Char"/>
    <w:basedOn w:val="Numatytasispastraiposriftas"/>
    <w:link w:val="tekstasbold"/>
    <w:rsid w:val="00B80A82"/>
    <w:rPr>
      <w:rFonts w:ascii="Verdana" w:eastAsia="MS PGothic" w:hAnsi="Verdana" w:cs="Raleway-Bold"/>
      <w:b/>
      <w:spacing w:val="-4"/>
      <w:sz w:val="18"/>
      <w:szCs w:val="18"/>
      <w:u w:color="28FF4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30D"/>
    <w:pPr>
      <w:spacing w:after="0" w:line="240" w:lineRule="auto"/>
    </w:pPr>
    <w:rPr>
      <w:rFonts w:ascii="Times New Roman" w:hAnsi="Times New Roman" w:cs="Times New Roman"/>
      <w:sz w:val="24"/>
      <w:szCs w:val="24"/>
      <w:lang w:eastAsia="lt-LT"/>
    </w:rPr>
  </w:style>
  <w:style w:type="paragraph" w:styleId="Antrat1">
    <w:name w:val="heading 1"/>
    <w:basedOn w:val="prastasis"/>
    <w:next w:val="prastasis"/>
    <w:link w:val="Antrat1Diagrama"/>
    <w:uiPriority w:val="9"/>
    <w:qFormat/>
    <w:rsid w:val="002907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2907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2907FE"/>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unhideWhenUsed/>
    <w:qFormat/>
    <w:rsid w:val="002907FE"/>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unhideWhenUsed/>
    <w:qFormat/>
    <w:rsid w:val="002907FE"/>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2907FE"/>
    <w:pPr>
      <w:ind w:left="720"/>
      <w:contextualSpacing/>
    </w:pPr>
  </w:style>
  <w:style w:type="paragraph" w:styleId="Betarp">
    <w:name w:val="No Spacing"/>
    <w:uiPriority w:val="1"/>
    <w:qFormat/>
    <w:rsid w:val="002907FE"/>
    <w:pPr>
      <w:spacing w:after="0" w:line="240" w:lineRule="auto"/>
    </w:pPr>
    <w:rPr>
      <w:rFonts w:ascii="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2907FE"/>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uiPriority w:val="9"/>
    <w:rsid w:val="002907FE"/>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basedOn w:val="Numatytasispastraiposriftas"/>
    <w:link w:val="Antrat3"/>
    <w:uiPriority w:val="9"/>
    <w:rsid w:val="002907FE"/>
    <w:rPr>
      <w:rFonts w:asciiTheme="majorHAnsi" w:eastAsiaTheme="majorEastAsia" w:hAnsiTheme="majorHAnsi" w:cstheme="majorBidi"/>
      <w:b/>
      <w:bCs/>
      <w:color w:val="4F81BD" w:themeColor="accent1"/>
      <w:sz w:val="24"/>
      <w:szCs w:val="24"/>
      <w:lang w:eastAsia="lt-LT"/>
    </w:rPr>
  </w:style>
  <w:style w:type="character" w:customStyle="1" w:styleId="Antrat4Diagrama">
    <w:name w:val="Antraštė 4 Diagrama"/>
    <w:basedOn w:val="Numatytasispastraiposriftas"/>
    <w:link w:val="Antrat4"/>
    <w:uiPriority w:val="9"/>
    <w:rsid w:val="002907FE"/>
    <w:rPr>
      <w:rFonts w:asciiTheme="majorHAnsi" w:eastAsiaTheme="majorEastAsia" w:hAnsiTheme="majorHAnsi" w:cstheme="majorBidi"/>
      <w:b/>
      <w:bCs/>
      <w:i/>
      <w:iCs/>
      <w:color w:val="4F81BD" w:themeColor="accent1"/>
      <w:sz w:val="24"/>
      <w:szCs w:val="24"/>
      <w:lang w:eastAsia="lt-LT"/>
    </w:rPr>
  </w:style>
  <w:style w:type="character" w:customStyle="1" w:styleId="Antrat5Diagrama">
    <w:name w:val="Antraštė 5 Diagrama"/>
    <w:basedOn w:val="Numatytasispastraiposriftas"/>
    <w:link w:val="Antrat5"/>
    <w:uiPriority w:val="9"/>
    <w:rsid w:val="002907FE"/>
    <w:rPr>
      <w:rFonts w:asciiTheme="majorHAnsi" w:eastAsiaTheme="majorEastAsia" w:hAnsiTheme="majorHAnsi" w:cstheme="majorBidi"/>
      <w:color w:val="243F60" w:themeColor="accent1" w:themeShade="7F"/>
      <w:sz w:val="24"/>
      <w:szCs w:val="24"/>
      <w:lang w:eastAsia="lt-LT"/>
    </w:rPr>
  </w:style>
  <w:style w:type="paragraph" w:styleId="Pavadinimas">
    <w:name w:val="Title"/>
    <w:basedOn w:val="prastasis"/>
    <w:next w:val="prastasis"/>
    <w:link w:val="PavadinimasDiagrama"/>
    <w:uiPriority w:val="10"/>
    <w:qFormat/>
    <w:rsid w:val="002907F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2907FE"/>
    <w:rPr>
      <w:rFonts w:asciiTheme="majorHAnsi" w:eastAsiaTheme="majorEastAsia" w:hAnsiTheme="majorHAnsi" w:cstheme="majorBidi"/>
      <w:color w:val="17365D" w:themeColor="text2" w:themeShade="BF"/>
      <w:spacing w:val="5"/>
      <w:kern w:val="28"/>
      <w:sz w:val="52"/>
      <w:szCs w:val="52"/>
      <w:lang w:eastAsia="lt-LT"/>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DB6218"/>
    <w:rPr>
      <w:sz w:val="20"/>
      <w:szCs w:val="20"/>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w:basedOn w:val="Numatytasispastraiposriftas"/>
    <w:link w:val="Puslapioinaostekstas"/>
    <w:uiPriority w:val="99"/>
    <w:rsid w:val="00DB6218"/>
    <w:rPr>
      <w:rFonts w:ascii="Times New Roman" w:hAnsi="Times New Roman" w:cs="Times New Roman"/>
      <w:sz w:val="20"/>
      <w:szCs w:val="20"/>
      <w:lang w:eastAsia="lt-LT"/>
    </w:rPr>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
    <w:basedOn w:val="Numatytasispastraiposriftas"/>
    <w:uiPriority w:val="99"/>
    <w:unhideWhenUsed/>
    <w:rsid w:val="00DB6218"/>
    <w:rPr>
      <w:vertAlign w:val="superscript"/>
    </w:rPr>
  </w:style>
  <w:style w:type="character" w:styleId="Komentaronuoroda">
    <w:name w:val="annotation reference"/>
    <w:basedOn w:val="Numatytasispastraiposriftas"/>
    <w:uiPriority w:val="99"/>
    <w:semiHidden/>
    <w:unhideWhenUsed/>
    <w:rsid w:val="0028688D"/>
    <w:rPr>
      <w:sz w:val="16"/>
      <w:szCs w:val="16"/>
    </w:rPr>
  </w:style>
  <w:style w:type="paragraph" w:styleId="Komentarotekstas">
    <w:name w:val="annotation text"/>
    <w:basedOn w:val="prastasis"/>
    <w:link w:val="KomentarotekstasDiagrama"/>
    <w:uiPriority w:val="99"/>
    <w:semiHidden/>
    <w:unhideWhenUsed/>
    <w:rsid w:val="0028688D"/>
    <w:rPr>
      <w:sz w:val="20"/>
      <w:szCs w:val="20"/>
    </w:rPr>
  </w:style>
  <w:style w:type="character" w:customStyle="1" w:styleId="KomentarotekstasDiagrama">
    <w:name w:val="Komentaro tekstas Diagrama"/>
    <w:basedOn w:val="Numatytasispastraiposriftas"/>
    <w:link w:val="Komentarotekstas"/>
    <w:uiPriority w:val="99"/>
    <w:semiHidden/>
    <w:rsid w:val="0028688D"/>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8688D"/>
    <w:rPr>
      <w:b/>
      <w:bCs/>
    </w:rPr>
  </w:style>
  <w:style w:type="character" w:customStyle="1" w:styleId="KomentarotemaDiagrama">
    <w:name w:val="Komentaro tema Diagrama"/>
    <w:basedOn w:val="KomentarotekstasDiagrama"/>
    <w:link w:val="Komentarotema"/>
    <w:uiPriority w:val="99"/>
    <w:semiHidden/>
    <w:rsid w:val="0028688D"/>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2868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688D"/>
    <w:rPr>
      <w:rFonts w:ascii="Segoe UI" w:hAnsi="Segoe UI" w:cs="Segoe UI"/>
      <w:sz w:val="18"/>
      <w:szCs w:val="18"/>
      <w:lang w:eastAsia="lt-LT"/>
    </w:rPr>
  </w:style>
  <w:style w:type="character" w:styleId="Hipersaitas">
    <w:name w:val="Hyperlink"/>
    <w:basedOn w:val="Numatytasispastraiposriftas"/>
    <w:uiPriority w:val="99"/>
    <w:unhideWhenUsed/>
    <w:rsid w:val="00A65AFB"/>
    <w:rPr>
      <w:color w:val="0000FF" w:themeColor="hyperlink"/>
      <w:u w:val="single"/>
    </w:rPr>
  </w:style>
  <w:style w:type="paragraph" w:customStyle="1" w:styleId="tekstasbold">
    <w:name w:val="tekstas_bold"/>
    <w:basedOn w:val="prastasis"/>
    <w:link w:val="tekstasboldChar"/>
    <w:qFormat/>
    <w:rsid w:val="00B80A82"/>
    <w:pPr>
      <w:suppressAutoHyphens/>
      <w:spacing w:after="100" w:line="312" w:lineRule="auto"/>
    </w:pPr>
    <w:rPr>
      <w:rFonts w:ascii="Verdana" w:eastAsia="MS PGothic" w:hAnsi="Verdana" w:cs="Raleway-Bold"/>
      <w:b/>
      <w:spacing w:val="-4"/>
      <w:sz w:val="18"/>
      <w:szCs w:val="18"/>
      <w:u w:color="28FF4C"/>
      <w:lang w:eastAsia="en-US"/>
    </w:rPr>
  </w:style>
  <w:style w:type="character" w:customStyle="1" w:styleId="tekstasboldChar">
    <w:name w:val="tekstas_bold Char"/>
    <w:basedOn w:val="Numatytasispastraiposriftas"/>
    <w:link w:val="tekstasbold"/>
    <w:rsid w:val="00B80A82"/>
    <w:rPr>
      <w:rFonts w:ascii="Verdana" w:eastAsia="MS PGothic" w:hAnsi="Verdana" w:cs="Raleway-Bold"/>
      <w:b/>
      <w:spacing w:val="-4"/>
      <w:sz w:val="18"/>
      <w:szCs w:val="18"/>
      <w:u w:color="28FF4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9966">
      <w:bodyDiv w:val="1"/>
      <w:marLeft w:val="0"/>
      <w:marRight w:val="0"/>
      <w:marTop w:val="0"/>
      <w:marBottom w:val="0"/>
      <w:divBdr>
        <w:top w:val="none" w:sz="0" w:space="0" w:color="auto"/>
        <w:left w:val="none" w:sz="0" w:space="0" w:color="auto"/>
        <w:bottom w:val="none" w:sz="0" w:space="0" w:color="auto"/>
        <w:right w:val="none" w:sz="0" w:space="0" w:color="auto"/>
      </w:divBdr>
      <w:divsChild>
        <w:div w:id="103037932">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224416001">
      <w:bodyDiv w:val="1"/>
      <w:marLeft w:val="0"/>
      <w:marRight w:val="0"/>
      <w:marTop w:val="0"/>
      <w:marBottom w:val="0"/>
      <w:divBdr>
        <w:top w:val="none" w:sz="0" w:space="0" w:color="auto"/>
        <w:left w:val="none" w:sz="0" w:space="0" w:color="auto"/>
        <w:bottom w:val="none" w:sz="0" w:space="0" w:color="auto"/>
        <w:right w:val="none" w:sz="0" w:space="0" w:color="auto"/>
      </w:divBdr>
      <w:divsChild>
        <w:div w:id="996806599">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84970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www.lb.lt/lt/naujienos/v-vasiliauskas-lietuvos-patirtis-padeda-formuoti-geraja-pasauline-fintech-praktika" TargetMode="External"/><Relationship Id="rId2" Type="http://schemas.openxmlformats.org/officeDocument/2006/relationships/hyperlink" Target="https://www.lb.lt/lt/strategines-kryptys" TargetMode="External"/><Relationship Id="rId1" Type="http://schemas.openxmlformats.org/officeDocument/2006/relationships/hyperlink" Target="https://finmin.lrv.lt/uploads/finmin/documents/files/Finansini%C5%B3%20technologij%C5%B3%20(FINTECH)%20priemoni%C5%B3%20plan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C1F23-9AA9-4A6F-BD34-28690208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9366</Words>
  <Characters>5340</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Jekaterina Govina</dc:creator>
  <cp:lastModifiedBy>Jovita Burlėgienė</cp:lastModifiedBy>
  <cp:revision>5</cp:revision>
  <cp:lastPrinted>2020-08-28T10:51:00Z</cp:lastPrinted>
  <dcterms:created xsi:type="dcterms:W3CDTF">2020-09-08T06:20:00Z</dcterms:created>
  <dcterms:modified xsi:type="dcterms:W3CDTF">2020-09-16T07:56:00Z</dcterms:modified>
</cp:coreProperties>
</file>