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4819"/>
        <w:gridCol w:w="4819"/>
      </w:tblGrid>
      <w:tr w:rsidR="004716FB" w14:paraId="4A56B68B" w14:textId="77777777" w:rsidTr="00230706">
        <w:trPr>
          <w:cantSplit/>
          <w:trHeight w:val="1079"/>
        </w:trPr>
        <w:tc>
          <w:tcPr>
            <w:tcW w:w="9638" w:type="dxa"/>
            <w:gridSpan w:val="2"/>
          </w:tcPr>
          <w:bookmarkStart w:id="0" w:name="_MON_1052823171"/>
          <w:bookmarkEnd w:id="0"/>
          <w:p w14:paraId="6DAE1489" w14:textId="77777777" w:rsidR="004716FB" w:rsidRDefault="004716FB">
            <w:pPr>
              <w:jc w:val="center"/>
            </w:pPr>
            <w:r>
              <w:object w:dxaOrig="706" w:dyaOrig="796" w14:anchorId="0E306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pt" o:ole="" fillcolor="window">
                  <v:imagedata r:id="rId7" o:title=""/>
                </v:shape>
                <o:OLEObject Type="Embed" ProgID="Word.Picture.8" ShapeID="_x0000_i1025" DrawAspect="Content" ObjectID="_1695207747" r:id="rId8"/>
              </w:object>
            </w:r>
          </w:p>
        </w:tc>
      </w:tr>
      <w:tr w:rsidR="004716FB" w14:paraId="21B11B85" w14:textId="77777777" w:rsidTr="00230706">
        <w:trPr>
          <w:cantSplit/>
          <w:trHeight w:val="397"/>
        </w:trPr>
        <w:tc>
          <w:tcPr>
            <w:tcW w:w="9638" w:type="dxa"/>
            <w:gridSpan w:val="2"/>
          </w:tcPr>
          <w:p w14:paraId="7BA5C630" w14:textId="77777777" w:rsidR="004716FB" w:rsidRDefault="004716FB">
            <w:pPr>
              <w:pStyle w:val="Antrat1"/>
            </w:pPr>
            <w:r>
              <w:t>LIETUVOS RESPUBLIKOS KULTŪROS MINISTERIJA</w:t>
            </w:r>
          </w:p>
        </w:tc>
      </w:tr>
      <w:tr w:rsidR="004716FB" w14:paraId="6E21BEA6" w14:textId="77777777" w:rsidTr="00230706">
        <w:trPr>
          <w:cantSplit/>
          <w:trHeight w:val="312"/>
        </w:trPr>
        <w:tc>
          <w:tcPr>
            <w:tcW w:w="9638" w:type="dxa"/>
            <w:gridSpan w:val="2"/>
            <w:tcBorders>
              <w:bottom w:val="single" w:sz="4" w:space="0" w:color="auto"/>
            </w:tcBorders>
          </w:tcPr>
          <w:p w14:paraId="22798F5D" w14:textId="77777777" w:rsidR="00E6604B" w:rsidRPr="008F7399" w:rsidRDefault="00FD4D06" w:rsidP="00E6604B">
            <w:pPr>
              <w:jc w:val="center"/>
              <w:rPr>
                <w:sz w:val="16"/>
                <w:szCs w:val="16"/>
              </w:rPr>
            </w:pPr>
            <w:r>
              <w:rPr>
                <w:sz w:val="16"/>
                <w:szCs w:val="16"/>
              </w:rPr>
              <w:t>B</w:t>
            </w:r>
            <w:r w:rsidR="00E6604B" w:rsidRPr="008F7399">
              <w:rPr>
                <w:sz w:val="16"/>
                <w:szCs w:val="16"/>
              </w:rPr>
              <w:t xml:space="preserve">iudžetinė įstaiga, J. Basanavičiaus g. 5, LT-01118 Vilnius, tel. (8 5) </w:t>
            </w:r>
            <w:r w:rsidR="009D4BB7">
              <w:rPr>
                <w:sz w:val="16"/>
                <w:szCs w:val="16"/>
              </w:rPr>
              <w:t>219 34</w:t>
            </w:r>
            <w:r w:rsidR="009D4BB7" w:rsidRPr="009D4BB7">
              <w:rPr>
                <w:sz w:val="16"/>
                <w:szCs w:val="16"/>
              </w:rPr>
              <w:t>00</w:t>
            </w:r>
            <w:r w:rsidR="00E6604B" w:rsidRPr="008F7399">
              <w:rPr>
                <w:sz w:val="16"/>
                <w:szCs w:val="16"/>
              </w:rPr>
              <w:t xml:space="preserve">, el. p. </w:t>
            </w:r>
            <w:r w:rsidR="00294486">
              <w:rPr>
                <w:sz w:val="16"/>
                <w:szCs w:val="16"/>
              </w:rPr>
              <w:t>dmm</w:t>
            </w:r>
            <w:r w:rsidR="00E6604B" w:rsidRPr="008F7399">
              <w:rPr>
                <w:sz w:val="16"/>
                <w:szCs w:val="16"/>
              </w:rPr>
              <w:t>@lrkm.lt</w:t>
            </w:r>
            <w:r w:rsidR="00663FA4" w:rsidRPr="008F7399">
              <w:rPr>
                <w:sz w:val="16"/>
                <w:szCs w:val="16"/>
              </w:rPr>
              <w:t>.</w:t>
            </w:r>
          </w:p>
          <w:p w14:paraId="2C7DB8A8" w14:textId="77777777" w:rsidR="004716FB" w:rsidRDefault="00E6604B" w:rsidP="00E6604B">
            <w:pPr>
              <w:jc w:val="center"/>
              <w:rPr>
                <w:b/>
                <w:bCs/>
                <w:sz w:val="18"/>
              </w:rPr>
            </w:pPr>
            <w:r w:rsidRPr="008F7399">
              <w:rPr>
                <w:sz w:val="16"/>
                <w:szCs w:val="16"/>
              </w:rPr>
              <w:t>Duomenys kaupiami ir saugomi Juridinių asmenų registre, kodas 188683671</w:t>
            </w:r>
          </w:p>
        </w:tc>
      </w:tr>
      <w:tr w:rsidR="004716FB" w14:paraId="39124FFB" w14:textId="77777777" w:rsidTr="00230706">
        <w:trPr>
          <w:cantSplit/>
          <w:trHeight w:val="328"/>
        </w:trPr>
        <w:tc>
          <w:tcPr>
            <w:tcW w:w="9638" w:type="dxa"/>
            <w:gridSpan w:val="2"/>
            <w:tcBorders>
              <w:top w:val="single" w:sz="4" w:space="0" w:color="auto"/>
            </w:tcBorders>
          </w:tcPr>
          <w:p w14:paraId="1F9BDA4C" w14:textId="77777777" w:rsidR="004716FB" w:rsidRDefault="004716FB">
            <w:pPr>
              <w:jc w:val="center"/>
              <w:rPr>
                <w:b/>
                <w:bCs/>
              </w:rPr>
            </w:pPr>
          </w:p>
        </w:tc>
      </w:tr>
      <w:tr w:rsidR="004716FB" w14:paraId="55E1199A" w14:textId="77777777" w:rsidTr="00230706">
        <w:trPr>
          <w:cantSplit/>
        </w:trPr>
        <w:tc>
          <w:tcPr>
            <w:tcW w:w="4819" w:type="dxa"/>
          </w:tcPr>
          <w:p w14:paraId="0E9316C5" w14:textId="16C836A3" w:rsidR="004716FB" w:rsidRDefault="004716FB" w:rsidP="00E91348">
            <w:pPr>
              <w:tabs>
                <w:tab w:val="left" w:pos="619"/>
              </w:tabs>
              <w:suppressAutoHyphens/>
            </w:pPr>
            <w:r>
              <w:fldChar w:fldCharType="begin">
                <w:ffData>
                  <w:name w:val="r13_1_1"/>
                  <w:enabled/>
                  <w:calcOnExit w:val="0"/>
                  <w:statusText w:type="text" w:val="Adresatas"/>
                  <w:textInput>
                    <w:default w:val="Adresatas"/>
                  </w:textInput>
                </w:ffData>
              </w:fldChar>
            </w:r>
            <w:bookmarkStart w:id="1" w:name="r13_1_1"/>
            <w:r>
              <w:instrText xml:space="preserve"> FORMTEXT </w:instrText>
            </w:r>
            <w:r>
              <w:fldChar w:fldCharType="separate"/>
            </w:r>
            <w:r w:rsidR="00D07122">
              <w:t>Lietuvos Respublikos socialinės apsaugos ir darbo ministerija</w:t>
            </w:r>
            <w:r>
              <w:fldChar w:fldCharType="end"/>
            </w:r>
            <w:bookmarkEnd w:id="1"/>
            <w:r>
              <w:t xml:space="preserve"> </w:t>
            </w:r>
          </w:p>
          <w:p w14:paraId="3BDD3B17" w14:textId="77777777" w:rsidR="004716FB" w:rsidRDefault="004716FB">
            <w:pPr>
              <w:rPr>
                <w:b/>
                <w:bCs/>
              </w:rPr>
            </w:pPr>
          </w:p>
          <w:p w14:paraId="3130ABB0" w14:textId="77777777" w:rsidR="004716FB" w:rsidRDefault="004716FB">
            <w:pPr>
              <w:rPr>
                <w:b/>
                <w:bCs/>
              </w:rPr>
            </w:pPr>
          </w:p>
        </w:tc>
        <w:tc>
          <w:tcPr>
            <w:tcW w:w="4819" w:type="dxa"/>
          </w:tcPr>
          <w:p w14:paraId="3337399C" w14:textId="3ED26ABE" w:rsidR="004716FB" w:rsidRDefault="004716FB">
            <w:pPr>
              <w:tabs>
                <w:tab w:val="left" w:pos="198"/>
                <w:tab w:val="left" w:pos="2126"/>
                <w:tab w:val="left" w:pos="2977"/>
              </w:tabs>
            </w:pPr>
            <w:r>
              <w:t xml:space="preserve">     </w:t>
            </w:r>
            <w:r w:rsidR="00A049EC">
              <w:fldChar w:fldCharType="begin">
                <w:ffData>
                  <w:name w:val=""/>
                  <w:enabled/>
                  <w:calcOnExit w:val="0"/>
                  <w:statusText w:type="text" w:val="Struktūrinio padalinio pavadinimas"/>
                  <w:textInput>
                    <w:default w:val="2019-00-00"/>
                  </w:textInput>
                </w:ffData>
              </w:fldChar>
            </w:r>
            <w:r w:rsidR="00A049EC">
              <w:instrText xml:space="preserve"> FORMTEXT </w:instrText>
            </w:r>
            <w:r w:rsidR="00A049EC">
              <w:fldChar w:fldCharType="separate"/>
            </w:r>
            <w:r w:rsidR="00A049EC">
              <w:rPr>
                <w:noProof/>
              </w:rPr>
              <w:t>20</w:t>
            </w:r>
            <w:r w:rsidR="005255F4">
              <w:rPr>
                <w:noProof/>
              </w:rPr>
              <w:t>2</w:t>
            </w:r>
            <w:r w:rsidR="005357F8">
              <w:rPr>
                <w:noProof/>
              </w:rPr>
              <w:t>1</w:t>
            </w:r>
            <w:r w:rsidR="00A049EC">
              <w:rPr>
                <w:noProof/>
              </w:rPr>
              <w:t>-</w:t>
            </w:r>
            <w:r w:rsidR="00D07122">
              <w:rPr>
                <w:noProof/>
              </w:rPr>
              <w:t>1</w:t>
            </w:r>
            <w:r w:rsidR="000D152B">
              <w:rPr>
                <w:noProof/>
              </w:rPr>
              <w:t>0</w:t>
            </w:r>
            <w:r w:rsidR="00A049EC">
              <w:rPr>
                <w:noProof/>
              </w:rPr>
              <w:t>-</w:t>
            </w:r>
            <w:r w:rsidR="00D07122">
              <w:rPr>
                <w:noProof/>
              </w:rPr>
              <w:t xml:space="preserve">      </w:t>
            </w:r>
            <w:r w:rsidR="00A049EC">
              <w:fldChar w:fldCharType="end"/>
            </w:r>
            <w:r>
              <w:t xml:space="preserve"> Nr. </w:t>
            </w:r>
            <w:r>
              <w:fldChar w:fldCharType="begin">
                <w:ffData>
                  <w:name w:val=""/>
                  <w:enabled/>
                  <w:calcOnExit w:val="0"/>
                  <w:statusText w:type="text" w:val="Struktūrinio padalinio pavadinimas"/>
                  <w:textInput/>
                </w:ffData>
              </w:fldChar>
            </w:r>
            <w:r>
              <w:instrText xml:space="preserve"> FORMTEXT </w:instrText>
            </w:r>
            <w:r>
              <w:fldChar w:fldCharType="separate"/>
            </w:r>
            <w:r w:rsidR="000A5327">
              <w:t> </w:t>
            </w:r>
            <w:r w:rsidR="000A5327">
              <w:t> </w:t>
            </w:r>
            <w:r w:rsidR="000A5327">
              <w:t> </w:t>
            </w:r>
            <w:r w:rsidR="000A5327">
              <w:t> </w:t>
            </w:r>
            <w:r w:rsidR="000A5327">
              <w:t> </w:t>
            </w:r>
            <w:r>
              <w:fldChar w:fldCharType="end"/>
            </w:r>
          </w:p>
          <w:p w14:paraId="68A9D1C3" w14:textId="12D5AA99" w:rsidR="004716FB" w:rsidRDefault="004716FB" w:rsidP="000A5327">
            <w:pPr>
              <w:ind w:right="-496"/>
              <w:rPr>
                <w:b/>
                <w:bCs/>
              </w:rPr>
            </w:pPr>
            <w:r>
              <w:t xml:space="preserve"> Į  </w:t>
            </w:r>
            <w:r w:rsidR="000D152B">
              <w:t xml:space="preserve"> </w:t>
            </w:r>
            <w:r w:rsidR="002272C5">
              <w:fldChar w:fldCharType="begin">
                <w:ffData>
                  <w:name w:val=""/>
                  <w:enabled/>
                  <w:calcOnExit w:val="0"/>
                  <w:statusText w:type="text" w:val="Struktūrinio padalinio pavadinimas"/>
                  <w:textInput>
                    <w:default w:val="2009-00-00"/>
                  </w:textInput>
                </w:ffData>
              </w:fldChar>
            </w:r>
            <w:r w:rsidR="002272C5">
              <w:instrText xml:space="preserve"> FORMTEXT </w:instrText>
            </w:r>
            <w:r w:rsidR="002272C5">
              <w:fldChar w:fldCharType="separate"/>
            </w:r>
            <w:r w:rsidR="00DE04C1">
              <w:rPr>
                <w:noProof/>
              </w:rPr>
              <w:t>2021-</w:t>
            </w:r>
            <w:r w:rsidR="000D152B">
              <w:rPr>
                <w:noProof/>
              </w:rPr>
              <w:t>09-29</w:t>
            </w:r>
            <w:r w:rsidR="002272C5">
              <w:fldChar w:fldCharType="end"/>
            </w:r>
            <w:r>
              <w:t xml:space="preserve">    Nr. </w:t>
            </w:r>
            <w:r>
              <w:fldChar w:fldCharType="begin">
                <w:ffData>
                  <w:name w:val=""/>
                  <w:enabled/>
                  <w:calcOnExit w:val="0"/>
                  <w:statusText w:type="text" w:val="Struktūrinio padalinio pavadinimas"/>
                  <w:textInput/>
                </w:ffData>
              </w:fldChar>
            </w:r>
            <w:r>
              <w:instrText xml:space="preserve"> FORMTEXT </w:instrText>
            </w:r>
            <w:r>
              <w:fldChar w:fldCharType="separate"/>
            </w:r>
            <w:r w:rsidR="00DE04C1">
              <w:t>(1</w:t>
            </w:r>
            <w:r w:rsidR="000D152B">
              <w:t>1</w:t>
            </w:r>
            <w:r w:rsidR="00DE04C1">
              <w:t>.1</w:t>
            </w:r>
            <w:r w:rsidR="000D152B">
              <w:t>0Mr</w:t>
            </w:r>
            <w:r w:rsidR="00DE04C1">
              <w:t>-5</w:t>
            </w:r>
            <w:r w:rsidR="000D152B">
              <w:t>3</w:t>
            </w:r>
            <w:r w:rsidR="00DE04C1">
              <w:t>)</w:t>
            </w:r>
            <w:r w:rsidR="000D152B">
              <w:t xml:space="preserve"> STAP-580</w:t>
            </w:r>
            <w:r>
              <w:fldChar w:fldCharType="end"/>
            </w:r>
          </w:p>
        </w:tc>
      </w:tr>
      <w:tr w:rsidR="004716FB" w14:paraId="7C7B9025" w14:textId="77777777" w:rsidTr="00230706">
        <w:trPr>
          <w:cantSplit/>
        </w:trPr>
        <w:tc>
          <w:tcPr>
            <w:tcW w:w="9638" w:type="dxa"/>
            <w:gridSpan w:val="2"/>
          </w:tcPr>
          <w:p w14:paraId="2B6C3F43" w14:textId="77777777" w:rsidR="000D152B" w:rsidRPr="00362099" w:rsidRDefault="000D152B" w:rsidP="000D152B">
            <w:pPr>
              <w:jc w:val="both"/>
              <w:outlineLvl w:val="0"/>
              <w:rPr>
                <w:b/>
                <w:caps/>
              </w:rPr>
            </w:pPr>
            <w:r w:rsidRPr="00362099">
              <w:rPr>
                <w:b/>
                <w:caps/>
              </w:rPr>
              <w:t xml:space="preserve">dėl lietuvos respublikos valstybės ir savivaldybių įstaigų darbuotojų darbo apmokėjimo ir komisijų narių atlygio už darbą įstatymo nr. xiii-198 </w:t>
            </w:r>
            <w:bookmarkStart w:id="2" w:name="_Hlk80968211"/>
            <w:r w:rsidRPr="00362099">
              <w:rPr>
                <w:b/>
                <w:caps/>
              </w:rPr>
              <w:t xml:space="preserve">4, 5, 6, 7, 9, 13, 14, 16 STRAIPSNIŲ </w:t>
            </w:r>
            <w:bookmarkEnd w:id="2"/>
            <w:r w:rsidRPr="00362099">
              <w:rPr>
                <w:b/>
                <w:caps/>
              </w:rPr>
              <w:t>IR 1, 2, 3 IR 4 priedų pakeitimo įstatymo projekto</w:t>
            </w:r>
          </w:p>
          <w:p w14:paraId="35FB15AE" w14:textId="77777777" w:rsidR="004716FB" w:rsidRDefault="004716FB">
            <w:pPr>
              <w:rPr>
                <w:b/>
                <w:bCs/>
              </w:rPr>
            </w:pPr>
          </w:p>
        </w:tc>
      </w:tr>
    </w:tbl>
    <w:p w14:paraId="2B55D6C6" w14:textId="77777777" w:rsidR="004716FB" w:rsidRDefault="004716FB">
      <w:pPr>
        <w:sectPr w:rsidR="004716FB">
          <w:footerReference w:type="default" r:id="rId9"/>
          <w:type w:val="continuous"/>
          <w:pgSz w:w="11906" w:h="16838" w:code="9"/>
          <w:pgMar w:top="1134" w:right="567" w:bottom="1134" w:left="1701" w:header="709" w:footer="665" w:gutter="0"/>
          <w:cols w:space="708"/>
          <w:docGrid w:linePitch="360"/>
        </w:sectPr>
      </w:pPr>
    </w:p>
    <w:p w14:paraId="7470E088" w14:textId="6ACB5766" w:rsidR="00D07122" w:rsidRDefault="00D07122" w:rsidP="00D07122">
      <w:pPr>
        <w:spacing w:line="276" w:lineRule="auto"/>
        <w:ind w:firstLine="709"/>
        <w:jc w:val="both"/>
      </w:pPr>
      <w:r>
        <w:t>Lietuvos Respublikos kultūros ministerija</w:t>
      </w:r>
      <w:r w:rsidR="00D762B2">
        <w:t>,</w:t>
      </w:r>
      <w:r>
        <w:t xml:space="preserve"> </w:t>
      </w:r>
      <w:r w:rsidR="00A345FB">
        <w:t>išnagrinėj</w:t>
      </w:r>
      <w:r w:rsidR="00D762B2">
        <w:t>usi</w:t>
      </w:r>
      <w:r>
        <w:t xml:space="preserve"> </w:t>
      </w:r>
      <w:r w:rsidR="000D152B" w:rsidRPr="00362099">
        <w:t>Lietuvos Respublikos valstybės ir savivaldybių įstaigų darbuotojų darbo apmokėjimo</w:t>
      </w:r>
      <w:r w:rsidR="00937330">
        <w:t xml:space="preserve"> ir komisijų narių atlygio už darbą</w:t>
      </w:r>
      <w:r w:rsidR="000D152B" w:rsidRPr="00362099">
        <w:t xml:space="preserve"> įstatymo </w:t>
      </w:r>
      <w:r w:rsidR="00937330">
        <w:t xml:space="preserve">         </w:t>
      </w:r>
      <w:r w:rsidR="000D152B" w:rsidRPr="00362099">
        <w:t>Nr. XIII-198 </w:t>
      </w:r>
      <w:r w:rsidR="000D152B" w:rsidRPr="00362099">
        <w:rPr>
          <w:caps/>
        </w:rPr>
        <w:t>4, 5, 6, 7, 9, 13, 14, 16</w:t>
      </w:r>
      <w:r w:rsidR="000D152B" w:rsidRPr="00362099">
        <w:rPr>
          <w:b/>
          <w:caps/>
        </w:rPr>
        <w:t xml:space="preserve"> </w:t>
      </w:r>
      <w:r w:rsidR="000D152B" w:rsidRPr="00362099">
        <w:t>straipsnių ir 1, 2, 3 ir 4 priedų pakeitimo įstatymo projektą</w:t>
      </w:r>
      <w:r w:rsidR="00D762B2">
        <w:t xml:space="preserve"> (toliau – </w:t>
      </w:r>
      <w:r w:rsidR="00B57DEC">
        <w:t>P</w:t>
      </w:r>
      <w:r w:rsidR="00D762B2">
        <w:t>rojektas)</w:t>
      </w:r>
      <w:r w:rsidR="00FF343B">
        <w:t>,</w:t>
      </w:r>
      <w:r w:rsidR="00A345FB">
        <w:t xml:space="preserve"> pagal kompetenciją</w:t>
      </w:r>
      <w:r w:rsidR="00FF343B">
        <w:t xml:space="preserve"> </w:t>
      </w:r>
      <w:r w:rsidR="00D762B2">
        <w:t xml:space="preserve">teikia šias </w:t>
      </w:r>
      <w:r w:rsidR="00FF343B">
        <w:t>pastab</w:t>
      </w:r>
      <w:r w:rsidR="00D762B2">
        <w:t xml:space="preserve">as ir </w:t>
      </w:r>
      <w:r w:rsidR="00FF343B">
        <w:t>pasiūlym</w:t>
      </w:r>
      <w:r w:rsidR="00D762B2">
        <w:t>us:</w:t>
      </w:r>
    </w:p>
    <w:p w14:paraId="70C85E7A" w14:textId="47EEF138" w:rsidR="00CC39FB" w:rsidRDefault="00937330" w:rsidP="00937330">
      <w:pPr>
        <w:pStyle w:val="Sraopastraipa"/>
        <w:numPr>
          <w:ilvl w:val="0"/>
          <w:numId w:val="1"/>
        </w:numPr>
        <w:spacing w:line="276" w:lineRule="auto"/>
        <w:ind w:left="0" w:firstLine="709"/>
        <w:jc w:val="both"/>
      </w:pPr>
      <w:r>
        <w:t xml:space="preserve">Projekto 5 straipsniu keičiamo </w:t>
      </w:r>
      <w:r w:rsidRPr="00362099">
        <w:t>Lietuvos Respublikos valstybės ir savivaldybių įstaigų darbuotojų darbo apmokėjimo</w:t>
      </w:r>
      <w:r>
        <w:t xml:space="preserve"> ir komisijų narių atlygio už darbą</w:t>
      </w:r>
      <w:r w:rsidRPr="00362099">
        <w:t xml:space="preserve"> įstatymo </w:t>
      </w:r>
      <w:r>
        <w:t xml:space="preserve">(toliau – Įstatymas) 9 straipsnio 4 dalį siūloma papildyti sakiniu </w:t>
      </w:r>
      <w:r w:rsidRPr="00937330">
        <w:t>„</w:t>
      </w:r>
      <w:r w:rsidRPr="00937330">
        <w:rPr>
          <w:lang w:eastAsia="lt-LT"/>
        </w:rPr>
        <w:t>Nacionalinių ir valstybinių kultūros ir meno įstaigų atlikėjams pareiginės algos kintamoji dalis nustatoma mėnesiui (mėnesiams)“.</w:t>
      </w:r>
      <w:r w:rsidRPr="00937330">
        <w:t xml:space="preserve"> </w:t>
      </w:r>
      <w:r>
        <w:t>Siūlytume patikslinti šią nuostatą, išdėstant ją analogiškai to paties straipsnio 2 dalies nuostatoms, t. y., „</w:t>
      </w:r>
      <w:r w:rsidRPr="009A77C5">
        <w:rPr>
          <w:b/>
          <w:bCs/>
          <w:lang w:eastAsia="lt-LT"/>
        </w:rPr>
        <w:t>Nacionalinių ir valstybinių kultūros ir meno įstaigų atlikėjams pareiginės algos kintamoji dalis nustatoma iki biudžetinės įstaigos darbuotojo kito kasmetinio veiklos vertinimo metu priimto šio įstatymo 14 straipsnio 11 dalyje nurodyto sprendimo priėmimo</w:t>
      </w:r>
      <w:r>
        <w:rPr>
          <w:lang w:eastAsia="lt-LT"/>
        </w:rPr>
        <w:t xml:space="preserve">“, kadangi </w:t>
      </w:r>
      <w:r w:rsidR="00CC39FB">
        <w:rPr>
          <w:lang w:eastAsia="lt-LT"/>
        </w:rPr>
        <w:t>atlikėjų vertinimo periodiškumas yra reglamentuotas Įstatymo 14 straipsnyje.</w:t>
      </w:r>
    </w:p>
    <w:p w14:paraId="1D1D1E36" w14:textId="5646C1CA" w:rsidR="00937330" w:rsidRDefault="00CC39FB" w:rsidP="00937330">
      <w:pPr>
        <w:pStyle w:val="Sraopastraipa"/>
        <w:numPr>
          <w:ilvl w:val="0"/>
          <w:numId w:val="1"/>
        </w:numPr>
        <w:spacing w:line="276" w:lineRule="auto"/>
        <w:ind w:left="0" w:firstLine="709"/>
        <w:jc w:val="both"/>
      </w:pPr>
      <w:r>
        <w:rPr>
          <w:lang w:eastAsia="lt-LT"/>
        </w:rPr>
        <w:t>Atsižvelgiant į tai, kad tiek galiojančioje Įstatymo redakcijoje, tiek Projekte numatyta, kad atlikėjų vertinimo periodiškumas nustatomas atsižvelgiant į nacionalinių ir valstybinių kultūros ir meno įstaigų repertuarų programas, o repertuarai yra tvirtinami ne kalendoriniams metams, o nuo einamųjų metų rudens iki kitų metų pavasario/vasaros, siūlytina visame įstatyme patikslinti formuluotę „</w:t>
      </w:r>
      <w:r w:rsidRPr="005A2098">
        <w:t>einamųjų metų mėnesio (mėnesių) veikla</w:t>
      </w:r>
      <w:r>
        <w:t xml:space="preserve">“, atsisakant žodžių „einamųjų metų“. </w:t>
      </w:r>
    </w:p>
    <w:p w14:paraId="395A8D82" w14:textId="201F380A" w:rsidR="00D762B2" w:rsidRDefault="00B57DEC" w:rsidP="00937330">
      <w:pPr>
        <w:pStyle w:val="Sraopastraipa"/>
        <w:numPr>
          <w:ilvl w:val="0"/>
          <w:numId w:val="1"/>
        </w:numPr>
        <w:spacing w:line="276" w:lineRule="auto"/>
        <w:ind w:left="0" w:firstLine="709"/>
        <w:jc w:val="both"/>
      </w:pPr>
      <w:r>
        <w:t>Projekto 7 straipsni</w:t>
      </w:r>
      <w:r w:rsidR="00CC39FB">
        <w:t>u keičiamo Įstatymo 14 straipsnio</w:t>
      </w:r>
      <w:r>
        <w:t xml:space="preserve"> 3</w:t>
      </w:r>
      <w:r w:rsidR="00CC39FB">
        <w:t xml:space="preserve"> ir </w:t>
      </w:r>
      <w:r w:rsidR="00C820A4">
        <w:t>5</w:t>
      </w:r>
      <w:r w:rsidR="00CC39FB">
        <w:t xml:space="preserve"> </w:t>
      </w:r>
      <w:r w:rsidR="00266DF3">
        <w:t>daly</w:t>
      </w:r>
      <w:r w:rsidR="00CC39FB">
        <w:t>s</w:t>
      </w:r>
      <w:r w:rsidR="00266DF3">
        <w:t>e</w:t>
      </w:r>
      <w:r w:rsidR="00CC39FB">
        <w:t xml:space="preserve"> </w:t>
      </w:r>
      <w:r w:rsidR="00C820A4">
        <w:t xml:space="preserve">siūlomas sąlygas, kurioms esant </w:t>
      </w:r>
      <w:r w:rsidR="00C820A4" w:rsidRPr="00253190">
        <w:t>metinės užduotys, siektini rezultatai ir jų vertinimo rodikliai einamiesiems kalendoriniams metams nenustatomi</w:t>
      </w:r>
      <w:r w:rsidR="00C820A4">
        <w:t xml:space="preserve">, siūlytina formuluoti ne siejant jas su </w:t>
      </w:r>
      <w:r w:rsidR="003A52AD" w:rsidRPr="00C820A4">
        <w:t>priėmimo į pareigas dien</w:t>
      </w:r>
      <w:r w:rsidR="00C820A4" w:rsidRPr="00C820A4">
        <w:t xml:space="preserve">a, bet su </w:t>
      </w:r>
      <w:r w:rsidR="00C820A4" w:rsidRPr="00C820A4">
        <w:rPr>
          <w:u w:val="single"/>
        </w:rPr>
        <w:t>įstaigos vadovo ar darbuotojo darbo pradžios diena</w:t>
      </w:r>
      <w:r w:rsidR="00C820A4">
        <w:rPr>
          <w:b/>
          <w:bCs/>
        </w:rPr>
        <w:t xml:space="preserve">, </w:t>
      </w:r>
      <w:r w:rsidR="003E34F6">
        <w:t>kadangi</w:t>
      </w:r>
      <w:r w:rsidR="00581753">
        <w:t>, pagal</w:t>
      </w:r>
      <w:r w:rsidR="00230706">
        <w:t xml:space="preserve"> </w:t>
      </w:r>
      <w:r w:rsidR="00C820A4">
        <w:t>Darbo kodekso 42 straipsn</w:t>
      </w:r>
      <w:r w:rsidR="00581753">
        <w:t>į,</w:t>
      </w:r>
      <w:r w:rsidR="00C820A4">
        <w:t xml:space="preserve"> </w:t>
      </w:r>
      <w:r w:rsidR="00230706">
        <w:t xml:space="preserve">darbo sutarties </w:t>
      </w:r>
      <w:r w:rsidR="00C820A4">
        <w:t xml:space="preserve">sudarymo (pasirašymo) </w:t>
      </w:r>
      <w:r w:rsidR="00230706">
        <w:t xml:space="preserve">bei darbo sutarties įsigaliojimo </w:t>
      </w:r>
      <w:r w:rsidR="00C820A4">
        <w:t xml:space="preserve">(tuo pačiu ir </w:t>
      </w:r>
      <w:r w:rsidR="00230706">
        <w:t>darbuotojo darbo pradžios</w:t>
      </w:r>
      <w:r w:rsidR="00C820A4">
        <w:t>)</w:t>
      </w:r>
      <w:r w:rsidR="00230706">
        <w:t xml:space="preserve"> datos </w:t>
      </w:r>
      <w:r w:rsidR="00C820A4">
        <w:t>skiriasi</w:t>
      </w:r>
      <w:r w:rsidR="00230706">
        <w:t>.</w:t>
      </w:r>
      <w:r w:rsidR="00BD7DC9">
        <w:t xml:space="preserve"> </w:t>
      </w:r>
      <w:r w:rsidR="00C820A4">
        <w:t xml:space="preserve">Manytume, kad tais atvejais, kai įstaigos vadovas ar darbuotojas priimamas dirbti iki spalio 1 d., bet pradeda dirbti vėliau, jo galimybės įvykdyti nustatytas metines užduotis tampa sudėtingesnės arba apskritai neįgyvendinamos. </w:t>
      </w:r>
    </w:p>
    <w:p w14:paraId="528C093D" w14:textId="6B409F6A" w:rsidR="00230706" w:rsidRDefault="00C820A4" w:rsidP="00230706">
      <w:pPr>
        <w:pStyle w:val="Sraopastraipa"/>
        <w:numPr>
          <w:ilvl w:val="0"/>
          <w:numId w:val="1"/>
        </w:numPr>
        <w:spacing w:line="276" w:lineRule="auto"/>
        <w:ind w:left="0" w:firstLine="709"/>
        <w:jc w:val="both"/>
      </w:pPr>
      <w:r>
        <w:t xml:space="preserve">Projekto 7 straipsniu keičiamo Įstatymo 14 straipsnio 5 dalyje siūloma nustatyti, kad </w:t>
      </w:r>
      <w:r w:rsidRPr="00C820A4">
        <w:t xml:space="preserve">„Prireikus </w:t>
      </w:r>
      <w:bookmarkStart w:id="3" w:name="_Hlk80970890"/>
      <w:r w:rsidRPr="00C820A4">
        <w:t xml:space="preserve">nustatytos metinės užduotys, </w:t>
      </w:r>
      <w:bookmarkStart w:id="4" w:name="_Hlk81919676"/>
      <w:r w:rsidRPr="00C820A4">
        <w:t xml:space="preserve">siektini rezultatai ir jų vertinimo rodikliai </w:t>
      </w:r>
      <w:bookmarkEnd w:id="3"/>
      <w:r w:rsidRPr="00C820A4">
        <w:t xml:space="preserve">einamaisiais metais gali būti vieną kartą </w:t>
      </w:r>
      <w:bookmarkStart w:id="5" w:name="_Hlk80970859"/>
      <w:r w:rsidRPr="00C820A4">
        <w:t>pakeisti arba papildyti</w:t>
      </w:r>
      <w:bookmarkEnd w:id="4"/>
      <w:bookmarkEnd w:id="5"/>
      <w:r w:rsidRPr="00C820A4">
        <w:t>, bet ne vėliau kaip iki spalio 1 dienos“.</w:t>
      </w:r>
      <w:r>
        <w:t xml:space="preserve"> Atsižvelgiant į šio rašto 2 punkte jau aptartą situaciją, kad atlikėjų vertinimas yra siejamas su repertuaru, manytume, kad </w:t>
      </w:r>
      <w:r>
        <w:lastRenderedPageBreak/>
        <w:t xml:space="preserve">ši bendra nuostata laiko prasme apriboja </w:t>
      </w:r>
      <w:r w:rsidR="00581753">
        <w:t>galimybę pakeisti atlikėjų metines užduotis. Dėl šios priežasties siūlome papildyti šią dalį taip: „</w:t>
      </w:r>
      <w:r w:rsidR="00581753" w:rsidRPr="00581753">
        <w:rPr>
          <w:b/>
          <w:bCs/>
        </w:rPr>
        <w:t>Nacionalinių ir valstybinių kultūros ir meno įstaigų atlikėjams nustatytos metinės užduotys, siektini</w:t>
      </w:r>
      <w:r w:rsidR="00581753" w:rsidRPr="00253190">
        <w:rPr>
          <w:b/>
        </w:rPr>
        <w:t xml:space="preserve"> rezultatai ir jų vertinimo rodikliai </w:t>
      </w:r>
      <w:r w:rsidR="00581753">
        <w:rPr>
          <w:b/>
        </w:rPr>
        <w:t xml:space="preserve">prireikus </w:t>
      </w:r>
      <w:r w:rsidR="00581753" w:rsidRPr="00253190">
        <w:rPr>
          <w:b/>
        </w:rPr>
        <w:t>gali būti pakeisti arba papildyti</w:t>
      </w:r>
      <w:r w:rsidR="00581753">
        <w:rPr>
          <w:b/>
        </w:rPr>
        <w:t xml:space="preserve"> </w:t>
      </w:r>
      <w:r w:rsidR="006750DD">
        <w:rPr>
          <w:b/>
        </w:rPr>
        <w:t xml:space="preserve">ne vėliau kaip iki vertinimo periodo pradžios </w:t>
      </w:r>
      <w:r w:rsidR="00581753">
        <w:rPr>
          <w:b/>
        </w:rPr>
        <w:t>atsižvelgiant į repertuarų programas</w:t>
      </w:r>
      <w:r w:rsidR="00581753" w:rsidRPr="009A77C5">
        <w:rPr>
          <w:bCs/>
        </w:rPr>
        <w:t>“</w:t>
      </w:r>
      <w:r w:rsidR="00581753" w:rsidRPr="00581753">
        <w:rPr>
          <w:bCs/>
        </w:rPr>
        <w:t>.</w:t>
      </w:r>
      <w:r w:rsidR="00581753">
        <w:t xml:space="preserve">  </w:t>
      </w:r>
    </w:p>
    <w:p w14:paraId="47FDF8F9" w14:textId="21D54C5E" w:rsidR="009A77C5" w:rsidRDefault="009A77C5" w:rsidP="009A77C5">
      <w:pPr>
        <w:spacing w:line="276" w:lineRule="auto"/>
        <w:jc w:val="both"/>
      </w:pPr>
    </w:p>
    <w:p w14:paraId="0EDF6DF2" w14:textId="26D8053A" w:rsidR="009A77C5" w:rsidRPr="006750DD" w:rsidRDefault="009A77C5" w:rsidP="009A77C5">
      <w:pPr>
        <w:spacing w:line="276" w:lineRule="auto"/>
        <w:ind w:firstLine="851"/>
        <w:jc w:val="both"/>
      </w:pPr>
      <w:r>
        <w:t xml:space="preserve">Papildomai atkreipiame dėmesį į tai, kad bendros visiems biudžetinių įstaigų darbuotojams taikomos veiklos vertinimo nuostatos, susijusios su </w:t>
      </w:r>
      <w:r w:rsidRPr="003B6292">
        <w:t>užduo</w:t>
      </w:r>
      <w:r>
        <w:t>čių</w:t>
      </w:r>
      <w:r w:rsidRPr="003B6292">
        <w:t>, siektin</w:t>
      </w:r>
      <w:r>
        <w:t>ų</w:t>
      </w:r>
      <w:r w:rsidRPr="003B6292">
        <w:t xml:space="preserve"> rezultat</w:t>
      </w:r>
      <w:r>
        <w:t>ų ir</w:t>
      </w:r>
      <w:r w:rsidRPr="003B6292">
        <w:t xml:space="preserve"> jų vertinimo rodikli</w:t>
      </w:r>
      <w:r>
        <w:t xml:space="preserve">ų nustatymu, </w:t>
      </w:r>
      <w:r w:rsidR="00F61F2C">
        <w:t xml:space="preserve">atlikėjų atžvilgiu praktikoje yra sunkiai įgyvendinamos, nes atlikėjų veiklos rezultato kokybinio įvertinimo iš esmės neįmanoma apibrėžti per aiškius rodiklius (kitaip tariant, remiantis rodikliais nėra galimybės įvertinti, ar atlikėjas vaidino, šoko, grojo ar dainavo „labai gerai“, „gerai“, „patenkinamai“ ar „nepatenkinamai“), o kiekybiniai rodikliai neatspindi atlikėjų veiklos rezultatų, nes tai priklauso ne nuo jų pačių, o nuo spektaklio, koncerto ar kūrinio pobūdžio bei režisieriaus, koncertmeisterio ar kito analogiškas funkcijas atliekančio asmens vizijos. Dėl šios priežasties </w:t>
      </w:r>
      <w:r w:rsidR="006750DD">
        <w:t xml:space="preserve">Kultūros ministerija, bendradarbiaudama </w:t>
      </w:r>
      <w:r w:rsidR="006750DD" w:rsidRPr="006750DD">
        <w:t xml:space="preserve">su nacionalinėmis ir valstybinėmis kultūros ir meno įstaigomis, </w:t>
      </w:r>
      <w:r w:rsidR="006750DD">
        <w:t xml:space="preserve">ateityje </w:t>
      </w:r>
      <w:r w:rsidR="006750DD" w:rsidRPr="006750DD">
        <w:t xml:space="preserve">planuoja pateikti siūlymus dėl Įstatymo </w:t>
      </w:r>
      <w:r w:rsidR="006750DD">
        <w:t>tobulinimo, kiek tai yra susiję su atlikėjų veiklos vertinimu, ir norėtų juos detaliau aptarti su Socialinės apsaugos ir darbo ministerija.</w:t>
      </w:r>
    </w:p>
    <w:p w14:paraId="5D11932A" w14:textId="77777777" w:rsidR="004716FB" w:rsidRDefault="004716FB">
      <w:pPr>
        <w:pStyle w:val="Antrats"/>
        <w:tabs>
          <w:tab w:val="clear" w:pos="4153"/>
          <w:tab w:val="clear" w:pos="8306"/>
        </w:tabs>
        <w:rPr>
          <w:szCs w:val="24"/>
        </w:rPr>
      </w:pPr>
    </w:p>
    <w:p w14:paraId="085D6B66" w14:textId="77777777" w:rsidR="00A345FB" w:rsidRDefault="00A345FB">
      <w:pPr>
        <w:pStyle w:val="Antrats"/>
        <w:tabs>
          <w:tab w:val="clear" w:pos="4153"/>
          <w:tab w:val="clear" w:pos="8306"/>
        </w:tabs>
        <w:rPr>
          <w:szCs w:val="24"/>
        </w:rPr>
      </w:pPr>
    </w:p>
    <w:p w14:paraId="785CAC78" w14:textId="77777777" w:rsidR="00A345FB" w:rsidRDefault="00A345FB">
      <w:pPr>
        <w:pStyle w:val="Antrats"/>
        <w:tabs>
          <w:tab w:val="clear" w:pos="4153"/>
          <w:tab w:val="clear" w:pos="8306"/>
        </w:tabs>
        <w:rPr>
          <w:szCs w:val="24"/>
        </w:rPr>
      </w:pPr>
    </w:p>
    <w:p w14:paraId="23ADF4D4" w14:textId="02EDD04C" w:rsidR="00A345FB" w:rsidRDefault="00A345FB">
      <w:pPr>
        <w:pStyle w:val="Antrats"/>
        <w:tabs>
          <w:tab w:val="clear" w:pos="4153"/>
          <w:tab w:val="clear" w:pos="8306"/>
        </w:tabs>
        <w:rPr>
          <w:szCs w:val="24"/>
        </w:rPr>
        <w:sectPr w:rsidR="00A345FB">
          <w:type w:val="continuous"/>
          <w:pgSz w:w="11906" w:h="16838" w:code="9"/>
          <w:pgMar w:top="1134" w:right="567" w:bottom="1134" w:left="1701" w:header="709" w:footer="665" w:gutter="0"/>
          <w:cols w:space="708"/>
          <w:formProt w:val="0"/>
          <w:docGrid w:linePitch="360"/>
        </w:sectPr>
      </w:pPr>
    </w:p>
    <w:tbl>
      <w:tblPr>
        <w:tblW w:w="0" w:type="auto"/>
        <w:tblInd w:w="8" w:type="dxa"/>
        <w:tblLayout w:type="fixed"/>
        <w:tblCellMar>
          <w:left w:w="0" w:type="dxa"/>
          <w:right w:w="0" w:type="dxa"/>
        </w:tblCellMar>
        <w:tblLook w:val="0000" w:firstRow="0" w:lastRow="0" w:firstColumn="0" w:lastColumn="0" w:noHBand="0" w:noVBand="0"/>
      </w:tblPr>
      <w:tblGrid>
        <w:gridCol w:w="4680"/>
        <w:gridCol w:w="1620"/>
        <w:gridCol w:w="3198"/>
      </w:tblGrid>
      <w:tr w:rsidR="00AD2E4D" w14:paraId="5E43202E" w14:textId="77777777" w:rsidTr="00B95319">
        <w:trPr>
          <w:cantSplit/>
          <w:trHeight w:val="215"/>
        </w:trPr>
        <w:tc>
          <w:tcPr>
            <w:tcW w:w="4680" w:type="dxa"/>
          </w:tcPr>
          <w:p w14:paraId="63962A93" w14:textId="7C371301" w:rsidR="00AD2E4D" w:rsidRDefault="00A345FB" w:rsidP="00E80F97">
            <w:pPr>
              <w:keepNext/>
              <w:tabs>
                <w:tab w:val="left" w:pos="7777"/>
              </w:tabs>
            </w:pPr>
            <w:r>
              <w:t>Ministerijos kancleris</w:t>
            </w:r>
          </w:p>
        </w:tc>
        <w:tc>
          <w:tcPr>
            <w:tcW w:w="1620" w:type="dxa"/>
          </w:tcPr>
          <w:p w14:paraId="12EC4723" w14:textId="77777777" w:rsidR="00AD2E4D" w:rsidRDefault="00AD2E4D" w:rsidP="00E80F97">
            <w:pPr>
              <w:keepNext/>
              <w:tabs>
                <w:tab w:val="left" w:pos="7777"/>
              </w:tabs>
              <w:rPr>
                <w:vanish/>
                <w:color w:val="0000FF"/>
              </w:rPr>
            </w:pPr>
          </w:p>
        </w:tc>
        <w:tc>
          <w:tcPr>
            <w:tcW w:w="3198" w:type="dxa"/>
          </w:tcPr>
          <w:p w14:paraId="0D71B540" w14:textId="64FD6216" w:rsidR="00AD2E4D" w:rsidRDefault="00A345FB" w:rsidP="00B95319">
            <w:pPr>
              <w:keepNext/>
              <w:tabs>
                <w:tab w:val="left" w:pos="7777"/>
              </w:tabs>
              <w:jc w:val="right"/>
            </w:pPr>
            <w:r>
              <w:t>Rolandas</w:t>
            </w:r>
            <w:r w:rsidR="00AD2E4D">
              <w:t xml:space="preserve"> </w:t>
            </w:r>
            <w:r>
              <w:t>Kvietkauskas</w:t>
            </w:r>
          </w:p>
        </w:tc>
      </w:tr>
    </w:tbl>
    <w:p w14:paraId="50366CEF" w14:textId="77777777" w:rsidR="004716FB" w:rsidRDefault="004716FB">
      <w:pPr>
        <w:sectPr w:rsidR="004716FB">
          <w:type w:val="continuous"/>
          <w:pgSz w:w="11906" w:h="16838" w:code="9"/>
          <w:pgMar w:top="1134" w:right="567" w:bottom="1134" w:left="1701" w:header="709" w:footer="665" w:gutter="0"/>
          <w:cols w:space="708"/>
          <w:docGrid w:linePitch="360"/>
        </w:sectPr>
      </w:pPr>
    </w:p>
    <w:p w14:paraId="74A71F83" w14:textId="5241A551" w:rsidR="00A345FB" w:rsidRDefault="00A345FB" w:rsidP="00DE137C"/>
    <w:p w14:paraId="3B700199" w14:textId="52FA1702" w:rsidR="00976D1D" w:rsidRDefault="00976D1D" w:rsidP="00DE137C"/>
    <w:p w14:paraId="5F518C0E" w14:textId="5676D73E" w:rsidR="00976D1D" w:rsidRDefault="00976D1D" w:rsidP="00DE137C"/>
    <w:p w14:paraId="282C3D6B" w14:textId="443CE7D2" w:rsidR="00976D1D" w:rsidRDefault="00976D1D" w:rsidP="00DE137C"/>
    <w:p w14:paraId="6F9634BC" w14:textId="7071FB24" w:rsidR="00976D1D" w:rsidRDefault="00976D1D" w:rsidP="00DE137C"/>
    <w:p w14:paraId="5FBC952E" w14:textId="60B3DE59" w:rsidR="00976D1D" w:rsidRDefault="00976D1D" w:rsidP="00DE137C"/>
    <w:p w14:paraId="6F65F7F6" w14:textId="35E68D55" w:rsidR="00976D1D" w:rsidRDefault="00976D1D" w:rsidP="00DE137C"/>
    <w:p w14:paraId="68C8BE2F" w14:textId="7834F5C6" w:rsidR="00976D1D" w:rsidRDefault="00976D1D" w:rsidP="00DE137C"/>
    <w:p w14:paraId="22C5B1EE" w14:textId="1547BAD3" w:rsidR="00976D1D" w:rsidRDefault="00976D1D" w:rsidP="00DE137C"/>
    <w:p w14:paraId="7BD6EF70" w14:textId="7FACA421" w:rsidR="00976D1D" w:rsidRDefault="00976D1D" w:rsidP="00DE137C"/>
    <w:p w14:paraId="1D217D5A" w14:textId="28D2A6CF" w:rsidR="00976D1D" w:rsidRDefault="00976D1D" w:rsidP="00DE137C"/>
    <w:p w14:paraId="3456271F" w14:textId="680C9DAF" w:rsidR="00976D1D" w:rsidRDefault="00976D1D" w:rsidP="00DE137C"/>
    <w:p w14:paraId="470A2900" w14:textId="6BD3CA73" w:rsidR="00976D1D" w:rsidRDefault="00976D1D" w:rsidP="00DE137C"/>
    <w:p w14:paraId="370A9BBC" w14:textId="2D053BD0" w:rsidR="00976D1D" w:rsidRDefault="00976D1D" w:rsidP="00DE137C"/>
    <w:p w14:paraId="3CD45D19" w14:textId="3A046D50" w:rsidR="00976D1D" w:rsidRDefault="00976D1D" w:rsidP="00DE137C"/>
    <w:p w14:paraId="56E258BF" w14:textId="44738A8D" w:rsidR="00976D1D" w:rsidRDefault="00976D1D" w:rsidP="00DE137C"/>
    <w:p w14:paraId="1F972408" w14:textId="044E1476" w:rsidR="00976D1D" w:rsidRDefault="00976D1D" w:rsidP="00DE137C"/>
    <w:p w14:paraId="4273A645" w14:textId="69BE6FC5" w:rsidR="00976D1D" w:rsidRDefault="00976D1D" w:rsidP="00DE137C"/>
    <w:p w14:paraId="49D2B614" w14:textId="77777777" w:rsidR="00976D1D" w:rsidRDefault="00976D1D" w:rsidP="00DE137C"/>
    <w:p w14:paraId="51799E5D" w14:textId="41BD2CC7" w:rsidR="00976D1D" w:rsidRDefault="00976D1D" w:rsidP="00DE137C"/>
    <w:p w14:paraId="116BA3B7" w14:textId="697459A7" w:rsidR="00976D1D" w:rsidRDefault="00976D1D" w:rsidP="00DE137C"/>
    <w:tbl>
      <w:tblPr>
        <w:tblpPr w:leftFromText="180" w:rightFromText="180" w:vertAnchor="text" w:horzAnchor="margin" w:tblpY="258"/>
        <w:tblW w:w="0" w:type="auto"/>
        <w:tblLook w:val="04A0" w:firstRow="1" w:lastRow="0" w:firstColumn="1" w:lastColumn="0" w:noHBand="0" w:noVBand="1"/>
      </w:tblPr>
      <w:tblGrid>
        <w:gridCol w:w="7744"/>
        <w:gridCol w:w="1894"/>
      </w:tblGrid>
      <w:tr w:rsidR="00976D1D" w14:paraId="7093D932" w14:textId="77777777" w:rsidTr="00976D1D">
        <w:tc>
          <w:tcPr>
            <w:tcW w:w="7744" w:type="dxa"/>
            <w:vAlign w:val="center"/>
            <w:hideMark/>
          </w:tcPr>
          <w:p w14:paraId="6A0A73AA" w14:textId="77777777" w:rsidR="00976D1D" w:rsidRDefault="00976D1D" w:rsidP="00976D1D">
            <w:r>
              <w:t xml:space="preserve">Daiva Pilipavičienė, tel. +370 608 47639, el. p. </w:t>
            </w:r>
            <w:hyperlink r:id="rId10" w:history="1">
              <w:r w:rsidRPr="00DB5CB0">
                <w:rPr>
                  <w:rStyle w:val="Hipersaitas"/>
                </w:rPr>
                <w:t>daiva.pilipaviciene@lrkm.lt</w:t>
              </w:r>
            </w:hyperlink>
          </w:p>
        </w:tc>
        <w:tc>
          <w:tcPr>
            <w:tcW w:w="1894" w:type="dxa"/>
          </w:tcPr>
          <w:p w14:paraId="2E042889" w14:textId="77777777" w:rsidR="00976D1D" w:rsidRDefault="00976D1D" w:rsidP="00976D1D">
            <w:pPr>
              <w:jc w:val="center"/>
            </w:pPr>
          </w:p>
        </w:tc>
      </w:tr>
    </w:tbl>
    <w:p w14:paraId="2FA04205" w14:textId="77777777" w:rsidR="00976D1D" w:rsidRDefault="00976D1D" w:rsidP="00DE137C"/>
    <w:sectPr w:rsidR="00976D1D">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F6B8" w14:textId="77777777" w:rsidR="008C2533" w:rsidRDefault="008C2533">
      <w:r>
        <w:separator/>
      </w:r>
    </w:p>
  </w:endnote>
  <w:endnote w:type="continuationSeparator" w:id="0">
    <w:p w14:paraId="517082F9" w14:textId="77777777" w:rsidR="008C2533" w:rsidRDefault="008C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889C" w14:textId="77777777" w:rsidR="008D7ED1" w:rsidRDefault="008D7ED1" w:rsidP="008D7ED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5A27" w14:textId="77777777" w:rsidR="008C2533" w:rsidRDefault="008C2533">
      <w:r>
        <w:separator/>
      </w:r>
    </w:p>
  </w:footnote>
  <w:footnote w:type="continuationSeparator" w:id="0">
    <w:p w14:paraId="3FA8F817" w14:textId="77777777" w:rsidR="008C2533" w:rsidRDefault="008C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34570"/>
    <w:multiLevelType w:val="hybridMultilevel"/>
    <w:tmpl w:val="01EE677C"/>
    <w:lvl w:ilvl="0" w:tplc="E44CB2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22"/>
    <w:rsid w:val="00010CDE"/>
    <w:rsid w:val="000133A9"/>
    <w:rsid w:val="00025DE0"/>
    <w:rsid w:val="000527AA"/>
    <w:rsid w:val="000A5327"/>
    <w:rsid w:val="000D152B"/>
    <w:rsid w:val="000F7B49"/>
    <w:rsid w:val="00112355"/>
    <w:rsid w:val="00126CFE"/>
    <w:rsid w:val="00190E4D"/>
    <w:rsid w:val="001B4985"/>
    <w:rsid w:val="00212AE9"/>
    <w:rsid w:val="00222404"/>
    <w:rsid w:val="002272C5"/>
    <w:rsid w:val="00230167"/>
    <w:rsid w:val="00230706"/>
    <w:rsid w:val="00266DF3"/>
    <w:rsid w:val="00270091"/>
    <w:rsid w:val="00294486"/>
    <w:rsid w:val="00295072"/>
    <w:rsid w:val="002F6065"/>
    <w:rsid w:val="002F6673"/>
    <w:rsid w:val="00320D18"/>
    <w:rsid w:val="0033386F"/>
    <w:rsid w:val="003351F4"/>
    <w:rsid w:val="00365298"/>
    <w:rsid w:val="00383E26"/>
    <w:rsid w:val="0038761C"/>
    <w:rsid w:val="00390498"/>
    <w:rsid w:val="003A52AD"/>
    <w:rsid w:val="003A61AB"/>
    <w:rsid w:val="003C5283"/>
    <w:rsid w:val="003D211B"/>
    <w:rsid w:val="003D5A8C"/>
    <w:rsid w:val="003D7FB1"/>
    <w:rsid w:val="003E34F6"/>
    <w:rsid w:val="00422603"/>
    <w:rsid w:val="004716FB"/>
    <w:rsid w:val="00480E29"/>
    <w:rsid w:val="0048222E"/>
    <w:rsid w:val="004A716F"/>
    <w:rsid w:val="004C6A67"/>
    <w:rsid w:val="005255F4"/>
    <w:rsid w:val="005357F8"/>
    <w:rsid w:val="00537DF8"/>
    <w:rsid w:val="005436F5"/>
    <w:rsid w:val="00581753"/>
    <w:rsid w:val="005E6682"/>
    <w:rsid w:val="005F03B7"/>
    <w:rsid w:val="00617489"/>
    <w:rsid w:val="0062337E"/>
    <w:rsid w:val="00663FA4"/>
    <w:rsid w:val="00674507"/>
    <w:rsid w:val="006750DD"/>
    <w:rsid w:val="00685378"/>
    <w:rsid w:val="006927CD"/>
    <w:rsid w:val="006A1621"/>
    <w:rsid w:val="006A2A90"/>
    <w:rsid w:val="006A6606"/>
    <w:rsid w:val="006F4E03"/>
    <w:rsid w:val="007371BA"/>
    <w:rsid w:val="0074511D"/>
    <w:rsid w:val="007D4749"/>
    <w:rsid w:val="00855C75"/>
    <w:rsid w:val="00880C11"/>
    <w:rsid w:val="008C2533"/>
    <w:rsid w:val="008D7ED1"/>
    <w:rsid w:val="008E5645"/>
    <w:rsid w:val="008F7399"/>
    <w:rsid w:val="009239DE"/>
    <w:rsid w:val="00934787"/>
    <w:rsid w:val="00937330"/>
    <w:rsid w:val="00953FC0"/>
    <w:rsid w:val="00976D1D"/>
    <w:rsid w:val="009A77C5"/>
    <w:rsid w:val="009B24B9"/>
    <w:rsid w:val="009C7739"/>
    <w:rsid w:val="009D4BB7"/>
    <w:rsid w:val="00A049EC"/>
    <w:rsid w:val="00A345FB"/>
    <w:rsid w:val="00AD2E4D"/>
    <w:rsid w:val="00B04580"/>
    <w:rsid w:val="00B57DEC"/>
    <w:rsid w:val="00B6096E"/>
    <w:rsid w:val="00B7545B"/>
    <w:rsid w:val="00B87BCA"/>
    <w:rsid w:val="00B95319"/>
    <w:rsid w:val="00B96525"/>
    <w:rsid w:val="00BB79BA"/>
    <w:rsid w:val="00BD7DC9"/>
    <w:rsid w:val="00BE5D6A"/>
    <w:rsid w:val="00BF6F20"/>
    <w:rsid w:val="00BF6FDD"/>
    <w:rsid w:val="00C01FAE"/>
    <w:rsid w:val="00C040A4"/>
    <w:rsid w:val="00C169B5"/>
    <w:rsid w:val="00C535B8"/>
    <w:rsid w:val="00C552B5"/>
    <w:rsid w:val="00C67C67"/>
    <w:rsid w:val="00C820A4"/>
    <w:rsid w:val="00CC39FB"/>
    <w:rsid w:val="00D02B09"/>
    <w:rsid w:val="00D07122"/>
    <w:rsid w:val="00D370E9"/>
    <w:rsid w:val="00D66EC2"/>
    <w:rsid w:val="00D762B2"/>
    <w:rsid w:val="00D84CB4"/>
    <w:rsid w:val="00DA072F"/>
    <w:rsid w:val="00DA6364"/>
    <w:rsid w:val="00DA7FEF"/>
    <w:rsid w:val="00DE04C1"/>
    <w:rsid w:val="00DE137C"/>
    <w:rsid w:val="00DE4D10"/>
    <w:rsid w:val="00E06CFE"/>
    <w:rsid w:val="00E1574A"/>
    <w:rsid w:val="00E62059"/>
    <w:rsid w:val="00E6604B"/>
    <w:rsid w:val="00E80F97"/>
    <w:rsid w:val="00E91348"/>
    <w:rsid w:val="00EA2200"/>
    <w:rsid w:val="00EA3286"/>
    <w:rsid w:val="00EB14E0"/>
    <w:rsid w:val="00F61F2C"/>
    <w:rsid w:val="00FB48DC"/>
    <w:rsid w:val="00FC1816"/>
    <w:rsid w:val="00FD4D06"/>
    <w:rsid w:val="00FF3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4516A"/>
  <w15:docId w15:val="{DF1ABA9D-3AA2-4A59-859C-95C11D49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rPr>
  </w:style>
  <w:style w:type="paragraph" w:styleId="Porat">
    <w:name w:val="footer"/>
    <w:basedOn w:val="prastasis"/>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character" w:styleId="Neapdorotaspaminjimas">
    <w:name w:val="Unresolved Mention"/>
    <w:basedOn w:val="Numatytasispastraiposriftas"/>
    <w:uiPriority w:val="99"/>
    <w:semiHidden/>
    <w:unhideWhenUsed/>
    <w:rsid w:val="00212AE9"/>
    <w:rPr>
      <w:color w:val="605E5C"/>
      <w:shd w:val="clear" w:color="auto" w:fill="E1DFDD"/>
    </w:rPr>
  </w:style>
  <w:style w:type="paragraph" w:styleId="Sraopastraipa">
    <w:name w:val="List Paragraph"/>
    <w:basedOn w:val="prastasis"/>
    <w:uiPriority w:val="34"/>
    <w:qFormat/>
    <w:rsid w:val="00D76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09893">
      <w:bodyDiv w:val="1"/>
      <w:marLeft w:val="0"/>
      <w:marRight w:val="0"/>
      <w:marTop w:val="0"/>
      <w:marBottom w:val="0"/>
      <w:divBdr>
        <w:top w:val="none" w:sz="0" w:space="0" w:color="auto"/>
        <w:left w:val="none" w:sz="0" w:space="0" w:color="auto"/>
        <w:bottom w:val="none" w:sz="0" w:space="0" w:color="auto"/>
        <w:right w:val="none" w:sz="0" w:space="0" w:color="auto"/>
      </w:divBdr>
    </w:div>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749501241">
      <w:bodyDiv w:val="1"/>
      <w:marLeft w:val="0"/>
      <w:marRight w:val="0"/>
      <w:marTop w:val="0"/>
      <w:marBottom w:val="0"/>
      <w:divBdr>
        <w:top w:val="none" w:sz="0" w:space="0" w:color="auto"/>
        <w:left w:val="none" w:sz="0" w:space="0" w:color="auto"/>
        <w:bottom w:val="none" w:sz="0" w:space="0" w:color="auto"/>
        <w:right w:val="none" w:sz="0" w:space="0" w:color="auto"/>
      </w:divBdr>
    </w:div>
    <w:div w:id="1075779715">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daiva.pilipaviciene@lrkm.l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3306</Words>
  <Characters>1885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2021-10-08T11:16:00Z</dcterms:created>
  <dc:creator>Daiva Pilipavičienė</dc:creator>
  <cp:lastModifiedBy>Agnė Nakčerienė</cp:lastModifiedBy>
  <cp:lastPrinted>2008-11-12T06:44:00Z</cp:lastPrinted>
  <dcterms:modified xsi:type="dcterms:W3CDTF">2021-10-08T11:16:00Z</dcterms:modified>
  <cp:revision>2</cp:revision>
</cp:coreProperties>
</file>