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0A2634" w14:textId="1D4809F9" w:rsidR="00E60784" w:rsidRPr="00B1234C" w:rsidRDefault="0047555B" w:rsidP="00E60784">
      <w:pPr>
        <w:jc w:val="center"/>
        <w:rPr>
          <w:b/>
          <w:szCs w:val="24"/>
        </w:rPr>
      </w:pPr>
      <w:r w:rsidRPr="00B1234C">
        <w:rPr>
          <w:b/>
          <w:bCs/>
          <w:szCs w:val="24"/>
        </w:rPr>
        <w:t>LIETUVOS RESPUBLIKOS ELEKTROS ENERGETIKOS ĮSTATYMO NR. VIII-1881 2, 9, 34, 43, 44, 45, 46, 46</w:t>
      </w:r>
      <w:r w:rsidRPr="00CF6174">
        <w:rPr>
          <w:b/>
          <w:bCs/>
          <w:szCs w:val="24"/>
          <w:vertAlign w:val="superscript"/>
        </w:rPr>
        <w:t>1</w:t>
      </w:r>
      <w:r w:rsidRPr="00B1234C">
        <w:rPr>
          <w:b/>
          <w:bCs/>
          <w:szCs w:val="24"/>
        </w:rPr>
        <w:t>, 47, 49, 51, 52 IR 60 STRAIPSNIŲ PAKEITIMO IR ĮSTATYMO PAPILDYMO 46</w:t>
      </w:r>
      <w:r w:rsidRPr="00CF6174">
        <w:rPr>
          <w:b/>
          <w:bCs/>
          <w:szCs w:val="24"/>
          <w:vertAlign w:val="superscript"/>
        </w:rPr>
        <w:t>2</w:t>
      </w:r>
      <w:r w:rsidRPr="00B1234C">
        <w:rPr>
          <w:b/>
          <w:bCs/>
          <w:szCs w:val="24"/>
        </w:rPr>
        <w:t xml:space="preserve"> IR 52</w:t>
      </w:r>
      <w:r w:rsidRPr="00CF6174">
        <w:rPr>
          <w:b/>
          <w:bCs/>
          <w:szCs w:val="24"/>
          <w:vertAlign w:val="superscript"/>
        </w:rPr>
        <w:t>1</w:t>
      </w:r>
      <w:r w:rsidRPr="00B1234C">
        <w:rPr>
          <w:b/>
          <w:bCs/>
          <w:szCs w:val="24"/>
        </w:rPr>
        <w:t xml:space="preserve"> STRAIPSNIAIS PAKEITIMO ĮSTATYMO PROJEKTO</w:t>
      </w:r>
      <w:r w:rsidR="00E60784" w:rsidRPr="00B1234C">
        <w:rPr>
          <w:b/>
          <w:szCs w:val="24"/>
        </w:rPr>
        <w:t xml:space="preserve"> </w:t>
      </w:r>
      <w:r w:rsidR="00A61FCE" w:rsidRPr="00B1234C">
        <w:rPr>
          <w:b/>
          <w:bCs/>
          <w:color w:val="000000"/>
          <w:szCs w:val="24"/>
        </w:rPr>
        <w:t>(TAP NR. 21-21-554; 21-555; TAIS NR. 21-24399</w:t>
      </w:r>
      <w:r w:rsidR="00A61FCE" w:rsidRPr="00B1234C">
        <w:rPr>
          <w:b/>
          <w:bCs/>
          <w:color w:val="000000"/>
          <w:szCs w:val="24"/>
          <w:shd w:val="clear" w:color="auto" w:fill="FFFFFF"/>
        </w:rPr>
        <w:t xml:space="preserve">) </w:t>
      </w:r>
      <w:r w:rsidR="00E60784" w:rsidRPr="00B1234C">
        <w:rPr>
          <w:b/>
          <w:szCs w:val="24"/>
        </w:rPr>
        <w:t>DERINIMO PAŽYMA</w:t>
      </w:r>
    </w:p>
    <w:p w14:paraId="011C4981" w14:textId="77777777" w:rsidR="00E60784" w:rsidRPr="00B1234C" w:rsidRDefault="00E60784"/>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4678"/>
        <w:gridCol w:w="8925"/>
      </w:tblGrid>
      <w:tr w:rsidR="00016581" w:rsidRPr="00B1234C" w14:paraId="34ADAE4F" w14:textId="00E3C20B" w:rsidTr="00016581">
        <w:trPr>
          <w:trHeight w:val="1040"/>
        </w:trPr>
        <w:tc>
          <w:tcPr>
            <w:tcW w:w="567" w:type="dxa"/>
            <w:tcBorders>
              <w:top w:val="single" w:sz="4" w:space="0" w:color="auto"/>
              <w:left w:val="single" w:sz="4" w:space="0" w:color="auto"/>
              <w:bottom w:val="single" w:sz="4" w:space="0" w:color="auto"/>
              <w:right w:val="single" w:sz="4" w:space="0" w:color="auto"/>
            </w:tcBorders>
            <w:vAlign w:val="center"/>
          </w:tcPr>
          <w:p w14:paraId="172CC288" w14:textId="77777777" w:rsidR="00016581" w:rsidRPr="00B1234C" w:rsidRDefault="00016581" w:rsidP="00CA3174">
            <w:pPr>
              <w:jc w:val="center"/>
              <w:rPr>
                <w:b/>
                <w:bCs/>
                <w:szCs w:val="24"/>
              </w:rPr>
            </w:pPr>
            <w:r w:rsidRPr="00B1234C">
              <w:rPr>
                <w:b/>
                <w:bCs/>
                <w:szCs w:val="24"/>
              </w:rPr>
              <w:t>Nr.</w:t>
            </w:r>
          </w:p>
        </w:tc>
        <w:tc>
          <w:tcPr>
            <w:tcW w:w="4678" w:type="dxa"/>
            <w:tcBorders>
              <w:top w:val="single" w:sz="4" w:space="0" w:color="auto"/>
              <w:left w:val="single" w:sz="4" w:space="0" w:color="auto"/>
              <w:bottom w:val="single" w:sz="4" w:space="0" w:color="auto"/>
              <w:right w:val="single" w:sz="4" w:space="0" w:color="auto"/>
            </w:tcBorders>
            <w:vAlign w:val="center"/>
          </w:tcPr>
          <w:p w14:paraId="2B2F8C09" w14:textId="77777777" w:rsidR="00016581" w:rsidRPr="00B1234C" w:rsidRDefault="00016581" w:rsidP="00E50194">
            <w:pPr>
              <w:jc w:val="center"/>
              <w:rPr>
                <w:b/>
                <w:szCs w:val="24"/>
              </w:rPr>
            </w:pPr>
            <w:r w:rsidRPr="00B1234C">
              <w:rPr>
                <w:b/>
                <w:bCs/>
                <w:szCs w:val="24"/>
              </w:rPr>
              <w:t>Pastabos ir pasiūlymai</w:t>
            </w:r>
          </w:p>
        </w:tc>
        <w:tc>
          <w:tcPr>
            <w:tcW w:w="8925" w:type="dxa"/>
            <w:tcBorders>
              <w:top w:val="single" w:sz="4" w:space="0" w:color="auto"/>
              <w:left w:val="single" w:sz="4" w:space="0" w:color="auto"/>
              <w:bottom w:val="single" w:sz="4" w:space="0" w:color="auto"/>
              <w:right w:val="single" w:sz="4" w:space="0" w:color="auto"/>
            </w:tcBorders>
            <w:shd w:val="clear" w:color="auto" w:fill="auto"/>
            <w:vAlign w:val="center"/>
          </w:tcPr>
          <w:p w14:paraId="5A1C0AB0" w14:textId="77777777" w:rsidR="00016581" w:rsidRPr="00B1234C" w:rsidRDefault="00016581" w:rsidP="00CA3174">
            <w:pPr>
              <w:jc w:val="center"/>
              <w:rPr>
                <w:szCs w:val="24"/>
              </w:rPr>
            </w:pPr>
            <w:r w:rsidRPr="00B1234C">
              <w:rPr>
                <w:b/>
                <w:bCs/>
                <w:szCs w:val="24"/>
              </w:rPr>
              <w:t>Argumentai (neatsižvelgta, atsižvelgta iš dalies)</w:t>
            </w:r>
          </w:p>
          <w:p w14:paraId="00D2DE7A" w14:textId="77777777" w:rsidR="00016581" w:rsidRPr="00B1234C" w:rsidRDefault="00016581" w:rsidP="00CA3174">
            <w:pPr>
              <w:jc w:val="center"/>
              <w:rPr>
                <w:b/>
                <w:szCs w:val="24"/>
              </w:rPr>
            </w:pPr>
          </w:p>
        </w:tc>
      </w:tr>
      <w:tr w:rsidR="00F61404" w:rsidRPr="00B1234C" w14:paraId="5DB15C33" w14:textId="77777777" w:rsidTr="00625F43">
        <w:trPr>
          <w:trHeight w:val="563"/>
        </w:trPr>
        <w:tc>
          <w:tcPr>
            <w:tcW w:w="14170" w:type="dxa"/>
            <w:gridSpan w:val="3"/>
            <w:tcBorders>
              <w:top w:val="single" w:sz="4" w:space="0" w:color="auto"/>
              <w:left w:val="single" w:sz="4" w:space="0" w:color="auto"/>
              <w:bottom w:val="single" w:sz="4" w:space="0" w:color="auto"/>
              <w:right w:val="single" w:sz="4" w:space="0" w:color="auto"/>
            </w:tcBorders>
            <w:vAlign w:val="center"/>
          </w:tcPr>
          <w:p w14:paraId="49B0DF25" w14:textId="77777777" w:rsidR="00F61404" w:rsidRDefault="00F61404" w:rsidP="00E50194">
            <w:pPr>
              <w:tabs>
                <w:tab w:val="left" w:pos="851"/>
              </w:tabs>
              <w:jc w:val="both"/>
              <w:rPr>
                <w:b/>
                <w:bCs/>
                <w:szCs w:val="24"/>
              </w:rPr>
            </w:pPr>
            <w:r w:rsidRPr="00B1234C">
              <w:rPr>
                <w:b/>
                <w:bCs/>
                <w:szCs w:val="24"/>
              </w:rPr>
              <w:t>Institucijos arba ūkio subjekto pavadinimas, rašto data, numeris</w:t>
            </w:r>
          </w:p>
          <w:p w14:paraId="00277BC7" w14:textId="0F45F839" w:rsidR="00F61404" w:rsidRPr="00B1234C" w:rsidRDefault="00F61404" w:rsidP="00CA3174">
            <w:pPr>
              <w:jc w:val="both"/>
              <w:rPr>
                <w:szCs w:val="24"/>
              </w:rPr>
            </w:pPr>
            <w:r w:rsidRPr="00F14A12">
              <w:rPr>
                <w:szCs w:val="24"/>
              </w:rPr>
              <w:t>Lietuvos Respublikos Vyriausybės kanceliarijos Teisės grupės 2021</w:t>
            </w:r>
            <w:r>
              <w:rPr>
                <w:szCs w:val="24"/>
              </w:rPr>
              <w:t>m. gegužės 24 d. išvada</w:t>
            </w:r>
            <w:r w:rsidRPr="00F14A12">
              <w:rPr>
                <w:szCs w:val="24"/>
              </w:rPr>
              <w:t xml:space="preserve"> Nr.</w:t>
            </w:r>
            <w:r w:rsidRPr="00F14A12">
              <w:rPr>
                <w:color w:val="000000"/>
                <w:szCs w:val="24"/>
                <w:shd w:val="clear" w:color="auto" w:fill="FFFFFF"/>
              </w:rPr>
              <w:t xml:space="preserve"> NV-1094</w:t>
            </w:r>
          </w:p>
        </w:tc>
      </w:tr>
      <w:tr w:rsidR="00016581" w:rsidRPr="00B1234C" w14:paraId="7A4E2C00" w14:textId="48852F3D" w:rsidTr="00016581">
        <w:trPr>
          <w:trHeight w:val="563"/>
        </w:trPr>
        <w:tc>
          <w:tcPr>
            <w:tcW w:w="567" w:type="dxa"/>
            <w:tcBorders>
              <w:top w:val="single" w:sz="4" w:space="0" w:color="auto"/>
              <w:left w:val="single" w:sz="4" w:space="0" w:color="auto"/>
              <w:bottom w:val="single" w:sz="4" w:space="0" w:color="auto"/>
              <w:right w:val="single" w:sz="4" w:space="0" w:color="auto"/>
            </w:tcBorders>
            <w:vAlign w:val="center"/>
          </w:tcPr>
          <w:p w14:paraId="2A910C12" w14:textId="28E7EC31" w:rsidR="00016581" w:rsidRPr="00C26A96" w:rsidRDefault="00016581" w:rsidP="00F61404">
            <w:pPr>
              <w:pStyle w:val="ListParagraph"/>
              <w:numPr>
                <w:ilvl w:val="0"/>
                <w:numId w:val="2"/>
              </w:numPr>
              <w:ind w:left="470" w:hanging="357"/>
              <w:jc w:val="center"/>
              <w:rPr>
                <w:szCs w:val="24"/>
              </w:rPr>
            </w:pPr>
          </w:p>
        </w:tc>
        <w:tc>
          <w:tcPr>
            <w:tcW w:w="4678" w:type="dxa"/>
            <w:tcBorders>
              <w:top w:val="single" w:sz="4" w:space="0" w:color="auto"/>
              <w:left w:val="single" w:sz="4" w:space="0" w:color="auto"/>
              <w:bottom w:val="single" w:sz="4" w:space="0" w:color="auto"/>
              <w:right w:val="single" w:sz="4" w:space="0" w:color="auto"/>
            </w:tcBorders>
          </w:tcPr>
          <w:p w14:paraId="1988E708" w14:textId="3D8D76D8" w:rsidR="00016581" w:rsidRPr="00B1234C" w:rsidRDefault="00016581" w:rsidP="00A13EB0">
            <w:pPr>
              <w:tabs>
                <w:tab w:val="left" w:pos="851"/>
              </w:tabs>
              <w:jc w:val="both"/>
              <w:rPr>
                <w:szCs w:val="24"/>
              </w:rPr>
            </w:pPr>
            <w:r w:rsidRPr="00B1234C">
              <w:rPr>
                <w:szCs w:val="24"/>
              </w:rPr>
              <w:t xml:space="preserve">1. Projektu keičiamo Lietuvos Respublikos elektros energetikos įstatymo (toliau – EEĮ) 43 str. 1 d. 2 p. siūloma pakeisti laikotarpį, kuriuo faktinis elektros energijos suvartojimas objekte buvo ne mažesnis nei 1000 kWh, tai yra vietoj esamo nustatyto </w:t>
            </w:r>
            <w:r w:rsidRPr="00B1234C">
              <w:rPr>
                <w:i/>
                <w:iCs/>
                <w:szCs w:val="24"/>
              </w:rPr>
              <w:t>„nuo 2020 m. birželio 1 d. iki 2021 m. gegužės 31 d</w:t>
            </w:r>
            <w:r w:rsidRPr="00B1234C">
              <w:rPr>
                <w:szCs w:val="24"/>
              </w:rPr>
              <w:t>.“ siūloma nustatyti naują laikotarpį</w:t>
            </w:r>
            <w:r w:rsidRPr="00B1234C">
              <w:rPr>
                <w:i/>
                <w:iCs/>
                <w:szCs w:val="24"/>
              </w:rPr>
              <w:t xml:space="preserve"> „nuo 2020 m. sausio 1 d. iki 2020 m. gruodžio 31 d.“. </w:t>
            </w:r>
            <w:r w:rsidRPr="00B1234C">
              <w:rPr>
                <w:szCs w:val="24"/>
              </w:rPr>
              <w:t xml:space="preserve">Apkreiptinas </w:t>
            </w:r>
            <w:r w:rsidR="00C26A96">
              <w:rPr>
                <w:szCs w:val="24"/>
              </w:rPr>
              <w:t>d</w:t>
            </w:r>
            <w:r w:rsidRPr="00B1234C">
              <w:rPr>
                <w:szCs w:val="24"/>
              </w:rPr>
              <w:t>ėmesys, kad siūloma ankstinti laikotarpį, kuris Projekto svarstymo metu jau bus pasibaigęs. Taip pat iš keičiamo EEĮ 43 str. 2 d. lieka neaišku, kaip bus pateikiami (arbus pateikiami) duomenys apie vartotojus, nurodytus keičiamo EEĮ 43 str. 1 d. 1 p., nes nuorodą į šį punktą siūloma naikinti. Tačiau esama vartotojų, kurie pagal keičiamo EEĮ 43 str. 1 d. 1 p. dar nepasirinko nepriklausomo teikėjo. Siūlome šiame kontekste įvertinti ir , jei reikalinga, tikslinti siūlomą teisinė reguliavimą dėl visų vartotojų duomenų perdavimo.</w:t>
            </w:r>
          </w:p>
        </w:tc>
        <w:tc>
          <w:tcPr>
            <w:tcW w:w="8925" w:type="dxa"/>
            <w:tcBorders>
              <w:top w:val="single" w:sz="4" w:space="0" w:color="auto"/>
              <w:left w:val="single" w:sz="4" w:space="0" w:color="auto"/>
              <w:bottom w:val="single" w:sz="4" w:space="0" w:color="auto"/>
              <w:right w:val="single" w:sz="4" w:space="0" w:color="auto"/>
            </w:tcBorders>
            <w:shd w:val="clear" w:color="auto" w:fill="auto"/>
          </w:tcPr>
          <w:p w14:paraId="5E1D9C86" w14:textId="0207D56B" w:rsidR="00016581" w:rsidRPr="00B1234C" w:rsidRDefault="000F426E" w:rsidP="00E154BA">
            <w:pPr>
              <w:jc w:val="both"/>
              <w:rPr>
                <w:b/>
                <w:bCs/>
                <w:szCs w:val="24"/>
              </w:rPr>
            </w:pPr>
            <w:r>
              <w:rPr>
                <w:b/>
                <w:bCs/>
                <w:szCs w:val="24"/>
              </w:rPr>
              <w:t>At</w:t>
            </w:r>
            <w:r w:rsidR="00A31888">
              <w:rPr>
                <w:b/>
                <w:bCs/>
                <w:szCs w:val="24"/>
              </w:rPr>
              <w:t>sižvelgta</w:t>
            </w:r>
            <w:r w:rsidRPr="00B1234C">
              <w:rPr>
                <w:b/>
                <w:bCs/>
                <w:szCs w:val="24"/>
              </w:rPr>
              <w:t xml:space="preserve"> </w:t>
            </w:r>
            <w:r w:rsidR="0032437A" w:rsidRPr="00B1234C">
              <w:rPr>
                <w:b/>
                <w:bCs/>
                <w:szCs w:val="24"/>
              </w:rPr>
              <w:t>iš dalies</w:t>
            </w:r>
          </w:p>
          <w:p w14:paraId="012F76F7" w14:textId="5EFF5DE7" w:rsidR="00016581" w:rsidRPr="00B1234C" w:rsidRDefault="00F60DB5" w:rsidP="002E5F9D">
            <w:pPr>
              <w:jc w:val="both"/>
              <w:rPr>
                <w:szCs w:val="24"/>
              </w:rPr>
            </w:pPr>
            <w:r w:rsidRPr="00B1234C">
              <w:rPr>
                <w:szCs w:val="24"/>
              </w:rPr>
              <w:t>P</w:t>
            </w:r>
            <w:r w:rsidR="00016581" w:rsidRPr="00B1234C">
              <w:rPr>
                <w:szCs w:val="24"/>
              </w:rPr>
              <w:t xml:space="preserve">agal šiuo metu EEĮ nustatytą reguliavimą elektros energetikos rinkos liberalizavimas vyksta 3 etapais (atitinkamai 2020 m., 2021 m. ir 2022 m.). Pirmasis liberalizavimo etapas yra pasibaigęs – šio etapo vartotojai turėjo pasirinkti nepriklausomą tiekėją iki 2020 m. gruodžio 31 d. (EEĮ 43 str. 1 d. 1 p.). Šios pareigos neįvykdę vartotojai nuo 2021 m. sausio 1 d. naudojasi garantinio tiekimo užtikrinimo paslauga, o </w:t>
            </w:r>
            <w:r w:rsidR="00850452">
              <w:rPr>
                <w:szCs w:val="24"/>
              </w:rPr>
              <w:t xml:space="preserve">jų </w:t>
            </w:r>
            <w:r w:rsidR="00016581" w:rsidRPr="00B1234C">
              <w:rPr>
                <w:szCs w:val="24"/>
              </w:rPr>
              <w:t>duomenys yra prieinami nepriklausomiems tiekėjams iki 2021 m. birželio 30 d. (EEĮ 43 str. 3 d.).</w:t>
            </w:r>
          </w:p>
          <w:p w14:paraId="14F38373" w14:textId="77777777" w:rsidR="00016581" w:rsidRPr="00B1234C" w:rsidRDefault="00016581" w:rsidP="002E5F9D">
            <w:pPr>
              <w:jc w:val="both"/>
              <w:rPr>
                <w:szCs w:val="24"/>
              </w:rPr>
            </w:pPr>
          </w:p>
          <w:p w14:paraId="5D06A293" w14:textId="79F61128" w:rsidR="00016581" w:rsidRPr="00B1234C" w:rsidRDefault="00016581" w:rsidP="002E5F9D">
            <w:pPr>
              <w:jc w:val="both"/>
              <w:rPr>
                <w:szCs w:val="24"/>
              </w:rPr>
            </w:pPr>
            <w:r w:rsidRPr="00B1234C">
              <w:rPr>
                <w:szCs w:val="24"/>
              </w:rPr>
              <w:t>Pažymėtina, kad EEĮ pakeitimo projektu nėra keičiama koncepcija dėl liberalizavimo vykdymo</w:t>
            </w:r>
            <w:r w:rsidR="00625F43">
              <w:rPr>
                <w:szCs w:val="24"/>
              </w:rPr>
              <w:t xml:space="preserve"> etapais</w:t>
            </w:r>
            <w:r w:rsidRPr="00B1234C">
              <w:rPr>
                <w:szCs w:val="24"/>
              </w:rPr>
              <w:t>, tai yra visi į atitinkamą etapą patenkantys vartotojai privalės pasirinkti nepriklausomą tiekėją iki atitinkamų metų pabaigos.</w:t>
            </w:r>
          </w:p>
          <w:p w14:paraId="6297D7E6" w14:textId="77777777" w:rsidR="00016581" w:rsidRPr="00B1234C" w:rsidRDefault="00016581" w:rsidP="002E5F9D">
            <w:pPr>
              <w:jc w:val="both"/>
              <w:rPr>
                <w:szCs w:val="24"/>
              </w:rPr>
            </w:pPr>
          </w:p>
          <w:p w14:paraId="764289B0" w14:textId="77777777" w:rsidR="00016581" w:rsidRPr="00B1234C" w:rsidRDefault="00016581" w:rsidP="002E5F9D">
            <w:pPr>
              <w:jc w:val="both"/>
              <w:rPr>
                <w:szCs w:val="24"/>
              </w:rPr>
            </w:pPr>
            <w:r w:rsidRPr="00B1234C">
              <w:rPr>
                <w:szCs w:val="24"/>
              </w:rPr>
              <w:t xml:space="preserve">Kaip nurodyta aiškinamajame rašte, </w:t>
            </w:r>
            <w:r w:rsidRPr="00D13AE5">
              <w:rPr>
                <w:szCs w:val="24"/>
              </w:rPr>
              <w:t>„</w:t>
            </w:r>
            <w:r w:rsidRPr="000E3E6D">
              <w:rPr>
                <w:bCs/>
                <w:color w:val="000000"/>
                <w:szCs w:val="24"/>
                <w:lang w:eastAsia="ar-SA"/>
              </w:rPr>
              <w:t xml:space="preserve">Atsižvelgiant į tai, kad II ir III liberalizavimo etapų vartotojų yra žymiai daugiau (I etapo vartotojai sudaro tik 6 proc. visų visuomeninio tiekėjo aptarnaujamų buitinių vartotojų), o nepriklausomą tiekėją renkasi ne vien tik liberalizuojamo etapo vartotojai, tikėtina, kad nepriklausomų tiekėjų ir skirstomųjų tinklų operatoriaus </w:t>
            </w:r>
            <w:r w:rsidRPr="000E3E6D">
              <w:rPr>
                <w:bCs/>
                <w:szCs w:val="24"/>
              </w:rPr>
              <w:t>turimi ištekliai, priemonės ir procesai nesugebės užtikrinti, kad vartotojai sklandžiai ir laiku pereitų pas nepriklausomus tiekėjus. Todėl EEĮ projektu siūloma pakeisti šiuo metu Lietuvos Respublikos elektros energetikos įstatyme (toliau – EEĮ) nustatytą reguliavimą, koreguojant jame nustatytus procedūrinius terminus, užtikrinančius ankstesnį duomenų atvėrimą nepriklausomiems tiekėjams, sklandų sutarčių administravimą ir vartotojų pasiekiamumą</w:t>
            </w:r>
            <w:r w:rsidRPr="00B1234C">
              <w:rPr>
                <w:bCs/>
                <w:i/>
                <w:iCs/>
                <w:szCs w:val="24"/>
              </w:rPr>
              <w:t xml:space="preserve"> &lt;...&gt;</w:t>
            </w:r>
            <w:r w:rsidRPr="00B1234C">
              <w:rPr>
                <w:szCs w:val="24"/>
              </w:rPr>
              <w:t>“.</w:t>
            </w:r>
          </w:p>
          <w:p w14:paraId="7FE8F47F" w14:textId="735F4237" w:rsidR="00016581" w:rsidRPr="00B1234C" w:rsidRDefault="00016581" w:rsidP="002E5F9D">
            <w:pPr>
              <w:jc w:val="both"/>
              <w:rPr>
                <w:szCs w:val="24"/>
              </w:rPr>
            </w:pPr>
            <w:r w:rsidRPr="00B1234C">
              <w:rPr>
                <w:szCs w:val="24"/>
              </w:rPr>
              <w:t xml:space="preserve">Atsižvelgiant į tai, kad </w:t>
            </w:r>
            <w:r w:rsidR="006661AB" w:rsidRPr="00B1234C">
              <w:rPr>
                <w:szCs w:val="24"/>
              </w:rPr>
              <w:t>EEĮ</w:t>
            </w:r>
            <w:r w:rsidR="00384D14">
              <w:rPr>
                <w:szCs w:val="24"/>
              </w:rPr>
              <w:t xml:space="preserve"> pakeitimo</w:t>
            </w:r>
            <w:r w:rsidR="006661AB" w:rsidRPr="00B1234C">
              <w:rPr>
                <w:szCs w:val="24"/>
              </w:rPr>
              <w:t xml:space="preserve"> p</w:t>
            </w:r>
            <w:r w:rsidRPr="00B1234C">
              <w:rPr>
                <w:szCs w:val="24"/>
              </w:rPr>
              <w:t xml:space="preserve">rojektu siūloma paankstinti </w:t>
            </w:r>
            <w:r w:rsidR="00F07122">
              <w:rPr>
                <w:szCs w:val="24"/>
              </w:rPr>
              <w:t xml:space="preserve">III liberalizavimo etapo </w:t>
            </w:r>
            <w:r w:rsidR="00887386">
              <w:rPr>
                <w:szCs w:val="24"/>
              </w:rPr>
              <w:t xml:space="preserve">vartotojų </w:t>
            </w:r>
            <w:r w:rsidRPr="00B1234C">
              <w:rPr>
                <w:szCs w:val="24"/>
              </w:rPr>
              <w:t xml:space="preserve">duomenų atvėrimo momentą, tai yra ne anksčiau </w:t>
            </w:r>
            <w:r w:rsidR="00C61651">
              <w:rPr>
                <w:szCs w:val="24"/>
              </w:rPr>
              <w:t xml:space="preserve">kaip </w:t>
            </w:r>
            <w:r w:rsidRPr="00B1234C">
              <w:rPr>
                <w:szCs w:val="24"/>
              </w:rPr>
              <w:t xml:space="preserve">birželio 1 d. (šiuo metu – ne anksčiau </w:t>
            </w:r>
            <w:r w:rsidR="00C61651">
              <w:rPr>
                <w:szCs w:val="24"/>
              </w:rPr>
              <w:t xml:space="preserve">kaip </w:t>
            </w:r>
            <w:r w:rsidRPr="00B1234C">
              <w:rPr>
                <w:szCs w:val="24"/>
              </w:rPr>
              <w:t xml:space="preserve">rugsėjo 1 d.), atitinkamai koreguotini ir laikotarpiai, pagal kuriuos nustatoma atitinkamo vartotojo priklausomybė </w:t>
            </w:r>
            <w:r w:rsidR="00E745F3" w:rsidRPr="00B1234C">
              <w:rPr>
                <w:szCs w:val="24"/>
              </w:rPr>
              <w:t>liberalizavimo</w:t>
            </w:r>
            <w:r w:rsidRPr="00B1234C">
              <w:rPr>
                <w:szCs w:val="24"/>
              </w:rPr>
              <w:t xml:space="preserve"> etapui. Atkreiptinas dėmesys, kad II ir III liberalizavimo etapai dar nėra prasidėję (visuomeninio tiekėjo klientai nėra gavę informacijos apie būsimą sutarties nutraukimą), tad siūlomas reguliavimo pokytis yra orientuotas į ateitį.</w:t>
            </w:r>
          </w:p>
          <w:p w14:paraId="3413E53D" w14:textId="60420C80" w:rsidR="00016581" w:rsidRPr="00B1234C" w:rsidRDefault="00EA7C17" w:rsidP="00C26A96">
            <w:pPr>
              <w:jc w:val="both"/>
              <w:rPr>
                <w:szCs w:val="24"/>
              </w:rPr>
            </w:pPr>
            <w:r w:rsidRPr="00B1234C">
              <w:rPr>
                <w:szCs w:val="24"/>
              </w:rPr>
              <w:t>EEĮ 43 straipsnis pa</w:t>
            </w:r>
            <w:r w:rsidR="00B34B7E" w:rsidRPr="00B1234C">
              <w:rPr>
                <w:szCs w:val="24"/>
              </w:rPr>
              <w:t>pildytas nuostatomis, kurios numato, kad I liberalizavimo etapo vartotojo</w:t>
            </w:r>
            <w:r w:rsidR="00E12312" w:rsidRPr="00B1234C">
              <w:rPr>
                <w:szCs w:val="24"/>
              </w:rPr>
              <w:t xml:space="preserve"> (kuriam užtikrinamas garantinis tiekimas)</w:t>
            </w:r>
            <w:r w:rsidR="00B34B7E" w:rsidRPr="00B1234C">
              <w:rPr>
                <w:szCs w:val="24"/>
              </w:rPr>
              <w:t xml:space="preserve"> duomen</w:t>
            </w:r>
            <w:r w:rsidR="000B13E9" w:rsidRPr="00B1234C">
              <w:rPr>
                <w:szCs w:val="24"/>
              </w:rPr>
              <w:t>ys</w:t>
            </w:r>
            <w:r w:rsidR="000B13E9" w:rsidRPr="00B1234C">
              <w:rPr>
                <w:b/>
                <w:bCs/>
                <w:szCs w:val="24"/>
                <w:lang w:eastAsia="ar-SA"/>
              </w:rPr>
              <w:t xml:space="preserve"> </w:t>
            </w:r>
            <w:r w:rsidR="000B13E9" w:rsidRPr="00B1234C">
              <w:rPr>
                <w:szCs w:val="24"/>
                <w:lang w:eastAsia="ar-SA"/>
              </w:rPr>
              <w:t xml:space="preserve">pasiūlymui dėl </w:t>
            </w:r>
            <w:r w:rsidR="000B13E9" w:rsidRPr="00B1234C">
              <w:rPr>
                <w:color w:val="000000"/>
                <w:szCs w:val="24"/>
              </w:rPr>
              <w:t>elektros energijos pirkimo–pardavimo ir persiuntimo paslaugos teikimo</w:t>
            </w:r>
            <w:r w:rsidR="000B13E9" w:rsidRPr="00B1234C" w:rsidDel="00401789">
              <w:rPr>
                <w:szCs w:val="24"/>
                <w:lang w:eastAsia="ar-SA"/>
              </w:rPr>
              <w:t xml:space="preserve"> </w:t>
            </w:r>
            <w:r w:rsidR="000B13E9" w:rsidRPr="00B1234C">
              <w:rPr>
                <w:szCs w:val="24"/>
                <w:lang w:eastAsia="ar-SA"/>
              </w:rPr>
              <w:t xml:space="preserve">sutarties su vartotoju sudarymo pateikti, nepriklausomas tiekėjas </w:t>
            </w:r>
            <w:r w:rsidR="00E12312" w:rsidRPr="00B1234C">
              <w:rPr>
                <w:szCs w:val="24"/>
                <w:lang w:eastAsia="ar-SA"/>
              </w:rPr>
              <w:t>galės tvarkyti iki 2023 m. gruodžio 31 d.</w:t>
            </w:r>
          </w:p>
        </w:tc>
      </w:tr>
      <w:tr w:rsidR="00016581" w:rsidRPr="00B1234C" w14:paraId="2AE563E5" w14:textId="5374D40D" w:rsidTr="00016581">
        <w:trPr>
          <w:trHeight w:val="563"/>
        </w:trPr>
        <w:tc>
          <w:tcPr>
            <w:tcW w:w="567" w:type="dxa"/>
            <w:tcBorders>
              <w:top w:val="single" w:sz="4" w:space="0" w:color="auto"/>
              <w:left w:val="single" w:sz="4" w:space="0" w:color="auto"/>
              <w:bottom w:val="single" w:sz="4" w:space="0" w:color="auto"/>
              <w:right w:val="single" w:sz="4" w:space="0" w:color="auto"/>
            </w:tcBorders>
            <w:vAlign w:val="center"/>
          </w:tcPr>
          <w:p w14:paraId="6BE9E865" w14:textId="77777777" w:rsidR="00016581" w:rsidRPr="00C26A96" w:rsidRDefault="00016581" w:rsidP="00F61404">
            <w:pPr>
              <w:pStyle w:val="ListParagraph"/>
              <w:numPr>
                <w:ilvl w:val="0"/>
                <w:numId w:val="2"/>
              </w:numPr>
              <w:ind w:left="470" w:hanging="357"/>
              <w:jc w:val="center"/>
              <w:rPr>
                <w:szCs w:val="24"/>
              </w:rPr>
            </w:pPr>
          </w:p>
        </w:tc>
        <w:tc>
          <w:tcPr>
            <w:tcW w:w="4678" w:type="dxa"/>
            <w:tcBorders>
              <w:top w:val="single" w:sz="4" w:space="0" w:color="auto"/>
              <w:left w:val="single" w:sz="4" w:space="0" w:color="auto"/>
              <w:bottom w:val="single" w:sz="4" w:space="0" w:color="auto"/>
              <w:right w:val="single" w:sz="4" w:space="0" w:color="auto"/>
            </w:tcBorders>
          </w:tcPr>
          <w:p w14:paraId="07855E3C" w14:textId="5C553822" w:rsidR="00016581" w:rsidRPr="00B1234C" w:rsidRDefault="00016581" w:rsidP="00E50194">
            <w:pPr>
              <w:tabs>
                <w:tab w:val="left" w:pos="851"/>
              </w:tabs>
              <w:jc w:val="both"/>
              <w:rPr>
                <w:szCs w:val="24"/>
              </w:rPr>
            </w:pPr>
            <w:r w:rsidRPr="00B1234C">
              <w:rPr>
                <w:szCs w:val="24"/>
              </w:rPr>
              <w:t xml:space="preserve">2. Atkreipiame dėmesį, kad keičiamo EEĮ 43 str. 1 d. 3 p. yra nurodomi vartotojai, nurodyti EEĮ 69 straipsnio 14 ir 15 dalyse, kurie yra ir </w:t>
            </w:r>
            <w:r w:rsidRPr="00B1234C">
              <w:rPr>
                <w:i/>
                <w:iCs/>
                <w:szCs w:val="24"/>
              </w:rPr>
              <w:t>juridiniai asmenys</w:t>
            </w:r>
            <w:r w:rsidRPr="00B1234C">
              <w:rPr>
                <w:szCs w:val="24"/>
              </w:rPr>
              <w:t>. Todėl siekiant užtikrinti teisinio reguliavimo sistemiškumą ir nuoseklumą, siūlytume įsivertinti, ar šių vartotojų duomenų perdavimo (atvėrimo) taisyklės taikomos ir juridiniams asmenims.</w:t>
            </w:r>
          </w:p>
        </w:tc>
        <w:tc>
          <w:tcPr>
            <w:tcW w:w="8925" w:type="dxa"/>
            <w:tcBorders>
              <w:top w:val="single" w:sz="4" w:space="0" w:color="auto"/>
              <w:left w:val="single" w:sz="4" w:space="0" w:color="auto"/>
              <w:bottom w:val="single" w:sz="4" w:space="0" w:color="auto"/>
              <w:right w:val="single" w:sz="4" w:space="0" w:color="auto"/>
            </w:tcBorders>
            <w:shd w:val="clear" w:color="auto" w:fill="auto"/>
          </w:tcPr>
          <w:p w14:paraId="7964A481" w14:textId="77777777" w:rsidR="00016581" w:rsidRPr="00B1234C" w:rsidRDefault="00016581" w:rsidP="00640F89">
            <w:pPr>
              <w:jc w:val="both"/>
              <w:rPr>
                <w:b/>
                <w:bCs/>
                <w:szCs w:val="24"/>
              </w:rPr>
            </w:pPr>
            <w:r w:rsidRPr="00B1234C">
              <w:rPr>
                <w:b/>
                <w:bCs/>
                <w:szCs w:val="24"/>
              </w:rPr>
              <w:t>Neatsižvelgta</w:t>
            </w:r>
          </w:p>
          <w:p w14:paraId="227CDADF" w14:textId="4A9181BA" w:rsidR="00016581" w:rsidRPr="00B1234C" w:rsidRDefault="00016581" w:rsidP="0001241E">
            <w:pPr>
              <w:jc w:val="both"/>
              <w:rPr>
                <w:szCs w:val="24"/>
              </w:rPr>
            </w:pPr>
            <w:r w:rsidRPr="00B1234C">
              <w:rPr>
                <w:szCs w:val="24"/>
              </w:rPr>
              <w:t xml:space="preserve">Paaiškiname, kad EEĮ 69 straipsnio 14 ir 15 dalyse nurodyti vartotojai, kurie yra ir juridiniai asmenys, yra tiesiogiai sudarę elektros energijos pirkimo–pardavimo ir persiuntimo paslaugos teikimo sutartis su elektros energijos visuomeninio tiekėju ir būtent šie vartotojai, </w:t>
            </w:r>
            <w:r w:rsidRPr="00287490">
              <w:rPr>
                <w:szCs w:val="24"/>
              </w:rPr>
              <w:t>vadovaudamiesi savo steigimo ir veiklos dokumentais, rinksis nepriklausomą tiekėją, todėl jų duomenų perdavimui (</w:t>
            </w:r>
            <w:r w:rsidR="00287490" w:rsidRPr="00287490">
              <w:rPr>
                <w:szCs w:val="24"/>
              </w:rPr>
              <w:t>prieigai prie duomenų</w:t>
            </w:r>
            <w:r w:rsidRPr="00287490">
              <w:rPr>
                <w:szCs w:val="24"/>
              </w:rPr>
              <w:t>) taikomos tos pačios taisyklės kaip ir visiems likusiems buitiniams vartotojams, nes atveriami</w:t>
            </w:r>
            <w:r w:rsidRPr="00B1234C">
              <w:rPr>
                <w:szCs w:val="24"/>
              </w:rPr>
              <w:t xml:space="preserve"> nuasmeninti sutarties duomenys. Duomenų atvėrimas ir liberalizavimas susietas ne su vartotojo forma, o su tuo, ar vartotojas perka elektros energiją iš elektros energijos visuomeninio tiekėjo, todėl dalyvauja visame liberalizavimo procese.</w:t>
            </w:r>
          </w:p>
        </w:tc>
      </w:tr>
      <w:tr w:rsidR="00016581" w:rsidRPr="00B1234C" w14:paraId="6E4301B2" w14:textId="43F6B1B6" w:rsidTr="00016581">
        <w:trPr>
          <w:trHeight w:val="563"/>
        </w:trPr>
        <w:tc>
          <w:tcPr>
            <w:tcW w:w="567" w:type="dxa"/>
            <w:tcBorders>
              <w:top w:val="single" w:sz="4" w:space="0" w:color="auto"/>
              <w:left w:val="single" w:sz="4" w:space="0" w:color="auto"/>
              <w:bottom w:val="single" w:sz="4" w:space="0" w:color="auto"/>
              <w:right w:val="single" w:sz="4" w:space="0" w:color="auto"/>
            </w:tcBorders>
            <w:vAlign w:val="center"/>
          </w:tcPr>
          <w:p w14:paraId="56F24DBE" w14:textId="77777777" w:rsidR="00016581" w:rsidRPr="00C26A96" w:rsidRDefault="00016581" w:rsidP="00F61404">
            <w:pPr>
              <w:pStyle w:val="ListParagraph"/>
              <w:numPr>
                <w:ilvl w:val="0"/>
                <w:numId w:val="2"/>
              </w:numPr>
              <w:ind w:left="470" w:hanging="357"/>
              <w:jc w:val="center"/>
              <w:rPr>
                <w:szCs w:val="24"/>
              </w:rPr>
            </w:pPr>
          </w:p>
        </w:tc>
        <w:tc>
          <w:tcPr>
            <w:tcW w:w="4678" w:type="dxa"/>
            <w:tcBorders>
              <w:top w:val="single" w:sz="4" w:space="0" w:color="auto"/>
              <w:left w:val="single" w:sz="4" w:space="0" w:color="auto"/>
              <w:bottom w:val="single" w:sz="4" w:space="0" w:color="auto"/>
              <w:right w:val="single" w:sz="4" w:space="0" w:color="auto"/>
            </w:tcBorders>
          </w:tcPr>
          <w:p w14:paraId="289D58AD" w14:textId="0F96BBAC" w:rsidR="00016581" w:rsidRPr="00B1234C" w:rsidRDefault="00016581" w:rsidP="00E50194">
            <w:pPr>
              <w:tabs>
                <w:tab w:val="left" w:pos="851"/>
              </w:tabs>
              <w:jc w:val="both"/>
              <w:rPr>
                <w:szCs w:val="24"/>
              </w:rPr>
            </w:pPr>
            <w:r w:rsidRPr="00B1234C">
              <w:rPr>
                <w:szCs w:val="24"/>
              </w:rPr>
              <w:t xml:space="preserve">4. Siekiant teisinio reguliavimo aiškumo, siūlome įsivertinti, ar Projektu keičiamame EEĮ vartojamos formuluotės </w:t>
            </w:r>
            <w:r w:rsidRPr="00B1234C">
              <w:rPr>
                <w:i/>
                <w:iCs/>
                <w:szCs w:val="24"/>
              </w:rPr>
              <w:t>„raštu ir (ar) elektroninių ryšių priemonėmis“</w:t>
            </w:r>
            <w:r w:rsidRPr="00B1234C">
              <w:rPr>
                <w:szCs w:val="24"/>
              </w:rPr>
              <w:t xml:space="preserve">, </w:t>
            </w:r>
            <w:r w:rsidRPr="00B1234C">
              <w:rPr>
                <w:i/>
                <w:iCs/>
                <w:szCs w:val="24"/>
              </w:rPr>
              <w:t>„raštu arba elektroninių ryšių priemonėmis“</w:t>
            </w:r>
            <w:r w:rsidRPr="00B1234C">
              <w:rPr>
                <w:szCs w:val="24"/>
              </w:rPr>
              <w:t xml:space="preserve">, </w:t>
            </w:r>
            <w:r w:rsidRPr="00B1234C">
              <w:rPr>
                <w:i/>
                <w:iCs/>
                <w:szCs w:val="24"/>
              </w:rPr>
              <w:t>„rašytinis ar elektroninių ryšių priemonėmis pateiktas“</w:t>
            </w:r>
            <w:r w:rsidRPr="00B1234C">
              <w:rPr>
                <w:szCs w:val="24"/>
              </w:rPr>
              <w:t xml:space="preserve"> yra korektiškos, nes raštu informacija gali būti pateikiama tiek paštu, tiek ir elektroninių ryšių priemonėmis. Tuo tarpu nėra aišku, ar galima šiuo atveju pateikti informaciją žodžiu, jei ne (kas būtų logiška šio teisinio reguliavimo aspektu), tuomet reiktų formuluoti informacijos pateikimo būdus nurodant informacija pateikiama raštu</w:t>
            </w:r>
            <w:r w:rsidRPr="00B1234C">
              <w:rPr>
                <w:i/>
                <w:iCs/>
                <w:szCs w:val="24"/>
              </w:rPr>
              <w:t xml:space="preserve"> „paštu arba elektroninių ryšių priemonėmis“</w:t>
            </w:r>
          </w:p>
        </w:tc>
        <w:tc>
          <w:tcPr>
            <w:tcW w:w="8925" w:type="dxa"/>
            <w:tcBorders>
              <w:top w:val="single" w:sz="4" w:space="0" w:color="auto"/>
              <w:left w:val="single" w:sz="4" w:space="0" w:color="auto"/>
              <w:bottom w:val="single" w:sz="4" w:space="0" w:color="auto"/>
              <w:right w:val="single" w:sz="4" w:space="0" w:color="auto"/>
            </w:tcBorders>
            <w:shd w:val="clear" w:color="auto" w:fill="auto"/>
          </w:tcPr>
          <w:p w14:paraId="4652231D" w14:textId="18511544" w:rsidR="00016581" w:rsidRPr="00B1234C" w:rsidRDefault="00016581" w:rsidP="00CA3174">
            <w:pPr>
              <w:jc w:val="both"/>
              <w:rPr>
                <w:b/>
                <w:bCs/>
                <w:szCs w:val="24"/>
              </w:rPr>
            </w:pPr>
            <w:r w:rsidRPr="00B1234C">
              <w:rPr>
                <w:b/>
                <w:bCs/>
                <w:szCs w:val="24"/>
              </w:rPr>
              <w:t>Atsižvelgta iš dalies</w:t>
            </w:r>
          </w:p>
          <w:p w14:paraId="3450C647" w14:textId="514F0EF0" w:rsidR="002C3FCF" w:rsidRPr="00B1234C" w:rsidRDefault="00016581" w:rsidP="00CA3174">
            <w:pPr>
              <w:jc w:val="both"/>
              <w:rPr>
                <w:szCs w:val="24"/>
              </w:rPr>
            </w:pPr>
            <w:r w:rsidRPr="00B1234C">
              <w:rPr>
                <w:szCs w:val="24"/>
              </w:rPr>
              <w:t>Civiliniame kodekse</w:t>
            </w:r>
            <w:r w:rsidR="00DA285A">
              <w:rPr>
                <w:szCs w:val="24"/>
              </w:rPr>
              <w:t xml:space="preserve"> įvardyti</w:t>
            </w:r>
            <w:r w:rsidRPr="00B1234C">
              <w:rPr>
                <w:szCs w:val="24"/>
              </w:rPr>
              <w:t xml:space="preserve"> informacijos teikimo būdai „raštu“ ir „elektroninių ryšių priemonėmis“.  Būdas „paštu“ atskirai nėra išskiriamas, o plačiąja prasme </w:t>
            </w:r>
            <w:r w:rsidR="00A95648">
              <w:rPr>
                <w:szCs w:val="24"/>
              </w:rPr>
              <w:t>suprantamas kaip</w:t>
            </w:r>
            <w:r w:rsidRPr="00B1234C">
              <w:rPr>
                <w:szCs w:val="24"/>
              </w:rPr>
              <w:t xml:space="preserve"> būd</w:t>
            </w:r>
            <w:r w:rsidR="00A95648">
              <w:rPr>
                <w:szCs w:val="24"/>
              </w:rPr>
              <w:t>as</w:t>
            </w:r>
            <w:r w:rsidRPr="00B1234C">
              <w:rPr>
                <w:szCs w:val="24"/>
              </w:rPr>
              <w:t xml:space="preserve"> „raštu“.</w:t>
            </w:r>
          </w:p>
          <w:p w14:paraId="79A9901D" w14:textId="2BD8DD7A" w:rsidR="00016581" w:rsidRPr="00B1234C" w:rsidRDefault="002C3FCF" w:rsidP="00CA3174">
            <w:pPr>
              <w:jc w:val="both"/>
              <w:rPr>
                <w:szCs w:val="24"/>
              </w:rPr>
            </w:pPr>
            <w:r w:rsidRPr="00B1234C">
              <w:rPr>
                <w:szCs w:val="24"/>
              </w:rPr>
              <w:t xml:space="preserve">Tekste </w:t>
            </w:r>
            <w:r w:rsidR="00351565" w:rsidRPr="00B1234C">
              <w:rPr>
                <w:szCs w:val="24"/>
              </w:rPr>
              <w:t xml:space="preserve">visur </w:t>
            </w:r>
            <w:r w:rsidR="00877976">
              <w:rPr>
                <w:szCs w:val="24"/>
              </w:rPr>
              <w:t>vartojama formuluotė</w:t>
            </w:r>
            <w:r w:rsidR="00351565" w:rsidRPr="00B1234C">
              <w:rPr>
                <w:szCs w:val="24"/>
              </w:rPr>
              <w:t xml:space="preserve"> „</w:t>
            </w:r>
            <w:r w:rsidR="00351565" w:rsidRPr="00B1234C">
              <w:rPr>
                <w:i/>
                <w:iCs/>
                <w:szCs w:val="24"/>
              </w:rPr>
              <w:t>raštu ir (ar) elektroninių ryšių priemonėmis</w:t>
            </w:r>
            <w:r w:rsidR="00351565" w:rsidRPr="00B1234C">
              <w:rPr>
                <w:szCs w:val="24"/>
              </w:rPr>
              <w:t>“.</w:t>
            </w:r>
            <w:r w:rsidR="00016581" w:rsidRPr="00B1234C">
              <w:rPr>
                <w:szCs w:val="24"/>
              </w:rPr>
              <w:t xml:space="preserve"> </w:t>
            </w:r>
            <w:r w:rsidR="00F60C8F" w:rsidRPr="00B1234C">
              <w:rPr>
                <w:szCs w:val="24"/>
              </w:rPr>
              <w:t>Tai</w:t>
            </w:r>
            <w:r w:rsidR="00877976">
              <w:rPr>
                <w:szCs w:val="24"/>
              </w:rPr>
              <w:t>s</w:t>
            </w:r>
            <w:r w:rsidR="00F60C8F" w:rsidRPr="00B1234C">
              <w:rPr>
                <w:szCs w:val="24"/>
              </w:rPr>
              <w:t xml:space="preserve"> atvejais, kai nurodyta, kad informacija pateikiama „</w:t>
            </w:r>
            <w:r w:rsidR="00F60C8F" w:rsidRPr="00B1234C">
              <w:rPr>
                <w:i/>
                <w:iCs/>
                <w:szCs w:val="24"/>
              </w:rPr>
              <w:t>raštu ir (ar) elektroninių ryšių priemonėmis</w:t>
            </w:r>
            <w:r w:rsidR="00F60C8F" w:rsidRPr="00B1234C">
              <w:rPr>
                <w:szCs w:val="24"/>
              </w:rPr>
              <w:t>“, tokia informacija negalės būti pateikiama žodžiu.</w:t>
            </w:r>
          </w:p>
          <w:p w14:paraId="375FB8D8" w14:textId="004731E7" w:rsidR="00016581" w:rsidRPr="00B1234C" w:rsidRDefault="00016581" w:rsidP="00CA3174">
            <w:pPr>
              <w:jc w:val="both"/>
              <w:rPr>
                <w:szCs w:val="24"/>
              </w:rPr>
            </w:pPr>
          </w:p>
        </w:tc>
      </w:tr>
      <w:tr w:rsidR="00016581" w:rsidRPr="00B1234C" w14:paraId="4FA7F46E" w14:textId="69ECB2CC" w:rsidTr="00016581">
        <w:trPr>
          <w:trHeight w:val="563"/>
        </w:trPr>
        <w:tc>
          <w:tcPr>
            <w:tcW w:w="567" w:type="dxa"/>
            <w:tcBorders>
              <w:top w:val="single" w:sz="4" w:space="0" w:color="auto"/>
              <w:left w:val="single" w:sz="4" w:space="0" w:color="auto"/>
              <w:bottom w:val="single" w:sz="4" w:space="0" w:color="auto"/>
              <w:right w:val="single" w:sz="4" w:space="0" w:color="auto"/>
            </w:tcBorders>
            <w:vAlign w:val="center"/>
          </w:tcPr>
          <w:p w14:paraId="3D13B3EA" w14:textId="77777777" w:rsidR="00016581" w:rsidRPr="00C26A96" w:rsidRDefault="00016581" w:rsidP="00F61404">
            <w:pPr>
              <w:pStyle w:val="ListParagraph"/>
              <w:numPr>
                <w:ilvl w:val="0"/>
                <w:numId w:val="2"/>
              </w:numPr>
              <w:ind w:left="470" w:hanging="357"/>
              <w:jc w:val="center"/>
              <w:rPr>
                <w:szCs w:val="24"/>
              </w:rPr>
            </w:pPr>
          </w:p>
        </w:tc>
        <w:tc>
          <w:tcPr>
            <w:tcW w:w="4678" w:type="dxa"/>
            <w:tcBorders>
              <w:top w:val="single" w:sz="4" w:space="0" w:color="auto"/>
              <w:left w:val="single" w:sz="4" w:space="0" w:color="auto"/>
              <w:bottom w:val="single" w:sz="4" w:space="0" w:color="auto"/>
              <w:right w:val="single" w:sz="4" w:space="0" w:color="auto"/>
            </w:tcBorders>
          </w:tcPr>
          <w:p w14:paraId="1D5046C5" w14:textId="77777777" w:rsidR="00016581" w:rsidRPr="00B1234C" w:rsidRDefault="00016581" w:rsidP="00E50194">
            <w:pPr>
              <w:tabs>
                <w:tab w:val="left" w:pos="851"/>
              </w:tabs>
              <w:jc w:val="both"/>
              <w:rPr>
                <w:szCs w:val="24"/>
              </w:rPr>
            </w:pPr>
            <w:r w:rsidRPr="00B1234C">
              <w:rPr>
                <w:szCs w:val="24"/>
              </w:rPr>
              <w:t xml:space="preserve">7. Abejonių kelia Projektu keičiamo EEĮ 44 str. 8 d. nurodytas terminas, iki kurios nepriklausomi tiekėjai gali tvarkyti iš garantinio elektros energijos tiekėjo gautus buitinio vartotojo duomenis, tai yra </w:t>
            </w:r>
            <w:r w:rsidRPr="00B1234C">
              <w:rPr>
                <w:i/>
                <w:iCs/>
                <w:szCs w:val="24"/>
              </w:rPr>
              <w:t>„ne ilgiau kaip iki 2023 m. gruodžio 31 d.“.</w:t>
            </w:r>
            <w:r w:rsidRPr="00B1234C">
              <w:rPr>
                <w:szCs w:val="24"/>
              </w:rPr>
              <w:t xml:space="preserve"> Atkreiptinas dėmesys, kad  garantinis tiekimas (ir tuo pačiu garantinio elektros energijos tiekėjo nustatyta pareiga perduoti vartotojo duomenis nepriklausomiems tiekėjams) gali atsirasti po 2023 m. gruodžio 31 d., pvz., dėl nepriklausomo tiekėjo bankroto, dėl nepriklausomo tiekėjo veiklos nevykdymo ir pan., tačiau pagal keičiamo EEĮ 44 str. 8 d. po 2023 m. gruodžio 31 d. nepriklausomi tiekėjai netenka teisės tvarkyti iš garantinio tiekėjo gautų buitinio vartotojo duomenų. Siūlytume įvertinti šiuo aspektu Projektą ir jį tikslinti.</w:t>
            </w:r>
          </w:p>
          <w:p w14:paraId="37E9E1F6" w14:textId="2AA4132E" w:rsidR="00016581" w:rsidRPr="00B1234C" w:rsidRDefault="00016581" w:rsidP="00E50194">
            <w:pPr>
              <w:tabs>
                <w:tab w:val="left" w:pos="851"/>
              </w:tabs>
              <w:jc w:val="both"/>
              <w:rPr>
                <w:szCs w:val="24"/>
              </w:rPr>
            </w:pPr>
            <w:r w:rsidRPr="00B1234C">
              <w:rPr>
                <w:szCs w:val="24"/>
              </w:rPr>
              <w:t xml:space="preserve">Be kita ko, šiame kontekste atkreipiame dėmesį, kad Lietuvos Respublikos teisėkūros pagrindų įstatymas nustato galiojančio teisinio reguliavimo poveikio </w:t>
            </w:r>
            <w:r w:rsidRPr="00B1234C">
              <w:rPr>
                <w:i/>
                <w:iCs/>
                <w:szCs w:val="24"/>
              </w:rPr>
              <w:t>ex post</w:t>
            </w:r>
            <w:r w:rsidRPr="00B1234C">
              <w:rPr>
                <w:szCs w:val="24"/>
              </w:rPr>
              <w:t xml:space="preserve"> vertinimą</w:t>
            </w:r>
            <w:r w:rsidRPr="00B1234C">
              <w:rPr>
                <w:b/>
                <w:bCs/>
                <w:szCs w:val="24"/>
              </w:rPr>
              <w:t xml:space="preserve"> </w:t>
            </w:r>
            <w:r w:rsidRPr="00B1234C">
              <w:rPr>
                <w:szCs w:val="24"/>
              </w:rPr>
              <w:t xml:space="preserve">– teisinio reguliavimo taikymo ir veikimo vertinimą, kurio pagrindu vykdomas teisinio reguliavimo tobulinimas, priimami veiksmingi sprendimai. Toks vertinimas atliekamas, kai peržiūros nuostata įtraukiama į įstatymą vadovaujantis Teisėkūros pagrindų įstatymo 24 straipsnyje nustatytais atvejais (reglamentuojami iki tol nereglamentuoti visuomeniniai santykiai, nustatoma didelė teisinio reguliavimo įtaka tam tikrai teisinio reguliavimo sričiai, asmenims ar jų grupėms, kitais atvejais, kai nustatomas poreikis). Įvertinus tai, tikslinga papildyti Projekto 17 straipsnį nuostata, numatant atlikti reguliavimo taikymo ir veikimo </w:t>
            </w:r>
            <w:r w:rsidRPr="00B1234C">
              <w:rPr>
                <w:i/>
                <w:iCs/>
                <w:szCs w:val="24"/>
              </w:rPr>
              <w:t>ex post</w:t>
            </w:r>
            <w:r w:rsidRPr="00B1234C">
              <w:rPr>
                <w:szCs w:val="24"/>
              </w:rPr>
              <w:t xml:space="preserve"> vertinimą, nes vertinimo poreikis, atsižvelgiant į poreikį tobulinti teisinį reguliavimą baigus liberalizuoti elektros rinką, užtikrinant vartotojų teisių apsaugą jiems pasirinkus nepriklausomus tiekėjus ar sudarius kintamos kainos sutartis bei įvertinant keičiamo EEĮ 46</w:t>
            </w:r>
            <w:r w:rsidRPr="00B1234C">
              <w:rPr>
                <w:szCs w:val="24"/>
                <w:vertAlign w:val="superscript"/>
              </w:rPr>
              <w:t>2</w:t>
            </w:r>
            <w:r w:rsidRPr="00B1234C">
              <w:rPr>
                <w:szCs w:val="24"/>
              </w:rPr>
              <w:t xml:space="preserve"> str. 5 d.</w:t>
            </w:r>
            <w:r w:rsidRPr="00B1234C">
              <w:rPr>
                <w:bCs/>
                <w:szCs w:val="24"/>
              </w:rPr>
              <w:t xml:space="preserve"> nustatytas Tarybos funkcijas, aktualus.</w:t>
            </w:r>
          </w:p>
        </w:tc>
        <w:tc>
          <w:tcPr>
            <w:tcW w:w="8925" w:type="dxa"/>
            <w:tcBorders>
              <w:top w:val="single" w:sz="4" w:space="0" w:color="auto"/>
              <w:left w:val="single" w:sz="4" w:space="0" w:color="auto"/>
              <w:bottom w:val="single" w:sz="4" w:space="0" w:color="auto"/>
              <w:right w:val="single" w:sz="4" w:space="0" w:color="auto"/>
            </w:tcBorders>
            <w:shd w:val="clear" w:color="auto" w:fill="auto"/>
          </w:tcPr>
          <w:p w14:paraId="7A32EA0F" w14:textId="3E76BCB9" w:rsidR="00016581" w:rsidRPr="00B1234C" w:rsidRDefault="00016581" w:rsidP="00CA3174">
            <w:pPr>
              <w:jc w:val="both"/>
              <w:rPr>
                <w:b/>
                <w:bCs/>
                <w:szCs w:val="24"/>
              </w:rPr>
            </w:pPr>
            <w:r w:rsidRPr="00B1234C">
              <w:rPr>
                <w:b/>
                <w:bCs/>
                <w:szCs w:val="24"/>
              </w:rPr>
              <w:t>Neatsižvelgta</w:t>
            </w:r>
          </w:p>
          <w:p w14:paraId="6C32CC63" w14:textId="16B44320" w:rsidR="00016581" w:rsidRPr="00B1234C" w:rsidRDefault="00016581" w:rsidP="00CA3174">
            <w:pPr>
              <w:jc w:val="both"/>
              <w:rPr>
                <w:b/>
                <w:bCs/>
                <w:szCs w:val="24"/>
              </w:rPr>
            </w:pPr>
            <w:r w:rsidRPr="00B1234C">
              <w:rPr>
                <w:szCs w:val="24"/>
              </w:rPr>
              <w:t xml:space="preserve">Aptariama duomenų prieigos koncepcija suderinta su </w:t>
            </w:r>
            <w:r w:rsidR="00FF5C6B">
              <w:rPr>
                <w:szCs w:val="24"/>
              </w:rPr>
              <w:t>Valstybine duomenų apsaugos inspekcija</w:t>
            </w:r>
            <w:r w:rsidRPr="00B1234C">
              <w:rPr>
                <w:szCs w:val="24"/>
              </w:rPr>
              <w:t xml:space="preserve"> kaip atitinkanti BDAR nuostatas (duomenų tvarkymo pagrindas – viešas interesas, pasireiškiantis poreikiu atsisakyti visuomeninio tiekimo paslaugos ir sklandaus vartotojų perėjimo pas nepriklausomus tiekėjus). Nesant BDAR nuostatas atitinkančio duomenų tvarkymo pagrindo, duomenų tvarkymas negalimas.</w:t>
            </w:r>
          </w:p>
          <w:p w14:paraId="03752D54" w14:textId="4158A64A" w:rsidR="00016581" w:rsidRPr="00B1234C" w:rsidRDefault="00016581" w:rsidP="00CA3174">
            <w:pPr>
              <w:jc w:val="both"/>
              <w:rPr>
                <w:b/>
                <w:bCs/>
                <w:szCs w:val="24"/>
              </w:rPr>
            </w:pPr>
          </w:p>
          <w:p w14:paraId="228E7EEC" w14:textId="7AAF98F5" w:rsidR="00016581" w:rsidRPr="00B1234C" w:rsidRDefault="00016581" w:rsidP="00CA3174">
            <w:pPr>
              <w:jc w:val="both"/>
              <w:rPr>
                <w:szCs w:val="24"/>
              </w:rPr>
            </w:pPr>
            <w:r w:rsidRPr="00B1234C">
              <w:rPr>
                <w:szCs w:val="24"/>
              </w:rPr>
              <w:t xml:space="preserve">Projektas neturės tokio poveikio, dėl kurio reikia atlikti </w:t>
            </w:r>
            <w:r w:rsidRPr="00B1234C">
              <w:rPr>
                <w:i/>
                <w:iCs/>
                <w:szCs w:val="24"/>
              </w:rPr>
              <w:t>ex-post</w:t>
            </w:r>
            <w:r w:rsidRPr="00B1234C">
              <w:rPr>
                <w:szCs w:val="24"/>
              </w:rPr>
              <w:t xml:space="preserve"> vertinimą, be to</w:t>
            </w:r>
            <w:r w:rsidR="00F129A4">
              <w:rPr>
                <w:szCs w:val="24"/>
              </w:rPr>
              <w:t>,</w:t>
            </w:r>
            <w:r w:rsidRPr="00B1234C">
              <w:rPr>
                <w:szCs w:val="24"/>
              </w:rPr>
              <w:t xml:space="preserve"> projekto poveikis </w:t>
            </w:r>
            <w:r w:rsidRPr="00B1234C">
              <w:rPr>
                <w:i/>
                <w:iCs/>
                <w:szCs w:val="24"/>
              </w:rPr>
              <w:t>ex-ante</w:t>
            </w:r>
            <w:r w:rsidRPr="00B1234C">
              <w:rPr>
                <w:szCs w:val="24"/>
              </w:rPr>
              <w:t xml:space="preserve"> tinkam</w:t>
            </w:r>
            <w:r w:rsidR="00F129A4">
              <w:rPr>
                <w:szCs w:val="24"/>
              </w:rPr>
              <w:t>a</w:t>
            </w:r>
            <w:r w:rsidRPr="00B1234C">
              <w:rPr>
                <w:szCs w:val="24"/>
              </w:rPr>
              <w:t xml:space="preserve">i įvertintas projekto lydimuosiuose dokumentuose. </w:t>
            </w:r>
            <w:r w:rsidR="00F129A4">
              <w:rPr>
                <w:szCs w:val="24"/>
              </w:rPr>
              <w:t>Taip pat</w:t>
            </w:r>
            <w:r w:rsidRPr="00B1234C">
              <w:rPr>
                <w:szCs w:val="24"/>
              </w:rPr>
              <w:t xml:space="preserve"> negalima teigti, kad EEĮ </w:t>
            </w:r>
            <w:r w:rsidR="00B75C69">
              <w:rPr>
                <w:szCs w:val="24"/>
              </w:rPr>
              <w:t xml:space="preserve">pakeitimo </w:t>
            </w:r>
            <w:r w:rsidRPr="00B1234C">
              <w:rPr>
                <w:szCs w:val="24"/>
              </w:rPr>
              <w:t xml:space="preserve">projektu reglamentuojami vien tik iki šiol nereglamentuoti visuomeniniai santykiai. </w:t>
            </w:r>
            <w:r w:rsidR="00B75C69">
              <w:rPr>
                <w:szCs w:val="24"/>
              </w:rPr>
              <w:t>A</w:t>
            </w:r>
            <w:r w:rsidRPr="00B1234C">
              <w:rPr>
                <w:szCs w:val="24"/>
              </w:rPr>
              <w:t>tkreiptinas dėmesys, kad keičiamo EEĮ 46</w:t>
            </w:r>
            <w:r w:rsidRPr="00B1234C">
              <w:rPr>
                <w:szCs w:val="24"/>
                <w:vertAlign w:val="superscript"/>
              </w:rPr>
              <w:t>2</w:t>
            </w:r>
            <w:r w:rsidRPr="00B1234C">
              <w:rPr>
                <w:szCs w:val="24"/>
              </w:rPr>
              <w:t xml:space="preserve"> str. 5 dalyje </w:t>
            </w:r>
            <w:r w:rsidR="00652039">
              <w:rPr>
                <w:szCs w:val="24"/>
              </w:rPr>
              <w:t>Valstybinė</w:t>
            </w:r>
            <w:r w:rsidR="006C6E46">
              <w:rPr>
                <w:szCs w:val="24"/>
              </w:rPr>
              <w:t>s</w:t>
            </w:r>
            <w:r w:rsidR="00652039">
              <w:rPr>
                <w:szCs w:val="24"/>
              </w:rPr>
              <w:t xml:space="preserve"> energetikos </w:t>
            </w:r>
            <w:r w:rsidR="006C6E46">
              <w:rPr>
                <w:szCs w:val="24"/>
              </w:rPr>
              <w:t xml:space="preserve">reguliavimo tarybos (toliau – </w:t>
            </w:r>
            <w:r w:rsidRPr="00B1234C">
              <w:rPr>
                <w:szCs w:val="24"/>
              </w:rPr>
              <w:t>Taryb</w:t>
            </w:r>
            <w:r w:rsidR="006C6E46">
              <w:rPr>
                <w:szCs w:val="24"/>
              </w:rPr>
              <w:t>a)</w:t>
            </w:r>
            <w:r w:rsidRPr="00B1234C">
              <w:rPr>
                <w:szCs w:val="24"/>
              </w:rPr>
              <w:t xml:space="preserve"> nustatytos funkcijos susijusios ne su viso EEĮ projekto </w:t>
            </w:r>
            <w:r w:rsidRPr="00B1234C">
              <w:rPr>
                <w:i/>
                <w:iCs/>
                <w:szCs w:val="24"/>
              </w:rPr>
              <w:t>ex-post</w:t>
            </w:r>
            <w:r w:rsidRPr="00B1234C">
              <w:rPr>
                <w:szCs w:val="24"/>
              </w:rPr>
              <w:t xml:space="preserve"> poveikio vertinimu, bet su kintamosios kainos sutarčių praktiniais aspektais. Taip pat pažymėtina, kad Taryba pagal EEĮ priskirtas kompetencijas atlieka ir kitus </w:t>
            </w:r>
            <w:r w:rsidRPr="00B1234C">
              <w:rPr>
                <w:i/>
                <w:iCs/>
                <w:szCs w:val="24"/>
              </w:rPr>
              <w:t>ex-post</w:t>
            </w:r>
            <w:r w:rsidRPr="00B1234C">
              <w:rPr>
                <w:szCs w:val="24"/>
              </w:rPr>
              <w:t xml:space="preserve"> elektros energetikos sektoriaus vertinimus ir tokių vertinimų rezultatus skelbia veiklos ataskaitose ar kituose dokumentuose, dalis tokių funkcijų Tarybai numatyta ir Švarios energijos pakete  (TAIS Nr. 20-11738(4) </w:t>
            </w:r>
            <w:hyperlink r:id="rId7" w:history="1">
              <w:r w:rsidRPr="00B1234C">
                <w:rPr>
                  <w:rStyle w:val="Hyperlink"/>
                  <w:szCs w:val="24"/>
                </w:rPr>
                <w:t>https://e-seimas.lrs.lt/portal/legalAct/lt/TAP/5669dfb0bc6511eb91e294a1358e77e9</w:t>
              </w:r>
            </w:hyperlink>
            <w:r w:rsidRPr="00B1234C">
              <w:rPr>
                <w:szCs w:val="24"/>
              </w:rPr>
              <w:t xml:space="preserve">). Dėl to </w:t>
            </w:r>
            <w:r w:rsidR="006D5B04" w:rsidRPr="00B1234C">
              <w:rPr>
                <w:szCs w:val="24"/>
              </w:rPr>
              <w:t>nereik</w:t>
            </w:r>
            <w:r w:rsidR="006D5B04">
              <w:rPr>
                <w:szCs w:val="24"/>
              </w:rPr>
              <w:t>ia</w:t>
            </w:r>
            <w:r w:rsidR="006D5B04" w:rsidRPr="00B1234C">
              <w:rPr>
                <w:szCs w:val="24"/>
              </w:rPr>
              <w:t xml:space="preserve"> </w:t>
            </w:r>
            <w:r w:rsidRPr="00B1234C">
              <w:rPr>
                <w:szCs w:val="24"/>
              </w:rPr>
              <w:t xml:space="preserve">numatyti ir atlikti EEĮ </w:t>
            </w:r>
            <w:r w:rsidR="006D5B04">
              <w:rPr>
                <w:szCs w:val="24"/>
              </w:rPr>
              <w:t xml:space="preserve">pakeitimo </w:t>
            </w:r>
            <w:r w:rsidRPr="00B1234C">
              <w:rPr>
                <w:szCs w:val="24"/>
              </w:rPr>
              <w:t xml:space="preserve">projekto </w:t>
            </w:r>
            <w:r w:rsidRPr="00B1234C">
              <w:rPr>
                <w:i/>
                <w:iCs/>
                <w:szCs w:val="24"/>
              </w:rPr>
              <w:t>ex-post</w:t>
            </w:r>
            <w:r w:rsidRPr="00B1234C">
              <w:rPr>
                <w:szCs w:val="24"/>
              </w:rPr>
              <w:t xml:space="preserve"> vertinimo.</w:t>
            </w:r>
          </w:p>
        </w:tc>
      </w:tr>
      <w:tr w:rsidR="00016581" w:rsidRPr="00B1234C" w14:paraId="4403D1CA" w14:textId="5EEDBAA1" w:rsidTr="00016581">
        <w:trPr>
          <w:trHeight w:val="563"/>
        </w:trPr>
        <w:tc>
          <w:tcPr>
            <w:tcW w:w="567" w:type="dxa"/>
            <w:tcBorders>
              <w:top w:val="single" w:sz="4" w:space="0" w:color="auto"/>
              <w:left w:val="single" w:sz="4" w:space="0" w:color="auto"/>
              <w:bottom w:val="single" w:sz="4" w:space="0" w:color="auto"/>
              <w:right w:val="single" w:sz="4" w:space="0" w:color="auto"/>
            </w:tcBorders>
            <w:vAlign w:val="center"/>
          </w:tcPr>
          <w:p w14:paraId="32E60688" w14:textId="77777777" w:rsidR="00016581" w:rsidRPr="00C26A96" w:rsidRDefault="00016581" w:rsidP="00F61404">
            <w:pPr>
              <w:pStyle w:val="ListParagraph"/>
              <w:numPr>
                <w:ilvl w:val="0"/>
                <w:numId w:val="2"/>
              </w:numPr>
              <w:ind w:left="470" w:hanging="357"/>
              <w:jc w:val="center"/>
              <w:rPr>
                <w:szCs w:val="24"/>
              </w:rPr>
            </w:pPr>
          </w:p>
        </w:tc>
        <w:tc>
          <w:tcPr>
            <w:tcW w:w="4678" w:type="dxa"/>
            <w:tcBorders>
              <w:top w:val="single" w:sz="4" w:space="0" w:color="auto"/>
              <w:left w:val="single" w:sz="4" w:space="0" w:color="auto"/>
              <w:bottom w:val="single" w:sz="4" w:space="0" w:color="auto"/>
              <w:right w:val="single" w:sz="4" w:space="0" w:color="auto"/>
            </w:tcBorders>
          </w:tcPr>
          <w:p w14:paraId="3D956008" w14:textId="50CCA29C" w:rsidR="00016581" w:rsidRPr="00B1234C" w:rsidRDefault="00016581" w:rsidP="00E50194">
            <w:pPr>
              <w:tabs>
                <w:tab w:val="left" w:pos="851"/>
              </w:tabs>
              <w:jc w:val="both"/>
              <w:rPr>
                <w:szCs w:val="24"/>
              </w:rPr>
            </w:pPr>
            <w:r w:rsidRPr="00B1234C">
              <w:rPr>
                <w:szCs w:val="24"/>
              </w:rPr>
              <w:t xml:space="preserve">8. </w:t>
            </w:r>
            <w:r w:rsidRPr="00B1234C">
              <w:rPr>
                <w:color w:val="000000"/>
                <w:szCs w:val="24"/>
                <w:shd w:val="clear" w:color="auto" w:fill="FFFFFF"/>
              </w:rPr>
              <w:t>Atsižvelgiant į tai, kad keičiamo EEĮ 44 str. nauja redakcija nuo 2023 m. sausio 1 d. yra nustatyta Lietuvos Respublikos elektros energetikos įstatymo Nr. VIII-1881 2, 7, 9, 38, 39, 40, 41, 42, 43, 44, 46, 47, 49, 51, 52, 59, 60, 61, 67 ir 68 straipsnių pakeitimo įstatymo Nr. XIII-2900 11 straipsnyje, ir į tai, kad Projektu keičiamo EEĮ 6 straipsnyje taip pat siūloma nustatyti naują 44 str. redakciją (kuri pagal Projekto 17 straipsnio 1 dalį) taip pat įsigaliotų 2023 m. sausio 1 d., tai yra, 2023 m. sausio 1 d. įsigaliotų dvi skirtingos keičiamo EEĮ 44 str. redakcijos. Siekiant to išvengti, turėtų būti keičiamas Lietuvos Respublikos elektros energetikos įstatymo Nr. VIII-1881 2, 7, 9, 38, 39, 40, 41, 42, 43, 44, 46, 47, 49, 51, 52, 59, 60, 61, 67 ir 68 straipsnių pakeitimo įstatymo Nr. XIII-2900,pvz., pripažįstant netekusiu galios 11 straipsnį ir išdėstant keičiamo EEĮ 44 straipsnio redakciją nuo 2023 m. sausio 1 d. Projekte.</w:t>
            </w:r>
          </w:p>
        </w:tc>
        <w:tc>
          <w:tcPr>
            <w:tcW w:w="8925" w:type="dxa"/>
            <w:tcBorders>
              <w:top w:val="single" w:sz="4" w:space="0" w:color="auto"/>
              <w:left w:val="single" w:sz="4" w:space="0" w:color="auto"/>
              <w:bottom w:val="single" w:sz="4" w:space="0" w:color="auto"/>
              <w:right w:val="single" w:sz="4" w:space="0" w:color="auto"/>
            </w:tcBorders>
            <w:shd w:val="clear" w:color="auto" w:fill="auto"/>
          </w:tcPr>
          <w:p w14:paraId="612DC2E2" w14:textId="77777777" w:rsidR="00016581" w:rsidRPr="00B1234C" w:rsidRDefault="00016581" w:rsidP="00CA3174">
            <w:pPr>
              <w:jc w:val="both"/>
              <w:rPr>
                <w:b/>
                <w:bCs/>
                <w:szCs w:val="24"/>
              </w:rPr>
            </w:pPr>
            <w:r w:rsidRPr="00B1234C">
              <w:rPr>
                <w:b/>
                <w:bCs/>
                <w:szCs w:val="24"/>
              </w:rPr>
              <w:t>Atsižvelgta iš dalies</w:t>
            </w:r>
          </w:p>
          <w:p w14:paraId="2691D778" w14:textId="6272C36C" w:rsidR="00B75A42" w:rsidRPr="00B1234C" w:rsidRDefault="00965DCB" w:rsidP="00CA3174">
            <w:pPr>
              <w:jc w:val="both"/>
              <w:rPr>
                <w:szCs w:val="24"/>
              </w:rPr>
            </w:pPr>
            <w:r w:rsidRPr="00B1234C">
              <w:rPr>
                <w:szCs w:val="24"/>
              </w:rPr>
              <w:t xml:space="preserve">EEĮ 44 straipsnio </w:t>
            </w:r>
            <w:r w:rsidR="00E57C38" w:rsidRPr="00B1234C">
              <w:rPr>
                <w:szCs w:val="24"/>
              </w:rPr>
              <w:t>nauja redakcija, kuri turės įsigalioti nuo 2023</w:t>
            </w:r>
            <w:r w:rsidR="00B6005B" w:rsidRPr="00B1234C">
              <w:rPr>
                <w:szCs w:val="24"/>
              </w:rPr>
              <w:t xml:space="preserve"> m. sausio 1 d.</w:t>
            </w:r>
            <w:r w:rsidR="006324E3">
              <w:rPr>
                <w:szCs w:val="24"/>
              </w:rPr>
              <w:t>,</w:t>
            </w:r>
            <w:r w:rsidR="00B6005B" w:rsidRPr="00B1234C">
              <w:rPr>
                <w:szCs w:val="24"/>
              </w:rPr>
              <w:t xml:space="preserve"> bus pateikta </w:t>
            </w:r>
            <w:r w:rsidR="00922158" w:rsidRPr="00B1234C">
              <w:rPr>
                <w:szCs w:val="24"/>
              </w:rPr>
              <w:t xml:space="preserve">Švarios energijos pakete.  </w:t>
            </w:r>
          </w:p>
        </w:tc>
      </w:tr>
      <w:tr w:rsidR="00016581" w:rsidRPr="00B1234C" w14:paraId="0F97B1F6" w14:textId="42ECF6AE" w:rsidTr="00016581">
        <w:trPr>
          <w:trHeight w:val="563"/>
        </w:trPr>
        <w:tc>
          <w:tcPr>
            <w:tcW w:w="567" w:type="dxa"/>
            <w:tcBorders>
              <w:top w:val="single" w:sz="4" w:space="0" w:color="auto"/>
              <w:left w:val="single" w:sz="4" w:space="0" w:color="auto"/>
              <w:bottom w:val="single" w:sz="4" w:space="0" w:color="auto"/>
              <w:right w:val="single" w:sz="4" w:space="0" w:color="auto"/>
            </w:tcBorders>
            <w:vAlign w:val="center"/>
          </w:tcPr>
          <w:p w14:paraId="179E5299" w14:textId="77777777" w:rsidR="00016581" w:rsidRPr="00C26A96" w:rsidRDefault="00016581" w:rsidP="00F61404">
            <w:pPr>
              <w:pStyle w:val="ListParagraph"/>
              <w:numPr>
                <w:ilvl w:val="0"/>
                <w:numId w:val="2"/>
              </w:numPr>
              <w:ind w:left="470" w:hanging="357"/>
              <w:jc w:val="center"/>
              <w:rPr>
                <w:szCs w:val="24"/>
              </w:rPr>
            </w:pPr>
            <w:r w:rsidRPr="00C26A96">
              <w:rPr>
                <w:szCs w:val="24"/>
              </w:rPr>
              <w:t>10.</w:t>
            </w:r>
          </w:p>
        </w:tc>
        <w:tc>
          <w:tcPr>
            <w:tcW w:w="4678" w:type="dxa"/>
            <w:tcBorders>
              <w:top w:val="single" w:sz="4" w:space="0" w:color="auto"/>
              <w:left w:val="single" w:sz="4" w:space="0" w:color="auto"/>
              <w:bottom w:val="single" w:sz="4" w:space="0" w:color="auto"/>
              <w:right w:val="single" w:sz="4" w:space="0" w:color="auto"/>
            </w:tcBorders>
          </w:tcPr>
          <w:p w14:paraId="5E8C4B5D" w14:textId="1504E7DD" w:rsidR="00016581" w:rsidRPr="00B1234C" w:rsidRDefault="00016581" w:rsidP="00E50194">
            <w:pPr>
              <w:tabs>
                <w:tab w:val="left" w:pos="851"/>
              </w:tabs>
              <w:jc w:val="both"/>
              <w:rPr>
                <w:szCs w:val="24"/>
              </w:rPr>
            </w:pPr>
            <w:r w:rsidRPr="00B1234C">
              <w:rPr>
                <w:color w:val="000000"/>
                <w:szCs w:val="24"/>
                <w:shd w:val="clear" w:color="auto" w:fill="FFFFFF"/>
              </w:rPr>
              <w:t xml:space="preserve">9. </w:t>
            </w:r>
            <w:r w:rsidRPr="00B1234C">
              <w:rPr>
                <w:szCs w:val="24"/>
              </w:rPr>
              <w:t xml:space="preserve">Projektu keičiamo EEĮ 46 str. 2 d. siūloma įtvirtinti galimybę buitiniam vartotojui paprasta rašytine forma įgalioti </w:t>
            </w:r>
            <w:r w:rsidRPr="00B1234C">
              <w:rPr>
                <w:i/>
                <w:iCs/>
                <w:szCs w:val="24"/>
              </w:rPr>
              <w:t>„</w:t>
            </w:r>
            <w:r w:rsidRPr="00B1234C">
              <w:rPr>
                <w:i/>
                <w:iCs/>
                <w:color w:val="000000"/>
                <w:szCs w:val="24"/>
              </w:rPr>
              <w:t>kitą fizinį asmenį jo vardu su nepriklausomu tiekėju sudaryti elektros energijos pirkimo–pardavimo ir persiuntimo paslaugos teikimo sutartį.“</w:t>
            </w:r>
            <w:r w:rsidRPr="00B1234C">
              <w:rPr>
                <w:color w:val="000000"/>
                <w:szCs w:val="24"/>
              </w:rPr>
              <w:t xml:space="preserve"> Ši nuostata kelia pagrįstų abejonių dėl galimos rizikos piktnaudžiauti vartotojų valios išraiškos tikrumu, nepriklausomas tiekėjas neturės galimybės įsitikinti vartotojo tapatybės tikrumu, jo parašo tikrumu dėl ko sudaryta sutartis galėtų būti pripažinta negaliojančia. Siūlytume pakartotinai įvertinti siūlomą teisinį reguliavimą, detaliau pagrįsti siekiamą tikslą ir įvertinti galimas rizikas.</w:t>
            </w:r>
          </w:p>
        </w:tc>
        <w:tc>
          <w:tcPr>
            <w:tcW w:w="8925" w:type="dxa"/>
            <w:tcBorders>
              <w:top w:val="single" w:sz="4" w:space="0" w:color="auto"/>
              <w:left w:val="single" w:sz="4" w:space="0" w:color="auto"/>
              <w:bottom w:val="single" w:sz="4" w:space="0" w:color="auto"/>
              <w:right w:val="single" w:sz="4" w:space="0" w:color="auto"/>
            </w:tcBorders>
            <w:shd w:val="clear" w:color="auto" w:fill="auto"/>
          </w:tcPr>
          <w:p w14:paraId="3C000031" w14:textId="725E795D" w:rsidR="00016581" w:rsidRPr="00B1234C" w:rsidRDefault="00016581" w:rsidP="00CA3174">
            <w:pPr>
              <w:jc w:val="both"/>
              <w:rPr>
                <w:b/>
                <w:bCs/>
                <w:szCs w:val="24"/>
              </w:rPr>
            </w:pPr>
            <w:r w:rsidRPr="00B1234C">
              <w:rPr>
                <w:b/>
                <w:bCs/>
                <w:szCs w:val="24"/>
              </w:rPr>
              <w:t>Neatsižvelgta</w:t>
            </w:r>
          </w:p>
          <w:p w14:paraId="0CD3CA3C" w14:textId="0C7AC08F" w:rsidR="00016581" w:rsidRPr="00B1234C" w:rsidRDefault="00016581" w:rsidP="00DC78EA">
            <w:pPr>
              <w:widowControl w:val="0"/>
              <w:ind w:firstLine="600"/>
              <w:jc w:val="both"/>
              <w:rPr>
                <w:b/>
                <w:bCs/>
                <w:szCs w:val="24"/>
              </w:rPr>
            </w:pPr>
            <w:r w:rsidRPr="00B1234C">
              <w:rPr>
                <w:szCs w:val="24"/>
              </w:rPr>
              <w:t xml:space="preserve">Galimos rizikos yra įvertinos bei minimalios, nes nepriklausomi tiekėjai turės papildomų duomenų apie vartotojų objektą (objekto kodas, objekto adresas, kontaktiniai duomenys), </w:t>
            </w:r>
            <w:r w:rsidR="00AC1623">
              <w:rPr>
                <w:szCs w:val="24"/>
              </w:rPr>
              <w:t>tai</w:t>
            </w:r>
            <w:r w:rsidR="00AC1623" w:rsidRPr="00B1234C">
              <w:rPr>
                <w:szCs w:val="24"/>
              </w:rPr>
              <w:t xml:space="preserve"> </w:t>
            </w:r>
            <w:r w:rsidRPr="00B1234C">
              <w:rPr>
                <w:szCs w:val="24"/>
              </w:rPr>
              <w:t>turėtų užkirsti kelią galimam piktnaudžiavimui, nes kilus įtarimų nepriklausomi tiekėjai galės susisiekti su objekto savininku jo kontaktiniais duomenimis ir patikrinti tikrąją objekto savininko valią. Atsižvelgiant į COVID-19 pandemijos karantino situaciją ir tai, kad kai kuriais atvejais patys buitiniai vartotojai gali būti nepajėgūs patys sudaryti elektros energijos pirkimo–pardavimo sutarties arba elektros energijos pirkimo–pardavimo ir persiuntimo paslaugos teikimo sutarties su nepriklausomais tiekėjais (pavyzdžiui, dėl mobilumo, informacinių technologijų raštingumo, emigracijos)</w:t>
            </w:r>
            <w:r w:rsidR="00493B2F">
              <w:rPr>
                <w:szCs w:val="24"/>
              </w:rPr>
              <w:t>,</w:t>
            </w:r>
            <w:r w:rsidRPr="00B1234C">
              <w:rPr>
                <w:szCs w:val="24"/>
              </w:rPr>
              <w:t xml:space="preserve"> siekiama supaprastinti atvejus, kaip už buitinį vartoją sutartį galėtų sudaryti kitas asmuo (pavyzdžiui, artimas giminaitis, kaimynas ir pan.) – EEĮ 46 straipsnio 2 dalį siūloma papildyti nuostata, kad buitinis vartotojas paprastos rašytinės formos įgaliojimu gali įgalioti kitą fizinį asmenį jo vardu su nepriklausomu tiekėju sudaryti elektros energijos pirkimo–pardavimo ir persiuntimo paslaugos teikimo sutartį. Civilinio kodekso 2.138 straipsnio 1 dalies 2 punkte numatyta, kad įgaliojimas fizinio asmens vardu atlikti veiksmus, susijusius su juridiniais asmenimis, turi būti patvirtintas notaro, tačiau pati Civilinio kodekso norma numato ir išimtį notaro patvirtintiems įgaliojimams, t. y. turi būti notaro patvirtinami įgaliojimai fizinio asmens vardu atlikti veiksmus, susijusius su juridiniais asmenimis, </w:t>
            </w:r>
            <w:r w:rsidRPr="00E351A2">
              <w:rPr>
                <w:b/>
                <w:i/>
                <w:szCs w:val="24"/>
              </w:rPr>
              <w:t>išskyrus įstatymų numatytus atvejus</w:t>
            </w:r>
            <w:r w:rsidRPr="00B1234C">
              <w:rPr>
                <w:szCs w:val="24"/>
              </w:rPr>
              <w:t>, kai leidžiama duoti kitokios formos įgaliojimą. Manytina, kad viešojo intereso tikslas sudaryti visai visuomenei kuo paprastesnes teisines galimybes pasirinkti nepriklausomą tiekėją nusveria iš to kylančias rizikas.</w:t>
            </w:r>
          </w:p>
          <w:p w14:paraId="3ED5151C" w14:textId="32872FE9" w:rsidR="00016581" w:rsidRPr="00B1234C" w:rsidRDefault="003979F8" w:rsidP="00DC78EA">
            <w:pPr>
              <w:ind w:firstLine="600"/>
              <w:jc w:val="both"/>
              <w:rPr>
                <w:b/>
                <w:bCs/>
                <w:szCs w:val="24"/>
              </w:rPr>
            </w:pPr>
            <w:r w:rsidRPr="00B1234C">
              <w:rPr>
                <w:color w:val="000000"/>
                <w:szCs w:val="24"/>
              </w:rPr>
              <w:t>Taip pat pastebėtina, kad a</w:t>
            </w:r>
            <w:r w:rsidR="00016581" w:rsidRPr="00B1234C">
              <w:rPr>
                <w:color w:val="000000"/>
                <w:szCs w:val="24"/>
              </w:rPr>
              <w:t>nalogiškos problemos dėl vartotojo parašo tikrumo ir jo patikrinimo teoriškai galėtų iškilti tiekėjui ir kai sutartį pasirašė pats vartotojas, o ne įgaliotas asmuo. Be to</w:t>
            </w:r>
            <w:r w:rsidR="004B2360">
              <w:rPr>
                <w:color w:val="000000"/>
                <w:szCs w:val="24"/>
              </w:rPr>
              <w:t>,</w:t>
            </w:r>
            <w:r w:rsidR="00016581" w:rsidRPr="00B1234C">
              <w:rPr>
                <w:color w:val="000000"/>
                <w:szCs w:val="24"/>
              </w:rPr>
              <w:t xml:space="preserve"> nei Lietuvos Respublikos teisingumo ministerija, nei Valstybinė vartotojų teisių apsaugos tarnyba nepateikė pastabų (neprieštaravo) </w:t>
            </w:r>
            <w:r w:rsidR="004B2360">
              <w:rPr>
                <w:color w:val="000000"/>
                <w:szCs w:val="24"/>
              </w:rPr>
              <w:t xml:space="preserve">dėl </w:t>
            </w:r>
            <w:r w:rsidR="00016581" w:rsidRPr="00B1234C">
              <w:rPr>
                <w:color w:val="000000"/>
                <w:szCs w:val="24"/>
              </w:rPr>
              <w:t>ši</w:t>
            </w:r>
            <w:r w:rsidR="004B2360">
              <w:rPr>
                <w:color w:val="000000"/>
                <w:szCs w:val="24"/>
              </w:rPr>
              <w:t>ų</w:t>
            </w:r>
            <w:r w:rsidR="00016581" w:rsidRPr="00B1234C">
              <w:rPr>
                <w:color w:val="000000"/>
                <w:szCs w:val="24"/>
              </w:rPr>
              <w:t xml:space="preserve"> nuostat</w:t>
            </w:r>
            <w:r w:rsidR="004B2360">
              <w:rPr>
                <w:color w:val="000000"/>
                <w:szCs w:val="24"/>
              </w:rPr>
              <w:t>ų</w:t>
            </w:r>
            <w:r w:rsidR="00016581" w:rsidRPr="00B1234C">
              <w:rPr>
                <w:color w:val="000000"/>
                <w:szCs w:val="24"/>
              </w:rPr>
              <w:t xml:space="preserve">. </w:t>
            </w:r>
          </w:p>
        </w:tc>
      </w:tr>
      <w:tr w:rsidR="00016581" w:rsidRPr="00B1234C" w14:paraId="4A575CE0" w14:textId="3C435360" w:rsidTr="00016581">
        <w:trPr>
          <w:trHeight w:val="563"/>
        </w:trPr>
        <w:tc>
          <w:tcPr>
            <w:tcW w:w="567" w:type="dxa"/>
            <w:tcBorders>
              <w:top w:val="single" w:sz="4" w:space="0" w:color="auto"/>
              <w:left w:val="single" w:sz="4" w:space="0" w:color="auto"/>
              <w:bottom w:val="single" w:sz="4" w:space="0" w:color="auto"/>
              <w:right w:val="single" w:sz="4" w:space="0" w:color="auto"/>
            </w:tcBorders>
            <w:vAlign w:val="center"/>
          </w:tcPr>
          <w:p w14:paraId="2BF132FC" w14:textId="77777777" w:rsidR="00016581" w:rsidRPr="00C26A96" w:rsidRDefault="00016581" w:rsidP="00F61404">
            <w:pPr>
              <w:pStyle w:val="ListParagraph"/>
              <w:numPr>
                <w:ilvl w:val="0"/>
                <w:numId w:val="2"/>
              </w:numPr>
              <w:ind w:left="470" w:hanging="357"/>
              <w:jc w:val="center"/>
              <w:rPr>
                <w:szCs w:val="24"/>
              </w:rPr>
            </w:pPr>
          </w:p>
        </w:tc>
        <w:tc>
          <w:tcPr>
            <w:tcW w:w="4678" w:type="dxa"/>
            <w:tcBorders>
              <w:top w:val="single" w:sz="4" w:space="0" w:color="auto"/>
              <w:left w:val="single" w:sz="4" w:space="0" w:color="auto"/>
              <w:bottom w:val="single" w:sz="4" w:space="0" w:color="auto"/>
              <w:right w:val="single" w:sz="4" w:space="0" w:color="auto"/>
            </w:tcBorders>
          </w:tcPr>
          <w:p w14:paraId="5F3DB6C0" w14:textId="3CDC45E4" w:rsidR="00016581" w:rsidRPr="00B1234C" w:rsidRDefault="00016581" w:rsidP="00E50194">
            <w:pPr>
              <w:tabs>
                <w:tab w:val="left" w:pos="851"/>
              </w:tabs>
              <w:jc w:val="both"/>
              <w:rPr>
                <w:szCs w:val="24"/>
              </w:rPr>
            </w:pPr>
            <w:r w:rsidRPr="00B1234C">
              <w:rPr>
                <w:color w:val="000000"/>
                <w:szCs w:val="24"/>
              </w:rPr>
              <w:t xml:space="preserve">12. </w:t>
            </w:r>
            <w:r w:rsidRPr="00B1234C">
              <w:rPr>
                <w:szCs w:val="24"/>
              </w:rPr>
              <w:t xml:space="preserve">Siekiant teisinio reguliavimo nuoseklumo ir aiškumo, siūlome įvertinti, ar keičiamo EEĮ 46 str. 4 d. nuostata dera su keičiamo EEĮ 49 str. 2 d. 2 p. nuostata ta apimtimi, kiek yra reguliuojami pranešimo (informavimo) terminai ir subjektai. </w:t>
            </w:r>
          </w:p>
        </w:tc>
        <w:tc>
          <w:tcPr>
            <w:tcW w:w="8925" w:type="dxa"/>
            <w:tcBorders>
              <w:top w:val="single" w:sz="4" w:space="0" w:color="auto"/>
              <w:left w:val="single" w:sz="4" w:space="0" w:color="auto"/>
              <w:bottom w:val="single" w:sz="4" w:space="0" w:color="auto"/>
              <w:right w:val="single" w:sz="4" w:space="0" w:color="auto"/>
            </w:tcBorders>
            <w:shd w:val="clear" w:color="auto" w:fill="auto"/>
          </w:tcPr>
          <w:p w14:paraId="513BFC1C" w14:textId="77777777" w:rsidR="00016581" w:rsidRPr="00B1234C" w:rsidRDefault="00016581" w:rsidP="00FC27E5">
            <w:pPr>
              <w:jc w:val="both"/>
              <w:rPr>
                <w:b/>
                <w:bCs/>
                <w:color w:val="000000"/>
                <w:szCs w:val="24"/>
              </w:rPr>
            </w:pPr>
            <w:r w:rsidRPr="00B1234C">
              <w:rPr>
                <w:b/>
                <w:bCs/>
                <w:color w:val="000000"/>
                <w:szCs w:val="24"/>
              </w:rPr>
              <w:t>Neatsižvelgta</w:t>
            </w:r>
          </w:p>
          <w:p w14:paraId="10675785" w14:textId="0745CA4D" w:rsidR="00016581" w:rsidRPr="00B1234C" w:rsidRDefault="00016581" w:rsidP="00FC27E5">
            <w:pPr>
              <w:jc w:val="both"/>
              <w:rPr>
                <w:color w:val="000000"/>
                <w:szCs w:val="24"/>
              </w:rPr>
            </w:pPr>
            <w:r w:rsidRPr="00B1234C">
              <w:rPr>
                <w:szCs w:val="24"/>
              </w:rPr>
              <w:t>EEĮ 46 str</w:t>
            </w:r>
            <w:r w:rsidR="008D1CA8">
              <w:rPr>
                <w:szCs w:val="24"/>
              </w:rPr>
              <w:t>aipsnio</w:t>
            </w:r>
            <w:r w:rsidRPr="00B1234C">
              <w:rPr>
                <w:szCs w:val="24"/>
              </w:rPr>
              <w:t xml:space="preserve"> 4 d</w:t>
            </w:r>
            <w:r w:rsidR="008D1CA8">
              <w:rPr>
                <w:szCs w:val="24"/>
              </w:rPr>
              <w:t>alimi</w:t>
            </w:r>
            <w:r w:rsidRPr="00B1234C">
              <w:rPr>
                <w:szCs w:val="24"/>
              </w:rPr>
              <w:t xml:space="preserve"> reguliuojami operatoriaus atliekami veiksmai tiekėjo keitimo procese po to, kai operatorius gauna tiekėjo pranešimą apie naujai sudarytą sutartį. Viso tiekėjo keitimo trukmė yra 2 savaitės ir ji </w:t>
            </w:r>
            <w:r w:rsidR="008033BB">
              <w:rPr>
                <w:szCs w:val="24"/>
              </w:rPr>
              <w:t>nuosekliai</w:t>
            </w:r>
            <w:r w:rsidR="008E7D02">
              <w:rPr>
                <w:szCs w:val="24"/>
              </w:rPr>
              <w:t xml:space="preserve"> nurodoma</w:t>
            </w:r>
            <w:r w:rsidRPr="00B1234C">
              <w:rPr>
                <w:szCs w:val="24"/>
              </w:rPr>
              <w:t xml:space="preserve"> visame </w:t>
            </w:r>
            <w:r w:rsidR="00944830">
              <w:rPr>
                <w:szCs w:val="24"/>
              </w:rPr>
              <w:t xml:space="preserve">EEĮ </w:t>
            </w:r>
            <w:r w:rsidRPr="00B1234C">
              <w:rPr>
                <w:szCs w:val="24"/>
              </w:rPr>
              <w:t xml:space="preserve"> tekste, įskaitant EEĮ 49 str</w:t>
            </w:r>
            <w:r w:rsidR="00944830">
              <w:rPr>
                <w:szCs w:val="24"/>
              </w:rPr>
              <w:t>aipsnį</w:t>
            </w:r>
            <w:r w:rsidR="009A490C">
              <w:rPr>
                <w:szCs w:val="24"/>
              </w:rPr>
              <w:t>,</w:t>
            </w:r>
            <w:r w:rsidRPr="00B1234C">
              <w:rPr>
                <w:szCs w:val="24"/>
              </w:rPr>
              <w:t xml:space="preserve"> kuriuo (atkartojant kitas įstatymo nuostatas) pateikiama vartotojo teisių santrauka.</w:t>
            </w:r>
          </w:p>
          <w:p w14:paraId="5D98CF58" w14:textId="77777777" w:rsidR="00016581" w:rsidRPr="00B1234C" w:rsidRDefault="00016581" w:rsidP="00CA3174">
            <w:pPr>
              <w:jc w:val="both"/>
              <w:rPr>
                <w:szCs w:val="24"/>
              </w:rPr>
            </w:pPr>
          </w:p>
        </w:tc>
      </w:tr>
      <w:tr w:rsidR="00016581" w:rsidRPr="00B1234C" w14:paraId="17C7445E" w14:textId="183DEE86" w:rsidTr="00016581">
        <w:trPr>
          <w:trHeight w:val="563"/>
        </w:trPr>
        <w:tc>
          <w:tcPr>
            <w:tcW w:w="567" w:type="dxa"/>
            <w:tcBorders>
              <w:top w:val="single" w:sz="4" w:space="0" w:color="auto"/>
              <w:left w:val="single" w:sz="4" w:space="0" w:color="auto"/>
              <w:bottom w:val="single" w:sz="4" w:space="0" w:color="auto"/>
              <w:right w:val="single" w:sz="4" w:space="0" w:color="auto"/>
            </w:tcBorders>
            <w:vAlign w:val="center"/>
          </w:tcPr>
          <w:p w14:paraId="5B6F8E87" w14:textId="77777777" w:rsidR="00016581" w:rsidRPr="00C26A96" w:rsidRDefault="00016581" w:rsidP="00F61404">
            <w:pPr>
              <w:pStyle w:val="ListParagraph"/>
              <w:numPr>
                <w:ilvl w:val="0"/>
                <w:numId w:val="2"/>
              </w:numPr>
              <w:ind w:left="470" w:hanging="357"/>
              <w:jc w:val="center"/>
              <w:rPr>
                <w:szCs w:val="24"/>
              </w:rPr>
            </w:pPr>
          </w:p>
        </w:tc>
        <w:tc>
          <w:tcPr>
            <w:tcW w:w="4678" w:type="dxa"/>
            <w:tcBorders>
              <w:top w:val="single" w:sz="4" w:space="0" w:color="auto"/>
              <w:left w:val="single" w:sz="4" w:space="0" w:color="auto"/>
              <w:bottom w:val="single" w:sz="4" w:space="0" w:color="auto"/>
              <w:right w:val="single" w:sz="4" w:space="0" w:color="auto"/>
            </w:tcBorders>
          </w:tcPr>
          <w:p w14:paraId="61BBA81C" w14:textId="7FC0D7FF" w:rsidR="00016581" w:rsidRPr="00B1234C" w:rsidRDefault="00016581" w:rsidP="00E50194">
            <w:pPr>
              <w:jc w:val="both"/>
              <w:rPr>
                <w:color w:val="000000"/>
                <w:szCs w:val="24"/>
                <w:shd w:val="clear" w:color="auto" w:fill="FFFFFF"/>
              </w:rPr>
            </w:pPr>
            <w:r w:rsidRPr="00B1234C">
              <w:rPr>
                <w:bCs/>
                <w:szCs w:val="24"/>
              </w:rPr>
              <w:t>13.4. Projektu keičiamo EEĮ 52</w:t>
            </w:r>
            <w:r w:rsidRPr="00B1234C">
              <w:rPr>
                <w:bCs/>
                <w:szCs w:val="24"/>
                <w:vertAlign w:val="superscript"/>
              </w:rPr>
              <w:t>1</w:t>
            </w:r>
            <w:r w:rsidRPr="00B1234C">
              <w:rPr>
                <w:bCs/>
                <w:szCs w:val="24"/>
              </w:rPr>
              <w:t xml:space="preserve"> straipsnyje atkartojant Direktyvos (ES) 2019/944 nuostatas reglamentuojamas </w:t>
            </w:r>
            <w:r w:rsidRPr="00B1234C">
              <w:rPr>
                <w:bCs/>
                <w:i/>
                <w:iCs/>
                <w:szCs w:val="24"/>
              </w:rPr>
              <w:t>„patikimumo ženklas“,</w:t>
            </w:r>
            <w:r w:rsidRPr="00B1234C">
              <w:rPr>
                <w:bCs/>
                <w:szCs w:val="24"/>
              </w:rPr>
              <w:t xml:space="preserve"> tačiau iš siūlomo teisinio reguliavimo lieka neaišku, kokius teisinius santykius siekiama sureguliuoti: jei tai būtų laikoma licencijavimo (sertifikavimo) teisiniais santykiais arba atitikties vertinimo veikla, tokiu atveju įstatyme turėtų būti nustatyti aiškūs ir nedviprasmiški kriterijai, sąlygos tokiam patikimumo ženklui gauti, taip pat ir kriterijai, kada būtų sustabdomas patikimumo ženklo galiojimas ar kokiais atvejais patikimumo ženklas būtų panaikinamas. Konstitucinis Teismas ne kartą yra pažymėjęs, kad </w:t>
            </w:r>
            <w:r w:rsidRPr="00B1234C">
              <w:rPr>
                <w:szCs w:val="24"/>
                <w:shd w:val="clear" w:color="auto" w:fill="FFFFFF"/>
              </w:rPr>
              <w:t>esminės ūkinės veiklos sąlygos, ūkinės veiklos laisvės ribojimas turi būti įtvirtinti ne žemesnės galios nei įstatymas teisės akte (</w:t>
            </w:r>
            <w:r w:rsidRPr="00B1234C">
              <w:rPr>
                <w:i/>
                <w:iCs/>
                <w:szCs w:val="24"/>
                <w:shd w:val="clear" w:color="auto" w:fill="FFFFFF"/>
              </w:rPr>
              <w:t>inter alia</w:t>
            </w:r>
            <w:r w:rsidRPr="00B1234C">
              <w:rPr>
                <w:szCs w:val="24"/>
                <w:shd w:val="clear" w:color="auto" w:fill="FFFFFF"/>
              </w:rPr>
              <w:t> 2011 m. birželio 21 d., 2014 m. gegužės 9 d., 2017 m. gegužės 30 d. nutarimai).</w:t>
            </w:r>
          </w:p>
        </w:tc>
        <w:tc>
          <w:tcPr>
            <w:tcW w:w="8925" w:type="dxa"/>
            <w:tcBorders>
              <w:top w:val="single" w:sz="4" w:space="0" w:color="auto"/>
              <w:left w:val="single" w:sz="4" w:space="0" w:color="auto"/>
              <w:bottom w:val="single" w:sz="4" w:space="0" w:color="auto"/>
              <w:right w:val="single" w:sz="4" w:space="0" w:color="auto"/>
            </w:tcBorders>
            <w:shd w:val="clear" w:color="auto" w:fill="auto"/>
          </w:tcPr>
          <w:p w14:paraId="6E4B8F73" w14:textId="4350AB57" w:rsidR="00016581" w:rsidRPr="00B1234C" w:rsidRDefault="00016581" w:rsidP="00CA3174">
            <w:pPr>
              <w:jc w:val="both"/>
              <w:rPr>
                <w:b/>
                <w:bCs/>
                <w:szCs w:val="24"/>
              </w:rPr>
            </w:pPr>
            <w:r w:rsidRPr="00B1234C">
              <w:rPr>
                <w:b/>
                <w:bCs/>
                <w:szCs w:val="24"/>
              </w:rPr>
              <w:t>Atsižvelgta iš dalies</w:t>
            </w:r>
          </w:p>
          <w:p w14:paraId="772D168E" w14:textId="7EC8FF66" w:rsidR="00016581" w:rsidRPr="00B1234C" w:rsidRDefault="00016581" w:rsidP="00CA3174">
            <w:pPr>
              <w:jc w:val="both"/>
              <w:rPr>
                <w:szCs w:val="24"/>
              </w:rPr>
            </w:pPr>
            <w:r w:rsidRPr="00B1234C">
              <w:rPr>
                <w:szCs w:val="24"/>
              </w:rPr>
              <w:t>EEĮ projekto 52</w:t>
            </w:r>
            <w:r w:rsidRPr="00B1234C">
              <w:rPr>
                <w:szCs w:val="24"/>
                <w:vertAlign w:val="superscript"/>
              </w:rPr>
              <w:t>1</w:t>
            </w:r>
            <w:r w:rsidRPr="00B1234C">
              <w:rPr>
                <w:szCs w:val="24"/>
              </w:rPr>
              <w:t xml:space="preserve"> straipsnis papildytas, kada suteikiamas ir kada panaikinamas patikimo ženklas palyginimo priemonei. Taip pat pažymėtina, kad patikimumo ženklo suteikimas nėra laikytinas licencija pagal Licencijavimo pagrindų aprašą, patvirtintą Lietuvos Respublikos Vyriausybės 2012 m. liepos 18 d. nutarimu Nr. 937, kuris numato, kad licencija – tai dokumentas (leidimas, liudijimas, teikimas, atestatas, sprendimas, sertifikatas, pažymėjimas ar panašiai), reikalingas tam tikrai ūkinei veiklai pradėti ar vykdyti, įrašymas ar įsirašymas į sąrašą, registrą, valstybės informacinę sistemą, kuriais įgyjama teisė pradėti ar vykdyti tam tikrą ūkinę veiklą, privalomas informacijos pateikimas prieš pradedant vykdyti ūkinę veiklą (toliau – deklaracija (pranešimas), taip pat kitoks leidimo vykdyti ūkinę veiklą suteikimas. Šiuo atveju asmuo galės pradėti vykdyti savo palyginimo priemonės ūkinę veiklą ir neturėdamas patikimumo ženklo. Taip pat asmuo, savo palyginimo priemonei netekęs patikimumo ženklo, toliau turi teisę vykdyti savo ūkinę veiklą. Tiesiog tokio asmens interneto svetainės nuoroda nebus skelbiama Tarybos svetainėje kaip garantija, kad tokia interneto svetainė yra patikrinta ir patikima.</w:t>
            </w:r>
          </w:p>
        </w:tc>
      </w:tr>
      <w:tr w:rsidR="00016581" w:rsidRPr="00591677" w14:paraId="39170AB0" w14:textId="4AF5DBBC" w:rsidTr="00016581">
        <w:trPr>
          <w:trHeight w:val="563"/>
        </w:trPr>
        <w:tc>
          <w:tcPr>
            <w:tcW w:w="567" w:type="dxa"/>
            <w:tcBorders>
              <w:top w:val="single" w:sz="4" w:space="0" w:color="auto"/>
              <w:left w:val="single" w:sz="4" w:space="0" w:color="auto"/>
              <w:bottom w:val="single" w:sz="4" w:space="0" w:color="auto"/>
              <w:right w:val="single" w:sz="4" w:space="0" w:color="auto"/>
            </w:tcBorders>
            <w:vAlign w:val="center"/>
          </w:tcPr>
          <w:p w14:paraId="21BCD494" w14:textId="77777777" w:rsidR="00016581" w:rsidRPr="00C26A96" w:rsidRDefault="00016581" w:rsidP="00F61404">
            <w:pPr>
              <w:pStyle w:val="ListParagraph"/>
              <w:numPr>
                <w:ilvl w:val="0"/>
                <w:numId w:val="2"/>
              </w:numPr>
              <w:ind w:left="470" w:hanging="357"/>
              <w:jc w:val="center"/>
              <w:rPr>
                <w:szCs w:val="24"/>
              </w:rPr>
            </w:pPr>
          </w:p>
        </w:tc>
        <w:tc>
          <w:tcPr>
            <w:tcW w:w="4678" w:type="dxa"/>
            <w:tcBorders>
              <w:top w:val="single" w:sz="4" w:space="0" w:color="auto"/>
              <w:left w:val="single" w:sz="4" w:space="0" w:color="auto"/>
              <w:bottom w:val="single" w:sz="4" w:space="0" w:color="auto"/>
              <w:right w:val="single" w:sz="4" w:space="0" w:color="auto"/>
            </w:tcBorders>
          </w:tcPr>
          <w:p w14:paraId="6433F43A" w14:textId="42E88307" w:rsidR="00016581" w:rsidRPr="00B1234C" w:rsidRDefault="00016581" w:rsidP="00E50194">
            <w:pPr>
              <w:jc w:val="both"/>
              <w:rPr>
                <w:szCs w:val="24"/>
              </w:rPr>
            </w:pPr>
            <w:r w:rsidRPr="00B1234C">
              <w:rPr>
                <w:szCs w:val="24"/>
              </w:rPr>
              <w:t xml:space="preserve">18. Projektas peržiūrėtinas teisės technikos aspektu siekiant suderinti vartojamas formuluotes, atsisakant neapibrėžtų formuluočių, pvz., bet neapsiribojant, „garantinio tiekimo užtikrinimo pradžia“ ir „garantinio tiekimo pradžia“, įsivedant besikartojančių formuluočių trumpinius, pvz., formuluotė </w:t>
            </w:r>
            <w:r w:rsidRPr="00B1234C">
              <w:rPr>
                <w:i/>
                <w:iCs/>
                <w:szCs w:val="24"/>
              </w:rPr>
              <w:t>„labai mažos ir mažos įmonės, kaip jos apibrėžtos Lietuvos Respublikos smulkiojo ir vidutinio verslo plėtros įstatyme“</w:t>
            </w:r>
            <w:r w:rsidRPr="00B1234C">
              <w:rPr>
                <w:szCs w:val="24"/>
              </w:rPr>
              <w:t xml:space="preserve">; </w:t>
            </w:r>
            <w:r w:rsidRPr="00B1234C">
              <w:rPr>
                <w:color w:val="000000"/>
                <w:szCs w:val="24"/>
              </w:rPr>
              <w:t>Projekto 9 straipsnyje vietoj straipsnio numerio „46“ nurodytinas straipsnio numeris „46</w:t>
            </w:r>
            <w:r w:rsidRPr="00B1234C">
              <w:rPr>
                <w:color w:val="000000"/>
                <w:szCs w:val="24"/>
                <w:vertAlign w:val="superscript"/>
              </w:rPr>
              <w:t>1“</w:t>
            </w:r>
            <w:r w:rsidRPr="00B1234C">
              <w:rPr>
                <w:color w:val="000000"/>
                <w:szCs w:val="24"/>
              </w:rPr>
              <w:t xml:space="preserve">, keičiamo EEĮ </w:t>
            </w:r>
            <w:r w:rsidRPr="00B1234C">
              <w:rPr>
                <w:szCs w:val="24"/>
              </w:rPr>
              <w:t xml:space="preserve">49 str. 2 d. 3 p. vietoj antrojo žodžio </w:t>
            </w:r>
            <w:r w:rsidRPr="00B1234C">
              <w:rPr>
                <w:i/>
                <w:iCs/>
                <w:szCs w:val="24"/>
              </w:rPr>
              <w:t>„arba“</w:t>
            </w:r>
            <w:r w:rsidRPr="00B1234C">
              <w:rPr>
                <w:szCs w:val="24"/>
              </w:rPr>
              <w:t xml:space="preserve"> turėtų būti žodis </w:t>
            </w:r>
            <w:r w:rsidRPr="00B1234C">
              <w:rPr>
                <w:i/>
                <w:iCs/>
                <w:szCs w:val="24"/>
              </w:rPr>
              <w:t>„ir“.</w:t>
            </w:r>
            <w:r w:rsidRPr="00B1234C">
              <w:rPr>
                <w:szCs w:val="24"/>
              </w:rPr>
              <w:t xml:space="preserve"> </w:t>
            </w:r>
          </w:p>
        </w:tc>
        <w:tc>
          <w:tcPr>
            <w:tcW w:w="8925" w:type="dxa"/>
            <w:tcBorders>
              <w:top w:val="single" w:sz="4" w:space="0" w:color="auto"/>
              <w:left w:val="single" w:sz="4" w:space="0" w:color="auto"/>
              <w:bottom w:val="single" w:sz="4" w:space="0" w:color="auto"/>
              <w:right w:val="single" w:sz="4" w:space="0" w:color="auto"/>
            </w:tcBorders>
            <w:shd w:val="clear" w:color="auto" w:fill="auto"/>
          </w:tcPr>
          <w:p w14:paraId="0A77B9E0" w14:textId="77777777" w:rsidR="00016581" w:rsidRPr="00B1234C" w:rsidRDefault="00016581" w:rsidP="006E46D6">
            <w:pPr>
              <w:tabs>
                <w:tab w:val="left" w:pos="851"/>
              </w:tabs>
              <w:spacing w:line="360" w:lineRule="auto"/>
              <w:jc w:val="both"/>
              <w:rPr>
                <w:b/>
                <w:bCs/>
                <w:szCs w:val="24"/>
              </w:rPr>
            </w:pPr>
            <w:r w:rsidRPr="00B1234C">
              <w:rPr>
                <w:b/>
                <w:bCs/>
                <w:szCs w:val="24"/>
              </w:rPr>
              <w:t>Atsižvelgta iš dalies</w:t>
            </w:r>
          </w:p>
          <w:p w14:paraId="382D3355" w14:textId="0462D41A" w:rsidR="007F6D0F" w:rsidRPr="00591677" w:rsidRDefault="007F6D0F" w:rsidP="0076275D">
            <w:pPr>
              <w:tabs>
                <w:tab w:val="left" w:pos="851"/>
              </w:tabs>
              <w:jc w:val="both"/>
              <w:rPr>
                <w:szCs w:val="24"/>
              </w:rPr>
            </w:pPr>
            <w:r w:rsidRPr="00B1234C">
              <w:rPr>
                <w:szCs w:val="24"/>
              </w:rPr>
              <w:t xml:space="preserve">Kol kas </w:t>
            </w:r>
            <w:r w:rsidR="00E56A5F">
              <w:rPr>
                <w:szCs w:val="24"/>
              </w:rPr>
              <w:t>nevartoti</w:t>
            </w:r>
            <w:r w:rsidR="00E56A5F" w:rsidRPr="00B1234C">
              <w:rPr>
                <w:szCs w:val="24"/>
              </w:rPr>
              <w:t xml:space="preserve"> </w:t>
            </w:r>
            <w:r w:rsidRPr="00B1234C">
              <w:rPr>
                <w:szCs w:val="24"/>
              </w:rPr>
              <w:t>trumpini</w:t>
            </w:r>
            <w:r w:rsidR="00E56A5F">
              <w:rPr>
                <w:szCs w:val="24"/>
              </w:rPr>
              <w:t>ai</w:t>
            </w:r>
            <w:r w:rsidRPr="00B1234C">
              <w:rPr>
                <w:szCs w:val="24"/>
              </w:rPr>
              <w:t>, nes</w:t>
            </w:r>
            <w:r w:rsidR="00016FAC">
              <w:rPr>
                <w:szCs w:val="24"/>
              </w:rPr>
              <w:t>,</w:t>
            </w:r>
            <w:r w:rsidR="0037765D" w:rsidRPr="00B1234C">
              <w:rPr>
                <w:szCs w:val="24"/>
              </w:rPr>
              <w:t xml:space="preserve"> pvz.</w:t>
            </w:r>
            <w:r w:rsidR="00016FAC">
              <w:rPr>
                <w:szCs w:val="24"/>
              </w:rPr>
              <w:t>,</w:t>
            </w:r>
            <w:r w:rsidR="0037765D" w:rsidRPr="00B1234C">
              <w:rPr>
                <w:szCs w:val="24"/>
              </w:rPr>
              <w:t xml:space="preserve"> Švarios energijos</w:t>
            </w:r>
            <w:r w:rsidR="00C17A37" w:rsidRPr="00B1234C">
              <w:rPr>
                <w:szCs w:val="24"/>
              </w:rPr>
              <w:t xml:space="preserve"> pakete šios nuostatos, kurias siūloma trumpinti, vartojamos dar ankstesniuose Elektros energetikos straipsniuose, </w:t>
            </w:r>
            <w:r w:rsidR="0076275D" w:rsidRPr="00B1234C">
              <w:rPr>
                <w:szCs w:val="24"/>
              </w:rPr>
              <w:t>nei vartojamos šiame projekte, pvz.</w:t>
            </w:r>
            <w:r w:rsidR="00594DCC">
              <w:rPr>
                <w:szCs w:val="24"/>
              </w:rPr>
              <w:t>,</w:t>
            </w:r>
            <w:r w:rsidR="0076275D" w:rsidRPr="00B1234C">
              <w:rPr>
                <w:szCs w:val="24"/>
              </w:rPr>
              <w:t xml:space="preserve"> vartojamos Elektros energetikos įstatymo 22 straipsnio 2 dalyje.</w:t>
            </w:r>
          </w:p>
        </w:tc>
      </w:tr>
    </w:tbl>
    <w:p w14:paraId="534A0DDF" w14:textId="77777777" w:rsidR="00DC6D7C" w:rsidRPr="00332139" w:rsidRDefault="00DC6D7C" w:rsidP="00DC6D7C">
      <w:pPr>
        <w:jc w:val="center"/>
        <w:rPr>
          <w:sz w:val="22"/>
          <w:szCs w:val="22"/>
        </w:rPr>
      </w:pPr>
      <w:r w:rsidRPr="00CD44D0">
        <w:rPr>
          <w:sz w:val="22"/>
          <w:szCs w:val="22"/>
        </w:rPr>
        <w:t>_________________</w:t>
      </w:r>
    </w:p>
    <w:p w14:paraId="5B031394" w14:textId="77777777" w:rsidR="00DC6D7C" w:rsidRPr="00332139" w:rsidRDefault="00DC6D7C" w:rsidP="00DC6D7C">
      <w:pPr>
        <w:jc w:val="center"/>
        <w:rPr>
          <w:sz w:val="22"/>
          <w:szCs w:val="22"/>
        </w:rPr>
      </w:pPr>
    </w:p>
    <w:p w14:paraId="1D9CF6F9" w14:textId="77777777" w:rsidR="00E60784" w:rsidRDefault="00E60784"/>
    <w:sectPr w:rsidR="00E60784" w:rsidSect="00CE6A05">
      <w:headerReference w:type="default" r:id="rId8"/>
      <w:pgSz w:w="16838" w:h="11906" w:orient="landscape"/>
      <w:pgMar w:top="1440" w:right="1440" w:bottom="1440"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10DE2E" w14:textId="77777777" w:rsidR="00734517" w:rsidRDefault="00734517" w:rsidP="00CE6A05">
      <w:r>
        <w:separator/>
      </w:r>
    </w:p>
  </w:endnote>
  <w:endnote w:type="continuationSeparator" w:id="0">
    <w:p w14:paraId="2E91D0C8" w14:textId="77777777" w:rsidR="00734517" w:rsidRDefault="00734517" w:rsidP="00CE6A05">
      <w:r>
        <w:continuationSeparator/>
      </w:r>
    </w:p>
  </w:endnote>
  <w:endnote w:type="continuationNotice" w:id="1">
    <w:p w14:paraId="39B5ED07" w14:textId="77777777" w:rsidR="00734517" w:rsidRDefault="007345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D0057" w14:textId="77777777" w:rsidR="00734517" w:rsidRDefault="00734517" w:rsidP="00CE6A05">
      <w:r>
        <w:separator/>
      </w:r>
    </w:p>
  </w:footnote>
  <w:footnote w:type="continuationSeparator" w:id="0">
    <w:p w14:paraId="03400B35" w14:textId="77777777" w:rsidR="00734517" w:rsidRDefault="00734517" w:rsidP="00CE6A05">
      <w:r>
        <w:continuationSeparator/>
      </w:r>
    </w:p>
  </w:footnote>
  <w:footnote w:type="continuationNotice" w:id="1">
    <w:p w14:paraId="0E287A70" w14:textId="77777777" w:rsidR="00734517" w:rsidRDefault="007345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1197628"/>
      <w:docPartObj>
        <w:docPartGallery w:val="Page Numbers (Top of Page)"/>
        <w:docPartUnique/>
      </w:docPartObj>
    </w:sdtPr>
    <w:sdtContent>
      <w:p w14:paraId="164E0940" w14:textId="1BF33888" w:rsidR="00CE6A05" w:rsidRDefault="00CE6A05">
        <w:pPr>
          <w:pStyle w:val="Header"/>
          <w:jc w:val="center"/>
        </w:pPr>
        <w:r>
          <w:fldChar w:fldCharType="begin"/>
        </w:r>
        <w:r>
          <w:instrText>PAGE   \* MERGEFORMAT</w:instrText>
        </w:r>
        <w:r>
          <w:fldChar w:fldCharType="separate"/>
        </w:r>
        <w:r>
          <w:t>2</w:t>
        </w:r>
        <w:r>
          <w:fldChar w:fldCharType="end"/>
        </w:r>
      </w:p>
    </w:sdtContent>
  </w:sdt>
  <w:p w14:paraId="0401047E" w14:textId="77777777" w:rsidR="00CE6A05" w:rsidRDefault="00CE6A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968F2"/>
    <w:multiLevelType w:val="hybridMultilevel"/>
    <w:tmpl w:val="A61CF1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46455D8"/>
    <w:multiLevelType w:val="multilevel"/>
    <w:tmpl w:val="83D4FC44"/>
    <w:lvl w:ilvl="0">
      <w:start w:val="1"/>
      <w:numFmt w:val="decimal"/>
      <w:lvlText w:val="%1."/>
      <w:lvlJc w:val="left"/>
      <w:pPr>
        <w:ind w:left="720" w:hanging="360"/>
      </w:pPr>
      <w:rPr>
        <w:rFonts w:hint="default"/>
        <w:i w:val="0"/>
        <w:iCs w:val="0"/>
        <w:color w:val="auto"/>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784"/>
    <w:rsid w:val="000016F3"/>
    <w:rsid w:val="0001241E"/>
    <w:rsid w:val="00016581"/>
    <w:rsid w:val="00016FAC"/>
    <w:rsid w:val="00020498"/>
    <w:rsid w:val="000309C7"/>
    <w:rsid w:val="0006230F"/>
    <w:rsid w:val="00062D7C"/>
    <w:rsid w:val="0006597B"/>
    <w:rsid w:val="000774DE"/>
    <w:rsid w:val="0008307E"/>
    <w:rsid w:val="000A3A5A"/>
    <w:rsid w:val="000A4FA6"/>
    <w:rsid w:val="000A5A4E"/>
    <w:rsid w:val="000B0087"/>
    <w:rsid w:val="000B13E9"/>
    <w:rsid w:val="000B1FB4"/>
    <w:rsid w:val="000C0762"/>
    <w:rsid w:val="000C5EFB"/>
    <w:rsid w:val="000D6EA7"/>
    <w:rsid w:val="000E10D9"/>
    <w:rsid w:val="000E3E6D"/>
    <w:rsid w:val="000F426E"/>
    <w:rsid w:val="000F5D2F"/>
    <w:rsid w:val="001020CF"/>
    <w:rsid w:val="00105DCE"/>
    <w:rsid w:val="00106746"/>
    <w:rsid w:val="00117854"/>
    <w:rsid w:val="00121721"/>
    <w:rsid w:val="00125719"/>
    <w:rsid w:val="00126D7F"/>
    <w:rsid w:val="001307BF"/>
    <w:rsid w:val="00132A31"/>
    <w:rsid w:val="001540E4"/>
    <w:rsid w:val="00157732"/>
    <w:rsid w:val="00186229"/>
    <w:rsid w:val="00190F71"/>
    <w:rsid w:val="001A41CA"/>
    <w:rsid w:val="001D5DC3"/>
    <w:rsid w:val="001E3A85"/>
    <w:rsid w:val="002039A3"/>
    <w:rsid w:val="0021380F"/>
    <w:rsid w:val="0021418D"/>
    <w:rsid w:val="00214970"/>
    <w:rsid w:val="00234815"/>
    <w:rsid w:val="00235EFC"/>
    <w:rsid w:val="00243409"/>
    <w:rsid w:val="002456A4"/>
    <w:rsid w:val="00250FEE"/>
    <w:rsid w:val="0028102E"/>
    <w:rsid w:val="002829BA"/>
    <w:rsid w:val="00287490"/>
    <w:rsid w:val="002B3328"/>
    <w:rsid w:val="002B3F82"/>
    <w:rsid w:val="002B7D80"/>
    <w:rsid w:val="002C3FCF"/>
    <w:rsid w:val="002D007A"/>
    <w:rsid w:val="002D010C"/>
    <w:rsid w:val="002D5323"/>
    <w:rsid w:val="002E5F9D"/>
    <w:rsid w:val="0030253B"/>
    <w:rsid w:val="0032437A"/>
    <w:rsid w:val="003278EF"/>
    <w:rsid w:val="00330EF4"/>
    <w:rsid w:val="00332F90"/>
    <w:rsid w:val="0033661B"/>
    <w:rsid w:val="003458F9"/>
    <w:rsid w:val="00351565"/>
    <w:rsid w:val="00357915"/>
    <w:rsid w:val="00360A52"/>
    <w:rsid w:val="00361552"/>
    <w:rsid w:val="0037765D"/>
    <w:rsid w:val="00384D14"/>
    <w:rsid w:val="003979F8"/>
    <w:rsid w:val="003A365B"/>
    <w:rsid w:val="003B4B7A"/>
    <w:rsid w:val="003C407E"/>
    <w:rsid w:val="003E4D1E"/>
    <w:rsid w:val="003F0275"/>
    <w:rsid w:val="003F3375"/>
    <w:rsid w:val="003F3AB3"/>
    <w:rsid w:val="003F3E43"/>
    <w:rsid w:val="003F4197"/>
    <w:rsid w:val="003F5A92"/>
    <w:rsid w:val="003F5D2A"/>
    <w:rsid w:val="00411644"/>
    <w:rsid w:val="0041721F"/>
    <w:rsid w:val="00417B7C"/>
    <w:rsid w:val="00420D5C"/>
    <w:rsid w:val="00426920"/>
    <w:rsid w:val="00433048"/>
    <w:rsid w:val="00452C96"/>
    <w:rsid w:val="00455548"/>
    <w:rsid w:val="0046157D"/>
    <w:rsid w:val="00463F7D"/>
    <w:rsid w:val="0047555B"/>
    <w:rsid w:val="00481874"/>
    <w:rsid w:val="004867B1"/>
    <w:rsid w:val="004879F6"/>
    <w:rsid w:val="00493B2F"/>
    <w:rsid w:val="004A3A85"/>
    <w:rsid w:val="004B2360"/>
    <w:rsid w:val="004B3DAC"/>
    <w:rsid w:val="004B748D"/>
    <w:rsid w:val="004C6796"/>
    <w:rsid w:val="004D2389"/>
    <w:rsid w:val="004E62F1"/>
    <w:rsid w:val="004F71F2"/>
    <w:rsid w:val="005060C5"/>
    <w:rsid w:val="005125D2"/>
    <w:rsid w:val="00524FD6"/>
    <w:rsid w:val="00526A63"/>
    <w:rsid w:val="005328D0"/>
    <w:rsid w:val="00534BDB"/>
    <w:rsid w:val="00535C03"/>
    <w:rsid w:val="00536099"/>
    <w:rsid w:val="005460DA"/>
    <w:rsid w:val="005566FD"/>
    <w:rsid w:val="0057503E"/>
    <w:rsid w:val="00576F5C"/>
    <w:rsid w:val="00591677"/>
    <w:rsid w:val="00594DCC"/>
    <w:rsid w:val="005A0D60"/>
    <w:rsid w:val="005A1D95"/>
    <w:rsid w:val="005A351D"/>
    <w:rsid w:val="005B001D"/>
    <w:rsid w:val="005B10DA"/>
    <w:rsid w:val="005B4077"/>
    <w:rsid w:val="005C37A7"/>
    <w:rsid w:val="005D4592"/>
    <w:rsid w:val="006101EE"/>
    <w:rsid w:val="00616B2C"/>
    <w:rsid w:val="00617A6E"/>
    <w:rsid w:val="00625F43"/>
    <w:rsid w:val="00631052"/>
    <w:rsid w:val="00631562"/>
    <w:rsid w:val="006324E3"/>
    <w:rsid w:val="00632BCC"/>
    <w:rsid w:val="00633260"/>
    <w:rsid w:val="00640F89"/>
    <w:rsid w:val="006500A4"/>
    <w:rsid w:val="00650A2C"/>
    <w:rsid w:val="00652039"/>
    <w:rsid w:val="00661904"/>
    <w:rsid w:val="00663586"/>
    <w:rsid w:val="00665CCF"/>
    <w:rsid w:val="006661AB"/>
    <w:rsid w:val="00667E1C"/>
    <w:rsid w:val="00674AC8"/>
    <w:rsid w:val="00681C27"/>
    <w:rsid w:val="006824E4"/>
    <w:rsid w:val="00682822"/>
    <w:rsid w:val="006A5433"/>
    <w:rsid w:val="006B0FCD"/>
    <w:rsid w:val="006C05C4"/>
    <w:rsid w:val="006C1CA0"/>
    <w:rsid w:val="006C6E46"/>
    <w:rsid w:val="006D5B04"/>
    <w:rsid w:val="006D745B"/>
    <w:rsid w:val="006E1029"/>
    <w:rsid w:val="006E46D6"/>
    <w:rsid w:val="006E5DD7"/>
    <w:rsid w:val="006F244A"/>
    <w:rsid w:val="00721662"/>
    <w:rsid w:val="00723BBE"/>
    <w:rsid w:val="00731893"/>
    <w:rsid w:val="00734517"/>
    <w:rsid w:val="0073782B"/>
    <w:rsid w:val="007426BA"/>
    <w:rsid w:val="007469D2"/>
    <w:rsid w:val="00756FC2"/>
    <w:rsid w:val="0076275D"/>
    <w:rsid w:val="00781B94"/>
    <w:rsid w:val="00785DBD"/>
    <w:rsid w:val="007B37FA"/>
    <w:rsid w:val="007C144C"/>
    <w:rsid w:val="007C487D"/>
    <w:rsid w:val="007C5AF9"/>
    <w:rsid w:val="007E1092"/>
    <w:rsid w:val="007E5EE1"/>
    <w:rsid w:val="007F6D0F"/>
    <w:rsid w:val="008033BB"/>
    <w:rsid w:val="008070DC"/>
    <w:rsid w:val="00823F0A"/>
    <w:rsid w:val="008275B3"/>
    <w:rsid w:val="008322F3"/>
    <w:rsid w:val="00840886"/>
    <w:rsid w:val="0084584B"/>
    <w:rsid w:val="00850452"/>
    <w:rsid w:val="00853C2B"/>
    <w:rsid w:val="00861238"/>
    <w:rsid w:val="0086645C"/>
    <w:rsid w:val="00867DCA"/>
    <w:rsid w:val="00872A86"/>
    <w:rsid w:val="00872BF7"/>
    <w:rsid w:val="008764A1"/>
    <w:rsid w:val="008765E3"/>
    <w:rsid w:val="00877976"/>
    <w:rsid w:val="00880896"/>
    <w:rsid w:val="008813A9"/>
    <w:rsid w:val="00887386"/>
    <w:rsid w:val="00891558"/>
    <w:rsid w:val="008A24EC"/>
    <w:rsid w:val="008A5C7D"/>
    <w:rsid w:val="008B07EC"/>
    <w:rsid w:val="008B0C62"/>
    <w:rsid w:val="008B0F72"/>
    <w:rsid w:val="008B6469"/>
    <w:rsid w:val="008C6581"/>
    <w:rsid w:val="008D1CA8"/>
    <w:rsid w:val="008D2B95"/>
    <w:rsid w:val="008D3A08"/>
    <w:rsid w:val="008D4F81"/>
    <w:rsid w:val="008E7D02"/>
    <w:rsid w:val="008F1093"/>
    <w:rsid w:val="008F1AC3"/>
    <w:rsid w:val="008F1F74"/>
    <w:rsid w:val="008F30FE"/>
    <w:rsid w:val="009034A5"/>
    <w:rsid w:val="00904FFC"/>
    <w:rsid w:val="0091148E"/>
    <w:rsid w:val="00922158"/>
    <w:rsid w:val="00930155"/>
    <w:rsid w:val="00944830"/>
    <w:rsid w:val="00945BBB"/>
    <w:rsid w:val="00960BA0"/>
    <w:rsid w:val="00962E4E"/>
    <w:rsid w:val="00965DCB"/>
    <w:rsid w:val="00982984"/>
    <w:rsid w:val="00992F5C"/>
    <w:rsid w:val="009952AB"/>
    <w:rsid w:val="009A490C"/>
    <w:rsid w:val="009B23D1"/>
    <w:rsid w:val="009B4A9D"/>
    <w:rsid w:val="009B56CF"/>
    <w:rsid w:val="009C4C92"/>
    <w:rsid w:val="009C5871"/>
    <w:rsid w:val="009E12C6"/>
    <w:rsid w:val="009E2079"/>
    <w:rsid w:val="009E5873"/>
    <w:rsid w:val="009E6ECA"/>
    <w:rsid w:val="009E7AAE"/>
    <w:rsid w:val="00A11A51"/>
    <w:rsid w:val="00A13EB0"/>
    <w:rsid w:val="00A159E6"/>
    <w:rsid w:val="00A16BDD"/>
    <w:rsid w:val="00A20EA5"/>
    <w:rsid w:val="00A20FCF"/>
    <w:rsid w:val="00A31888"/>
    <w:rsid w:val="00A330CC"/>
    <w:rsid w:val="00A3614A"/>
    <w:rsid w:val="00A477B0"/>
    <w:rsid w:val="00A52DE6"/>
    <w:rsid w:val="00A61FCE"/>
    <w:rsid w:val="00A71B0C"/>
    <w:rsid w:val="00A766D5"/>
    <w:rsid w:val="00A95648"/>
    <w:rsid w:val="00A95C16"/>
    <w:rsid w:val="00AC1623"/>
    <w:rsid w:val="00AC1C91"/>
    <w:rsid w:val="00AC73EC"/>
    <w:rsid w:val="00AC7F8F"/>
    <w:rsid w:val="00AD01C0"/>
    <w:rsid w:val="00AD1B78"/>
    <w:rsid w:val="00AD5673"/>
    <w:rsid w:val="00AF127D"/>
    <w:rsid w:val="00B03D3E"/>
    <w:rsid w:val="00B054FB"/>
    <w:rsid w:val="00B1234C"/>
    <w:rsid w:val="00B13C02"/>
    <w:rsid w:val="00B13F02"/>
    <w:rsid w:val="00B14396"/>
    <w:rsid w:val="00B31854"/>
    <w:rsid w:val="00B34B24"/>
    <w:rsid w:val="00B34B7E"/>
    <w:rsid w:val="00B4040E"/>
    <w:rsid w:val="00B5489A"/>
    <w:rsid w:val="00B6005B"/>
    <w:rsid w:val="00B62386"/>
    <w:rsid w:val="00B63C81"/>
    <w:rsid w:val="00B65E20"/>
    <w:rsid w:val="00B75481"/>
    <w:rsid w:val="00B75A42"/>
    <w:rsid w:val="00B75C69"/>
    <w:rsid w:val="00B80F23"/>
    <w:rsid w:val="00B83FD3"/>
    <w:rsid w:val="00B878CD"/>
    <w:rsid w:val="00B94FD9"/>
    <w:rsid w:val="00BC2D97"/>
    <w:rsid w:val="00BC301B"/>
    <w:rsid w:val="00BC50A9"/>
    <w:rsid w:val="00BC5205"/>
    <w:rsid w:val="00BD0634"/>
    <w:rsid w:val="00BD602E"/>
    <w:rsid w:val="00BD6ACB"/>
    <w:rsid w:val="00BE01C2"/>
    <w:rsid w:val="00BE5B7A"/>
    <w:rsid w:val="00BF2D04"/>
    <w:rsid w:val="00C1381C"/>
    <w:rsid w:val="00C13D13"/>
    <w:rsid w:val="00C17A37"/>
    <w:rsid w:val="00C26A96"/>
    <w:rsid w:val="00C27BD6"/>
    <w:rsid w:val="00C340A8"/>
    <w:rsid w:val="00C3602D"/>
    <w:rsid w:val="00C476E7"/>
    <w:rsid w:val="00C553EB"/>
    <w:rsid w:val="00C61651"/>
    <w:rsid w:val="00C67468"/>
    <w:rsid w:val="00C72868"/>
    <w:rsid w:val="00C91B69"/>
    <w:rsid w:val="00CA3174"/>
    <w:rsid w:val="00CC06D4"/>
    <w:rsid w:val="00CC68F5"/>
    <w:rsid w:val="00CD43AA"/>
    <w:rsid w:val="00CD45A7"/>
    <w:rsid w:val="00CD4DB5"/>
    <w:rsid w:val="00CD5ED4"/>
    <w:rsid w:val="00CE1736"/>
    <w:rsid w:val="00CE5E17"/>
    <w:rsid w:val="00CE6A05"/>
    <w:rsid w:val="00CE7DE4"/>
    <w:rsid w:val="00CF6174"/>
    <w:rsid w:val="00D06E16"/>
    <w:rsid w:val="00D1216F"/>
    <w:rsid w:val="00D13AE5"/>
    <w:rsid w:val="00D15E3A"/>
    <w:rsid w:val="00D26CA4"/>
    <w:rsid w:val="00D41D8C"/>
    <w:rsid w:val="00D42CEB"/>
    <w:rsid w:val="00D802B1"/>
    <w:rsid w:val="00DA285A"/>
    <w:rsid w:val="00DA3700"/>
    <w:rsid w:val="00DC6D7C"/>
    <w:rsid w:val="00DC78EA"/>
    <w:rsid w:val="00DD17C1"/>
    <w:rsid w:val="00DD2218"/>
    <w:rsid w:val="00DD3B08"/>
    <w:rsid w:val="00DD473C"/>
    <w:rsid w:val="00DD7BA3"/>
    <w:rsid w:val="00DE388E"/>
    <w:rsid w:val="00DE3E49"/>
    <w:rsid w:val="00DE7A8F"/>
    <w:rsid w:val="00E040E4"/>
    <w:rsid w:val="00E0607A"/>
    <w:rsid w:val="00E12312"/>
    <w:rsid w:val="00E154BA"/>
    <w:rsid w:val="00E20E6D"/>
    <w:rsid w:val="00E30C44"/>
    <w:rsid w:val="00E343AB"/>
    <w:rsid w:val="00E351A2"/>
    <w:rsid w:val="00E351E9"/>
    <w:rsid w:val="00E50194"/>
    <w:rsid w:val="00E56A5F"/>
    <w:rsid w:val="00E57C38"/>
    <w:rsid w:val="00E60784"/>
    <w:rsid w:val="00E745F3"/>
    <w:rsid w:val="00E8076D"/>
    <w:rsid w:val="00E900FD"/>
    <w:rsid w:val="00E94EF4"/>
    <w:rsid w:val="00E97F8A"/>
    <w:rsid w:val="00EA1278"/>
    <w:rsid w:val="00EA7C17"/>
    <w:rsid w:val="00EB2F8C"/>
    <w:rsid w:val="00EB46AF"/>
    <w:rsid w:val="00EC6104"/>
    <w:rsid w:val="00ED10B8"/>
    <w:rsid w:val="00ED6F78"/>
    <w:rsid w:val="00F00E67"/>
    <w:rsid w:val="00F066B9"/>
    <w:rsid w:val="00F07122"/>
    <w:rsid w:val="00F11084"/>
    <w:rsid w:val="00F129A4"/>
    <w:rsid w:val="00F13E7F"/>
    <w:rsid w:val="00F14A12"/>
    <w:rsid w:val="00F32F75"/>
    <w:rsid w:val="00F4021A"/>
    <w:rsid w:val="00F40A21"/>
    <w:rsid w:val="00F44035"/>
    <w:rsid w:val="00F475E9"/>
    <w:rsid w:val="00F47B9D"/>
    <w:rsid w:val="00F50377"/>
    <w:rsid w:val="00F5408E"/>
    <w:rsid w:val="00F5567A"/>
    <w:rsid w:val="00F60A07"/>
    <w:rsid w:val="00F60C8F"/>
    <w:rsid w:val="00F60DB5"/>
    <w:rsid w:val="00F61404"/>
    <w:rsid w:val="00F66147"/>
    <w:rsid w:val="00F73FD7"/>
    <w:rsid w:val="00F865CB"/>
    <w:rsid w:val="00F943DF"/>
    <w:rsid w:val="00FA22B4"/>
    <w:rsid w:val="00FC0902"/>
    <w:rsid w:val="00FC0A1A"/>
    <w:rsid w:val="00FC27E5"/>
    <w:rsid w:val="00FC5DCF"/>
    <w:rsid w:val="00FF0954"/>
    <w:rsid w:val="00FF2B39"/>
    <w:rsid w:val="00FF5C6B"/>
    <w:rsid w:val="00FF6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45991"/>
  <w15:chartTrackingRefBased/>
  <w15:docId w15:val="{EA66DC40-D1A4-41C6-AD7E-C89B22C83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784"/>
    <w:pPr>
      <w:spacing w:after="0" w:line="240" w:lineRule="auto"/>
    </w:pPr>
    <w:rPr>
      <w:rFonts w:ascii="Times New Roman" w:eastAsia="Times New Roman" w:hAnsi="Times New Roman" w:cs="Times New Roman"/>
      <w:sz w:val="24"/>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jtip">
    <w:name w:val="tajtip"/>
    <w:basedOn w:val="Normal"/>
    <w:rsid w:val="009E2079"/>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9B23D1"/>
    <w:rPr>
      <w:sz w:val="16"/>
      <w:szCs w:val="16"/>
    </w:rPr>
  </w:style>
  <w:style w:type="paragraph" w:styleId="CommentText">
    <w:name w:val="annotation text"/>
    <w:basedOn w:val="Normal"/>
    <w:link w:val="CommentTextChar"/>
    <w:uiPriority w:val="99"/>
    <w:unhideWhenUsed/>
    <w:rsid w:val="009B23D1"/>
    <w:pPr>
      <w:spacing w:after="160"/>
    </w:pPr>
    <w:rPr>
      <w:rFonts w:ascii="Calibri" w:eastAsia="Calibri" w:hAnsi="Calibri"/>
      <w:sz w:val="20"/>
      <w:lang w:eastAsia="en-US"/>
    </w:rPr>
  </w:style>
  <w:style w:type="character" w:customStyle="1" w:styleId="CommentTextChar">
    <w:name w:val="Comment Text Char"/>
    <w:basedOn w:val="DefaultParagraphFont"/>
    <w:link w:val="CommentText"/>
    <w:uiPriority w:val="99"/>
    <w:rsid w:val="009B23D1"/>
    <w:rPr>
      <w:rFonts w:ascii="Calibri" w:eastAsia="Calibri" w:hAnsi="Calibri" w:cs="Times New Roman"/>
      <w:sz w:val="20"/>
      <w:szCs w:val="20"/>
    </w:rPr>
  </w:style>
  <w:style w:type="character" w:styleId="Hyperlink">
    <w:name w:val="Hyperlink"/>
    <w:basedOn w:val="DefaultParagraphFont"/>
    <w:uiPriority w:val="99"/>
    <w:unhideWhenUsed/>
    <w:rsid w:val="00D41D8C"/>
    <w:rPr>
      <w:color w:val="0563C1"/>
      <w:u w:val="single"/>
    </w:rPr>
  </w:style>
  <w:style w:type="character" w:styleId="FollowedHyperlink">
    <w:name w:val="FollowedHyperlink"/>
    <w:basedOn w:val="DefaultParagraphFont"/>
    <w:uiPriority w:val="99"/>
    <w:semiHidden/>
    <w:unhideWhenUsed/>
    <w:rsid w:val="00121721"/>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7B37FA"/>
    <w:pPr>
      <w:spacing w:after="0"/>
    </w:pPr>
    <w:rPr>
      <w:rFonts w:ascii="Times New Roman" w:eastAsia="Times New Roman" w:hAnsi="Times New Roman"/>
      <w:b/>
      <w:bCs/>
      <w:lang w:eastAsia="lt-LT"/>
    </w:rPr>
  </w:style>
  <w:style w:type="character" w:customStyle="1" w:styleId="CommentSubjectChar">
    <w:name w:val="Comment Subject Char"/>
    <w:basedOn w:val="CommentTextChar"/>
    <w:link w:val="CommentSubject"/>
    <w:uiPriority w:val="99"/>
    <w:semiHidden/>
    <w:rsid w:val="007B37FA"/>
    <w:rPr>
      <w:rFonts w:ascii="Times New Roman" w:eastAsia="Times New Roman" w:hAnsi="Times New Roman" w:cs="Times New Roman"/>
      <w:b/>
      <w:bCs/>
      <w:sz w:val="20"/>
      <w:szCs w:val="20"/>
      <w:lang w:eastAsia="lt-LT"/>
    </w:rPr>
  </w:style>
  <w:style w:type="paragraph" w:customStyle="1" w:styleId="pf0">
    <w:name w:val="pf0"/>
    <w:basedOn w:val="Normal"/>
    <w:rsid w:val="00EB46AF"/>
    <w:pPr>
      <w:spacing w:before="100" w:beforeAutospacing="1" w:after="100" w:afterAutospacing="1"/>
    </w:pPr>
    <w:rPr>
      <w:szCs w:val="24"/>
    </w:rPr>
  </w:style>
  <w:style w:type="character" w:customStyle="1" w:styleId="cf01">
    <w:name w:val="cf01"/>
    <w:basedOn w:val="DefaultParagraphFont"/>
    <w:rsid w:val="00EB46AF"/>
    <w:rPr>
      <w:rFonts w:ascii="Segoe UI" w:hAnsi="Segoe UI" w:cs="Segoe UI" w:hint="default"/>
      <w:sz w:val="18"/>
      <w:szCs w:val="18"/>
    </w:rPr>
  </w:style>
  <w:style w:type="character" w:styleId="UnresolvedMention">
    <w:name w:val="Unresolved Mention"/>
    <w:basedOn w:val="DefaultParagraphFont"/>
    <w:uiPriority w:val="99"/>
    <w:semiHidden/>
    <w:unhideWhenUsed/>
    <w:rsid w:val="002B7D80"/>
    <w:rPr>
      <w:color w:val="605E5C"/>
      <w:shd w:val="clear" w:color="auto" w:fill="E1DFDD"/>
    </w:rPr>
  </w:style>
  <w:style w:type="paragraph" w:styleId="Revision">
    <w:name w:val="Revision"/>
    <w:hidden/>
    <w:uiPriority w:val="99"/>
    <w:semiHidden/>
    <w:rsid w:val="00663586"/>
    <w:pPr>
      <w:spacing w:after="0" w:line="240" w:lineRule="auto"/>
    </w:pPr>
    <w:rPr>
      <w:rFonts w:ascii="Times New Roman" w:eastAsia="Times New Roman" w:hAnsi="Times New Roman" w:cs="Times New Roman"/>
      <w:sz w:val="24"/>
      <w:szCs w:val="20"/>
      <w:lang w:eastAsia="lt-LT"/>
    </w:rPr>
  </w:style>
  <w:style w:type="paragraph" w:styleId="Header">
    <w:name w:val="header"/>
    <w:basedOn w:val="Normal"/>
    <w:link w:val="HeaderChar"/>
    <w:uiPriority w:val="99"/>
    <w:unhideWhenUsed/>
    <w:rsid w:val="00CE6A05"/>
    <w:pPr>
      <w:tabs>
        <w:tab w:val="center" w:pos="4513"/>
        <w:tab w:val="right" w:pos="9026"/>
      </w:tabs>
    </w:pPr>
  </w:style>
  <w:style w:type="character" w:customStyle="1" w:styleId="HeaderChar">
    <w:name w:val="Header Char"/>
    <w:basedOn w:val="DefaultParagraphFont"/>
    <w:link w:val="Header"/>
    <w:uiPriority w:val="99"/>
    <w:rsid w:val="00CE6A05"/>
    <w:rPr>
      <w:rFonts w:ascii="Times New Roman" w:eastAsia="Times New Roman" w:hAnsi="Times New Roman" w:cs="Times New Roman"/>
      <w:sz w:val="24"/>
      <w:szCs w:val="20"/>
      <w:lang w:eastAsia="lt-LT"/>
    </w:rPr>
  </w:style>
  <w:style w:type="paragraph" w:styleId="Footer">
    <w:name w:val="footer"/>
    <w:basedOn w:val="Normal"/>
    <w:link w:val="FooterChar"/>
    <w:uiPriority w:val="99"/>
    <w:unhideWhenUsed/>
    <w:rsid w:val="00CE6A05"/>
    <w:pPr>
      <w:tabs>
        <w:tab w:val="center" w:pos="4513"/>
        <w:tab w:val="right" w:pos="9026"/>
      </w:tabs>
    </w:pPr>
  </w:style>
  <w:style w:type="character" w:customStyle="1" w:styleId="FooterChar">
    <w:name w:val="Footer Char"/>
    <w:basedOn w:val="DefaultParagraphFont"/>
    <w:link w:val="Footer"/>
    <w:uiPriority w:val="99"/>
    <w:rsid w:val="00CE6A05"/>
    <w:rPr>
      <w:rFonts w:ascii="Times New Roman" w:eastAsia="Times New Roman" w:hAnsi="Times New Roman" w:cs="Times New Roman"/>
      <w:sz w:val="24"/>
      <w:szCs w:val="20"/>
      <w:lang w:eastAsia="lt-LT"/>
    </w:rPr>
  </w:style>
  <w:style w:type="paragraph" w:styleId="ListParagraph">
    <w:name w:val="List Paragraph"/>
    <w:basedOn w:val="Normal"/>
    <w:uiPriority w:val="34"/>
    <w:qFormat/>
    <w:rsid w:val="00C26A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8951393">
      <w:bodyDiv w:val="1"/>
      <w:marLeft w:val="0"/>
      <w:marRight w:val="0"/>
      <w:marTop w:val="0"/>
      <w:marBottom w:val="0"/>
      <w:divBdr>
        <w:top w:val="none" w:sz="0" w:space="0" w:color="auto"/>
        <w:left w:val="none" w:sz="0" w:space="0" w:color="auto"/>
        <w:bottom w:val="none" w:sz="0" w:space="0" w:color="auto"/>
        <w:right w:val="none" w:sz="0" w:space="0" w:color="auto"/>
      </w:divBdr>
    </w:div>
    <w:div w:id="956644180">
      <w:bodyDiv w:val="1"/>
      <w:marLeft w:val="0"/>
      <w:marRight w:val="0"/>
      <w:marTop w:val="0"/>
      <w:marBottom w:val="0"/>
      <w:divBdr>
        <w:top w:val="none" w:sz="0" w:space="0" w:color="auto"/>
        <w:left w:val="none" w:sz="0" w:space="0" w:color="auto"/>
        <w:bottom w:val="none" w:sz="0" w:space="0" w:color="auto"/>
        <w:right w:val="none" w:sz="0" w:space="0" w:color="auto"/>
      </w:divBdr>
    </w:div>
    <w:div w:id="1601982739">
      <w:bodyDiv w:val="1"/>
      <w:marLeft w:val="0"/>
      <w:marRight w:val="0"/>
      <w:marTop w:val="0"/>
      <w:marBottom w:val="0"/>
      <w:divBdr>
        <w:top w:val="none" w:sz="0" w:space="0" w:color="auto"/>
        <w:left w:val="none" w:sz="0" w:space="0" w:color="auto"/>
        <w:bottom w:val="none" w:sz="0" w:space="0" w:color="auto"/>
        <w:right w:val="none" w:sz="0" w:space="0" w:color="auto"/>
      </w:divBdr>
    </w:div>
    <w:div w:id="1612978918">
      <w:bodyDiv w:val="1"/>
      <w:marLeft w:val="0"/>
      <w:marRight w:val="0"/>
      <w:marTop w:val="0"/>
      <w:marBottom w:val="0"/>
      <w:divBdr>
        <w:top w:val="none" w:sz="0" w:space="0" w:color="auto"/>
        <w:left w:val="none" w:sz="0" w:space="0" w:color="auto"/>
        <w:bottom w:val="none" w:sz="0" w:space="0" w:color="auto"/>
        <w:right w:val="none" w:sz="0" w:space="0" w:color="auto"/>
      </w:divBdr>
    </w:div>
    <w:div w:id="1692298011">
      <w:bodyDiv w:val="1"/>
      <w:marLeft w:val="0"/>
      <w:marRight w:val="0"/>
      <w:marTop w:val="0"/>
      <w:marBottom w:val="0"/>
      <w:divBdr>
        <w:top w:val="none" w:sz="0" w:space="0" w:color="auto"/>
        <w:left w:val="none" w:sz="0" w:space="0" w:color="auto"/>
        <w:bottom w:val="none" w:sz="0" w:space="0" w:color="auto"/>
        <w:right w:val="none" w:sz="0" w:space="0" w:color="auto"/>
      </w:divBdr>
    </w:div>
    <w:div w:id="1773158609">
      <w:bodyDiv w:val="1"/>
      <w:marLeft w:val="0"/>
      <w:marRight w:val="0"/>
      <w:marTop w:val="0"/>
      <w:marBottom w:val="0"/>
      <w:divBdr>
        <w:top w:val="none" w:sz="0" w:space="0" w:color="auto"/>
        <w:left w:val="none" w:sz="0" w:space="0" w:color="auto"/>
        <w:bottom w:val="none" w:sz="0" w:space="0" w:color="auto"/>
        <w:right w:val="none" w:sz="0" w:space="0" w:color="auto"/>
      </w:divBdr>
    </w:div>
    <w:div w:id="1787189649">
      <w:bodyDiv w:val="1"/>
      <w:marLeft w:val="0"/>
      <w:marRight w:val="0"/>
      <w:marTop w:val="0"/>
      <w:marBottom w:val="0"/>
      <w:divBdr>
        <w:top w:val="none" w:sz="0" w:space="0" w:color="auto"/>
        <w:left w:val="none" w:sz="0" w:space="0" w:color="auto"/>
        <w:bottom w:val="none" w:sz="0" w:space="0" w:color="auto"/>
        <w:right w:val="none" w:sz="0" w:space="0" w:color="auto"/>
      </w:divBdr>
    </w:div>
    <w:div w:id="1845853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seimas.lrs.lt/portal/legalAct/lt/TAP/5669dfb0bc6511eb91e294a1358e77e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2569</Words>
  <Characters>14649</Characters>
  <Application>Microsoft Office Word</Application>
  <DocSecurity>4</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 Grebliunaite</dc:creator>
  <cp:keywords/>
  <dc:description/>
  <cp:lastModifiedBy>Ausra Grebliunaite</cp:lastModifiedBy>
  <cp:revision>77</cp:revision>
  <dcterms:created xsi:type="dcterms:W3CDTF">2021-05-31T06:16:00Z</dcterms:created>
  <dcterms:modified xsi:type="dcterms:W3CDTF">2021-06-01T19:46:00Z</dcterms:modified>
</cp:coreProperties>
</file>