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4635"/>
        <w:gridCol w:w="16"/>
      </w:tblGrid>
      <w:tr w:rsidR="00033F22" w14:paraId="16A8DF23" w14:textId="77777777" w:rsidTr="0066534A">
        <w:trPr>
          <w:cantSplit/>
          <w:trHeight w:val="340"/>
        </w:trPr>
        <w:tc>
          <w:tcPr>
            <w:tcW w:w="4651" w:type="dxa"/>
            <w:gridSpan w:val="2"/>
          </w:tcPr>
          <w:p w14:paraId="7CC11754" w14:textId="32A866F8" w:rsidR="00033F22" w:rsidRDefault="00671FA9" w:rsidP="0066534A">
            <w:pPr>
              <w:framePr w:hSpace="180" w:wrap="around" w:vAnchor="text" w:hAnchor="page" w:x="6466" w:y="28"/>
              <w:ind w:right="24"/>
            </w:pPr>
            <w:r>
              <w:t xml:space="preserve">  </w:t>
            </w:r>
            <w:r w:rsidR="00033F22">
              <w:t>20</w:t>
            </w:r>
            <w:r w:rsidR="00BF4628">
              <w:t>21</w:t>
            </w:r>
            <w:r w:rsidR="00033F22">
              <w:t>-</w:t>
            </w:r>
            <w:r w:rsidR="0066534A">
              <w:t xml:space="preserve">04-     </w:t>
            </w:r>
            <w:r w:rsidR="00033F22">
              <w:t xml:space="preserve">Nr. </w:t>
            </w:r>
          </w:p>
        </w:tc>
      </w:tr>
      <w:tr w:rsidR="00033F22" w14:paraId="77037953" w14:textId="77777777" w:rsidTr="0066534A">
        <w:trPr>
          <w:gridAfter w:val="1"/>
          <w:wAfter w:w="16" w:type="dxa"/>
          <w:cantSplit/>
          <w:trHeight w:val="340"/>
        </w:trPr>
        <w:tc>
          <w:tcPr>
            <w:tcW w:w="4635" w:type="dxa"/>
          </w:tcPr>
          <w:p w14:paraId="0E540E1D" w14:textId="50FC4D20" w:rsidR="0066534A" w:rsidRPr="0066534A" w:rsidRDefault="00BF4628" w:rsidP="0066534A">
            <w:pPr>
              <w:framePr w:hSpace="180" w:wrap="around" w:vAnchor="text" w:hAnchor="page" w:x="6466" w:y="28"/>
              <w:suppressAutoHyphens w:val="0"/>
              <w:rPr>
                <w:lang w:eastAsia="en-GB"/>
              </w:rPr>
            </w:pPr>
            <w:r>
              <w:t>Į 2021</w:t>
            </w:r>
            <w:r w:rsidR="00E75D83">
              <w:t>-</w:t>
            </w:r>
            <w:r w:rsidR="0066534A">
              <w:t>04-16</w:t>
            </w:r>
            <w:r w:rsidR="00E75D83">
              <w:t xml:space="preserve"> </w:t>
            </w:r>
            <w:r w:rsidR="00E75D83" w:rsidRPr="0066534A">
              <w:t>Nr.</w:t>
            </w:r>
            <w:r w:rsidR="0066534A" w:rsidRPr="0066534A">
              <w:rPr>
                <w:color w:val="000000"/>
                <w:shd w:val="clear" w:color="auto" w:fill="FFFFFF"/>
              </w:rPr>
              <w:t xml:space="preserve"> (15.50Mr-03)-6K-2102519</w:t>
            </w:r>
          </w:p>
          <w:p w14:paraId="678511A9" w14:textId="49AE3079" w:rsidR="00033F22" w:rsidRDefault="00033F22" w:rsidP="0066534A">
            <w:pPr>
              <w:framePr w:hSpace="180" w:wrap="around" w:vAnchor="text" w:hAnchor="page" w:x="6466" w:y="28"/>
              <w:ind w:right="24"/>
            </w:pPr>
          </w:p>
        </w:tc>
      </w:tr>
    </w:tbl>
    <w:p w14:paraId="5B526BCC" w14:textId="096AE306" w:rsidR="00E75D83" w:rsidRDefault="0066534A" w:rsidP="00E75D83">
      <w:pPr>
        <w:pStyle w:val="Adresas"/>
      </w:pPr>
      <w:r>
        <w:t>Lietuvos Respublikos finansų ministerijai</w:t>
      </w:r>
    </w:p>
    <w:p w14:paraId="03FE5AB0" w14:textId="77777777" w:rsidR="00E75D83" w:rsidRDefault="00E75D83" w:rsidP="00E75D83">
      <w:pPr>
        <w:pStyle w:val="Adresas"/>
      </w:pPr>
    </w:p>
    <w:p w14:paraId="4FE9C2CA" w14:textId="77777777" w:rsidR="00E75D83" w:rsidRDefault="00E75D83" w:rsidP="00E75D83">
      <w:pPr>
        <w:pStyle w:val="Adresas"/>
      </w:pPr>
    </w:p>
    <w:p w14:paraId="55E2A9B4" w14:textId="77777777" w:rsidR="00E75D83" w:rsidRPr="00CA1F17" w:rsidRDefault="00E75D83" w:rsidP="00E75D83">
      <w:pPr>
        <w:pStyle w:val="Adresas"/>
      </w:pPr>
    </w:p>
    <w:p w14:paraId="739554ED" w14:textId="77777777" w:rsidR="00E75D83" w:rsidRPr="00CA1F17" w:rsidRDefault="00E75D83" w:rsidP="00E75D83">
      <w:pPr>
        <w:pStyle w:val="Kopija"/>
        <w:ind w:right="279"/>
      </w:pPr>
      <w:r w:rsidRPr="00CA1F17">
        <w:t xml:space="preserve"> </w:t>
      </w:r>
    </w:p>
    <w:p w14:paraId="005C100F" w14:textId="51685202" w:rsidR="0066534A" w:rsidRPr="0066534A" w:rsidRDefault="0066534A" w:rsidP="0066534A">
      <w:pPr>
        <w:suppressAutoHyphens w:val="0"/>
        <w:jc w:val="both"/>
        <w:rPr>
          <w:b/>
          <w:bCs/>
          <w:lang w:eastAsia="en-GB"/>
        </w:rPr>
      </w:pPr>
      <w:r>
        <w:rPr>
          <w:b/>
          <w:bCs/>
          <w:color w:val="000000"/>
          <w:lang w:eastAsia="en-GB"/>
        </w:rPr>
        <w:t xml:space="preserve">DĖL </w:t>
      </w:r>
      <w:r w:rsidRPr="0066534A">
        <w:rPr>
          <w:b/>
          <w:bCs/>
          <w:color w:val="000000"/>
          <w:lang w:eastAsia="en-GB"/>
        </w:rPr>
        <w:t>LIETUVOS RESPUBLIKOS VYRIAUSYBĖS NUTARIMO „DĖL LIETUVOS RESPUBLIKOS VYRIAUSYBĖS 2018 M. VASARIO 7 D. NUTARIMO NR. 126 „DĖL BUHALTERINĖS APSKAITOS TVARKYMO IR PERSONALO ADMINISTRAVIMO FUNKCIJŲ ATLIKIMO CENTRALIZUOTAI“ PAKEITIMO“ PROJEKT</w:t>
      </w:r>
      <w:r>
        <w:rPr>
          <w:b/>
          <w:bCs/>
          <w:color w:val="000000"/>
          <w:lang w:eastAsia="en-GB"/>
        </w:rPr>
        <w:t>O</w:t>
      </w:r>
    </w:p>
    <w:p w14:paraId="56DEAE65" w14:textId="77777777" w:rsidR="00E75D83" w:rsidRPr="0066534A" w:rsidRDefault="00E75D83" w:rsidP="00E75D83"/>
    <w:p w14:paraId="37D54A49" w14:textId="77777777" w:rsidR="00E75D83" w:rsidRDefault="00E75D83" w:rsidP="00E75D83">
      <w:pPr>
        <w:ind w:firstLine="1276"/>
        <w:jc w:val="both"/>
      </w:pPr>
    </w:p>
    <w:p w14:paraId="0C585E06" w14:textId="77777777" w:rsidR="00B4282B" w:rsidRDefault="0066534A" w:rsidP="00B4282B">
      <w:pPr>
        <w:ind w:firstLine="1276"/>
        <w:jc w:val="both"/>
        <w:rPr>
          <w:color w:val="000000"/>
          <w:lang w:eastAsia="en-GB"/>
        </w:rPr>
      </w:pPr>
      <w:r>
        <w:t xml:space="preserve">Lietuvos Respublikos teisingumo ministerija gavo išvadai gauti pateiktą </w:t>
      </w:r>
      <w:hyperlink r:id="rId8" w:history="1">
        <w:r w:rsidRPr="0066534A">
          <w:rPr>
            <w:rStyle w:val="Hyperlink"/>
            <w:lang w:eastAsia="en-GB"/>
          </w:rPr>
          <w:t>Lietuvos Respublikos Vyriausybės nutarimo „Dėl Lietuvos Respublikos Vyriausybės 2018 m. vasario 7 d. nutarimo Nr. 126 „Dėl buhalterinės apskaitos tvarkymo ir personalo administravimo funkcijų atlikimo centralizuotai“ pakeitimo“ projektą</w:t>
        </w:r>
      </w:hyperlink>
      <w:r w:rsidRPr="0066534A">
        <w:rPr>
          <w:color w:val="000000"/>
          <w:lang w:eastAsia="en-GB"/>
        </w:rPr>
        <w:t xml:space="preserve"> (toliau – Projektas).</w:t>
      </w:r>
      <w:r>
        <w:rPr>
          <w:color w:val="000000"/>
          <w:lang w:eastAsia="en-GB"/>
        </w:rPr>
        <w:t xml:space="preserve"> Pagal kompetenciją įvertinę Projektą teikiame pastabas ir pasiūlymus:</w:t>
      </w:r>
    </w:p>
    <w:p w14:paraId="4B6C359B" w14:textId="6D79928B" w:rsidR="00307F4F" w:rsidRPr="00FB5F57" w:rsidRDefault="000A0617" w:rsidP="00307F4F">
      <w:pPr>
        <w:pStyle w:val="ListParagraph"/>
        <w:numPr>
          <w:ilvl w:val="0"/>
          <w:numId w:val="13"/>
        </w:numPr>
        <w:ind w:left="0" w:firstLine="1134"/>
        <w:jc w:val="both"/>
        <w:rPr>
          <w:color w:val="000000"/>
          <w:lang w:eastAsia="en-GB"/>
        </w:rPr>
      </w:pPr>
      <w:r w:rsidRPr="000A0617">
        <w:t xml:space="preserve"> </w:t>
      </w:r>
      <w:r>
        <w:t>Siūlytina pagrįsti</w:t>
      </w:r>
      <w:r w:rsidR="00B4282B">
        <w:t xml:space="preserve">, kodėl siūloma nukelti ir </w:t>
      </w:r>
      <w:r w:rsidR="00B4282B" w:rsidRPr="0027777C">
        <w:rPr>
          <w:i/>
          <w:iCs/>
        </w:rPr>
        <w:t>nuo 2022 m. kovo 1 d.</w:t>
      </w:r>
      <w:r w:rsidR="00B4282B">
        <w:t xml:space="preserve"> konsoliduojamų funkcijų centralizavimą </w:t>
      </w:r>
      <w:r w:rsidR="00AD3CBA">
        <w:t>(</w:t>
      </w:r>
      <w:r w:rsidR="00B4282B">
        <w:t xml:space="preserve">Atitinkamo ministro valdymo sritims priskirtų įstaigų prie ministerijos, kitų biudžetinių įstaigų, kurių savininko teises ir pareigas įgyvendina Lietuvos Respublikos Vyriausybė arba jos įgaliota institucija, kurių personalo administravimo funkcijos atliekamos centralizuotai, </w:t>
      </w:r>
      <w:proofErr w:type="spellStart"/>
      <w:r w:rsidR="00B4282B">
        <w:t>sąraš</w:t>
      </w:r>
      <w:r w:rsidR="00AD3CBA">
        <w:t>o</w:t>
      </w:r>
      <w:proofErr w:type="spellEnd"/>
      <w:r w:rsidR="00AD3CBA">
        <w:t xml:space="preserve"> VIII skyrius).</w:t>
      </w:r>
      <w:r w:rsidR="00FB5F57">
        <w:t xml:space="preserve"> </w:t>
      </w:r>
      <w:r>
        <w:t>Iš projektą lydinčios medžiagos lieka neaišku</w:t>
      </w:r>
      <w:r w:rsidR="00AD3CBA">
        <w:t>, kodėl per ateinančius metus būtų neįmanoma įgyvendinti galiojančio reikalavimo konsoliduoti nurodytų įstaigų personalo administravimo funkcijų</w:t>
      </w:r>
      <w:r w:rsidR="00E91321">
        <w:t xml:space="preserve"> ir kodėl reikalingas šių funkcijų centralizavimo atidėjimas. </w:t>
      </w:r>
    </w:p>
    <w:p w14:paraId="41F0C30F" w14:textId="6983F882" w:rsidR="005F1CC5" w:rsidRPr="00307F4F" w:rsidRDefault="00C5690B">
      <w:pPr>
        <w:pStyle w:val="ListParagraph"/>
        <w:numPr>
          <w:ilvl w:val="0"/>
          <w:numId w:val="13"/>
        </w:numPr>
        <w:ind w:left="0" w:firstLine="1134"/>
        <w:jc w:val="both"/>
        <w:rPr>
          <w:lang w:eastAsia="en-GB"/>
        </w:rPr>
      </w:pPr>
      <w:r w:rsidRPr="00FB5F57">
        <w:rPr>
          <w:color w:val="000000"/>
          <w:lang w:eastAsia="en-GB"/>
        </w:rPr>
        <w:t xml:space="preserve">Projekto teikime nurodoma, kad „personalo administravimo ir buhalterinės apskaitos tvarkymo funkcijų centralizavimą minimose valstybės biudžetinėse įstaigose siūloma atidėti, nes </w:t>
      </w:r>
      <w:r w:rsidRPr="00FB5F57">
        <w:rPr>
          <w:i/>
          <w:iCs/>
          <w:color w:val="000000"/>
          <w:lang w:eastAsia="en-GB"/>
        </w:rPr>
        <w:t>dabar kuriamos bendra informacinė sistema valstybės įstaigų personalui administruoti ir bendra informacinė sistema valstybės įstaigų buhalterinei apskaitai tvarkyti</w:t>
      </w:r>
      <w:r w:rsidRPr="00FB5F57">
        <w:rPr>
          <w:color w:val="000000"/>
          <w:lang w:eastAsia="en-GB"/>
        </w:rPr>
        <w:t xml:space="preserve">, taip pat lyginama įstaigų geroji patirtis šiose srityse ir optimizuojami procesai. Tik išgryninus procesus ir pradėjus veikti informacinėms sistemoms atsiras tvirtas pagrindas įstaigoms gauti </w:t>
      </w:r>
      <w:r w:rsidRPr="00FB5F57">
        <w:rPr>
          <w:i/>
          <w:iCs/>
          <w:color w:val="000000"/>
          <w:lang w:eastAsia="en-GB"/>
        </w:rPr>
        <w:t>kokybiškas centralizuotai teikiamas personalo administravimo ir buhalterinės apskaitos tvarkymo paslaugas</w:t>
      </w:r>
      <w:r w:rsidRPr="00FB5F57">
        <w:rPr>
          <w:color w:val="000000"/>
          <w:lang w:eastAsia="en-GB"/>
        </w:rPr>
        <w:t xml:space="preserve">, o valstybei </w:t>
      </w:r>
      <w:r w:rsidRPr="00FB5F57">
        <w:rPr>
          <w:i/>
          <w:iCs/>
          <w:color w:val="000000"/>
          <w:lang w:eastAsia="en-GB"/>
        </w:rPr>
        <w:t>taupyti biudžeto lėšas</w:t>
      </w:r>
      <w:r w:rsidRPr="00FB5F57">
        <w:rPr>
          <w:color w:val="000000"/>
          <w:lang w:eastAsia="en-GB"/>
        </w:rPr>
        <w:t xml:space="preserve">“. </w:t>
      </w:r>
      <w:r w:rsidR="00993E29" w:rsidRPr="00FB5F57">
        <w:rPr>
          <w:color w:val="000000"/>
          <w:lang w:eastAsia="en-GB"/>
        </w:rPr>
        <w:t xml:space="preserve">Keičiamu nutarimu jau yra pavesta </w:t>
      </w:r>
      <w:r w:rsidR="002A66E4" w:rsidRPr="00FB5F57">
        <w:rPr>
          <w:color w:val="000000"/>
          <w:shd w:val="clear" w:color="auto" w:fill="FFFFFF"/>
          <w:lang w:eastAsia="en-GB"/>
        </w:rPr>
        <w:t>Nacionaliniam bendrųjų funkcijų centrui (toliau – Centras) centralizuotai atlikti patvirtintuose sąrašuose nurodytų valstybės biudžetinių įstaigų buhalterinės apskaitos tvarkymo ir (arba) personalo administravimo funkcijas. Dalis institucijų ir įstaigų jau yra perdavusios personalo bei buhalterijos funkcijas vykdyti Centrui ir sistema yra veikianti.</w:t>
      </w:r>
      <w:r w:rsidR="00993E29" w:rsidRPr="00FB5F57">
        <w:rPr>
          <w:color w:val="000000"/>
          <w:shd w:val="clear" w:color="auto" w:fill="FFFFFF"/>
          <w:lang w:eastAsia="en-GB"/>
        </w:rPr>
        <w:t xml:space="preserve"> Pažymėtina, kad siekis gauti </w:t>
      </w:r>
      <w:r w:rsidR="00993E29" w:rsidRPr="00FB5F57">
        <w:rPr>
          <w:i/>
          <w:iCs/>
          <w:color w:val="000000"/>
          <w:lang w:eastAsia="en-GB"/>
        </w:rPr>
        <w:t>kokybiškas centralizuotai teikiamas personalo administravimo ir buhalterinės apskaitos tvarkymo paslaugas</w:t>
      </w:r>
      <w:r w:rsidR="00993E29" w:rsidRPr="00FB5F57">
        <w:rPr>
          <w:color w:val="000000"/>
          <w:lang w:eastAsia="en-GB"/>
        </w:rPr>
        <w:t xml:space="preserve">, o valstybei </w:t>
      </w:r>
      <w:r w:rsidR="00993E29" w:rsidRPr="00FB5F57">
        <w:rPr>
          <w:i/>
          <w:iCs/>
          <w:color w:val="000000"/>
          <w:lang w:eastAsia="en-GB"/>
        </w:rPr>
        <w:t xml:space="preserve">taupyti biudžeto lėšas </w:t>
      </w:r>
      <w:r w:rsidR="00993E29" w:rsidRPr="00FB5F57">
        <w:rPr>
          <w:color w:val="000000"/>
          <w:lang w:eastAsia="en-GB"/>
        </w:rPr>
        <w:t>buvo įvertintas prieš priimant sprendimą dėl funkcijų centralizavimo, todėl teikime minimi argumentai dėl tikslingumo įvertinimo bei procesų išgryninimo, manytina, yra nebeaktualūs.</w:t>
      </w:r>
      <w:r w:rsidR="00BC2527" w:rsidRPr="00FB5F57">
        <w:rPr>
          <w:color w:val="000000"/>
          <w:lang w:eastAsia="en-GB"/>
        </w:rPr>
        <w:t xml:space="preserve"> </w:t>
      </w:r>
      <w:r w:rsidR="00C91B5B" w:rsidRPr="00FB5F57">
        <w:rPr>
          <w:color w:val="000000"/>
          <w:lang w:eastAsia="en-GB"/>
        </w:rPr>
        <w:t xml:space="preserve">Atsižvelgiant į tai, </w:t>
      </w:r>
      <w:r w:rsidR="00D14495" w:rsidRPr="00FB5F57">
        <w:rPr>
          <w:color w:val="000000"/>
          <w:lang w:eastAsia="en-GB"/>
        </w:rPr>
        <w:t xml:space="preserve">kad sistema yra veikianti ir jau dalinai įgyvendinta, </w:t>
      </w:r>
      <w:r w:rsidR="00C91B5B" w:rsidRPr="00FB5F57">
        <w:rPr>
          <w:color w:val="000000"/>
          <w:lang w:eastAsia="en-GB"/>
        </w:rPr>
        <w:t xml:space="preserve">lieka neaiškūs argumentai, kodėl kai kurios įstaigos nespėja </w:t>
      </w:r>
      <w:r w:rsidR="00D14495" w:rsidRPr="00FB5F57">
        <w:rPr>
          <w:color w:val="000000"/>
          <w:lang w:eastAsia="en-GB"/>
        </w:rPr>
        <w:t xml:space="preserve">iki šių metų </w:t>
      </w:r>
      <w:r w:rsidR="00C91B5B" w:rsidRPr="00FB5F57">
        <w:rPr>
          <w:color w:val="000000"/>
          <w:lang w:eastAsia="en-GB"/>
        </w:rPr>
        <w:t>ir net iki 2022 m. kovo 1 d. (žr. 1 pastabą) nespės perduoti funkcijų Centrui</w:t>
      </w:r>
      <w:r w:rsidR="001D1653" w:rsidRPr="00FB5F57">
        <w:rPr>
          <w:color w:val="000000"/>
          <w:lang w:eastAsia="en-GB"/>
        </w:rPr>
        <w:t xml:space="preserve"> ir kodėl siekiama nukelti funkcijų centralizavimą. </w:t>
      </w:r>
      <w:r w:rsidR="00E016E3">
        <w:rPr>
          <w:color w:val="000000"/>
          <w:lang w:eastAsia="en-GB"/>
        </w:rPr>
        <w:t xml:space="preserve">Teikiant pakeitimų </w:t>
      </w:r>
      <w:r w:rsidR="00E016E3">
        <w:rPr>
          <w:color w:val="000000"/>
          <w:lang w:eastAsia="en-GB"/>
        </w:rPr>
        <w:lastRenderedPageBreak/>
        <w:t>poreikį pagrindžiančią informaciją Projektą lydinčioje medžiagoje</w:t>
      </w:r>
      <w:r w:rsidR="00307F4F">
        <w:rPr>
          <w:color w:val="000000"/>
          <w:lang w:eastAsia="en-GB"/>
        </w:rPr>
        <w:t xml:space="preserve"> </w:t>
      </w:r>
      <w:r w:rsidR="00E016E3">
        <w:rPr>
          <w:color w:val="000000"/>
          <w:lang w:eastAsia="en-GB"/>
        </w:rPr>
        <w:t xml:space="preserve">turėtų būti </w:t>
      </w:r>
      <w:r w:rsidR="00307F4F">
        <w:rPr>
          <w:color w:val="000000"/>
          <w:lang w:eastAsia="en-GB"/>
        </w:rPr>
        <w:t>įvertin</w:t>
      </w:r>
      <w:r w:rsidR="00E016E3">
        <w:rPr>
          <w:color w:val="000000"/>
          <w:lang w:eastAsia="en-GB"/>
        </w:rPr>
        <w:t>ama</w:t>
      </w:r>
      <w:r w:rsidR="00307F4F">
        <w:rPr>
          <w:color w:val="000000"/>
          <w:lang w:eastAsia="en-GB"/>
        </w:rPr>
        <w:t xml:space="preserve"> </w:t>
      </w:r>
      <w:r w:rsidR="00244BFA">
        <w:rPr>
          <w:color w:val="000000"/>
          <w:lang w:eastAsia="en-GB"/>
        </w:rPr>
        <w:t>ir pagr</w:t>
      </w:r>
      <w:r w:rsidR="00E016E3">
        <w:rPr>
          <w:color w:val="000000"/>
          <w:lang w:eastAsia="en-GB"/>
        </w:rPr>
        <w:t>indžiama</w:t>
      </w:r>
      <w:r w:rsidR="00244BFA">
        <w:rPr>
          <w:color w:val="000000"/>
          <w:lang w:eastAsia="en-GB"/>
        </w:rPr>
        <w:t xml:space="preserve"> </w:t>
      </w:r>
      <w:r w:rsidR="00307F4F">
        <w:rPr>
          <w:color w:val="000000"/>
          <w:lang w:eastAsia="en-GB"/>
        </w:rPr>
        <w:t>Projekto atitikt</w:t>
      </w:r>
      <w:r w:rsidR="00E016E3">
        <w:rPr>
          <w:color w:val="000000"/>
          <w:lang w:eastAsia="en-GB"/>
        </w:rPr>
        <w:t>is</w:t>
      </w:r>
      <w:r w:rsidR="00307F4F">
        <w:rPr>
          <w:color w:val="000000"/>
          <w:lang w:eastAsia="en-GB"/>
        </w:rPr>
        <w:t xml:space="preserve"> </w:t>
      </w:r>
      <w:r w:rsidR="00307F4F" w:rsidRPr="00FB5F57">
        <w:rPr>
          <w:color w:val="000000"/>
          <w:lang w:eastAsia="en-GB"/>
        </w:rPr>
        <w:t>Lietuvos Respublikos teisėkūros pagrindų įstatymo 3 straipsnio 1 dalies 1, 5 punktuose įtvirtinti</w:t>
      </w:r>
      <w:r w:rsidR="00307F4F">
        <w:rPr>
          <w:color w:val="000000"/>
          <w:lang w:eastAsia="en-GB"/>
        </w:rPr>
        <w:t>ems</w:t>
      </w:r>
      <w:r w:rsidR="00307F4F" w:rsidRPr="00FB5F57">
        <w:rPr>
          <w:color w:val="000000"/>
          <w:lang w:eastAsia="en-GB"/>
        </w:rPr>
        <w:t xml:space="preserve"> teisėkūros </w:t>
      </w:r>
      <w:r w:rsidR="00307F4F" w:rsidRPr="00FB5F57">
        <w:rPr>
          <w:i/>
          <w:iCs/>
          <w:color w:val="000000"/>
          <w:lang w:eastAsia="en-GB"/>
        </w:rPr>
        <w:t>tikslingumo</w:t>
      </w:r>
      <w:r w:rsidR="00307F4F" w:rsidRPr="00FB5F57">
        <w:rPr>
          <w:color w:val="000000"/>
          <w:lang w:eastAsia="en-GB"/>
        </w:rPr>
        <w:t xml:space="preserve"> ir </w:t>
      </w:r>
      <w:r w:rsidR="00307F4F" w:rsidRPr="00FB5F57">
        <w:rPr>
          <w:i/>
          <w:iCs/>
          <w:color w:val="000000"/>
          <w:lang w:eastAsia="en-GB"/>
        </w:rPr>
        <w:t>efektyvumo</w:t>
      </w:r>
      <w:r w:rsidR="00307F4F" w:rsidRPr="00FB5F57">
        <w:rPr>
          <w:color w:val="000000"/>
          <w:lang w:eastAsia="en-GB"/>
        </w:rPr>
        <w:t xml:space="preserve"> principa</w:t>
      </w:r>
      <w:r w:rsidR="00307F4F">
        <w:rPr>
          <w:color w:val="000000"/>
          <w:lang w:eastAsia="en-GB"/>
        </w:rPr>
        <w:t>ms</w:t>
      </w:r>
      <w:r w:rsidR="00307F4F" w:rsidRPr="00FB5F57">
        <w:rPr>
          <w:color w:val="000000"/>
          <w:lang w:eastAsia="en-GB"/>
        </w:rPr>
        <w:t xml:space="preserve">, kurie </w:t>
      </w:r>
      <w:r w:rsidR="00307F4F" w:rsidRPr="00307F4F">
        <w:rPr>
          <w:lang w:eastAsia="en-GB"/>
        </w:rPr>
        <w:t>išreiškia imperatyvius reikalavimus, keliamus teisėkūroje dalyvaujantiems subjektams, siekiant sukurti vientisą, nuoseklią, darnią ir veiksmingą teisės sistemą.</w:t>
      </w:r>
      <w:r w:rsidR="00307F4F">
        <w:rPr>
          <w:lang w:eastAsia="en-GB"/>
        </w:rPr>
        <w:t xml:space="preserve"> </w:t>
      </w:r>
    </w:p>
    <w:p w14:paraId="043F7EAE" w14:textId="1CC80C62" w:rsidR="00ED32ED" w:rsidRPr="00C700E3" w:rsidRDefault="005F1CC5" w:rsidP="00C700E3">
      <w:pPr>
        <w:pStyle w:val="ListParagraph"/>
        <w:numPr>
          <w:ilvl w:val="0"/>
          <w:numId w:val="13"/>
        </w:numPr>
        <w:ind w:left="0" w:firstLine="1134"/>
        <w:jc w:val="both"/>
        <w:rPr>
          <w:color w:val="000000"/>
          <w:lang w:eastAsia="en-GB"/>
        </w:rPr>
      </w:pPr>
      <w:r w:rsidRPr="005F1CC5">
        <w:rPr>
          <w:color w:val="000000"/>
          <w:lang w:eastAsia="en-GB"/>
        </w:rPr>
        <w:t xml:space="preserve">Vadovaujantis Teisės aktų projektų rengimo rekomendacijų, patvirtintų Lietuvos Respublikos teisingumo ministro </w:t>
      </w:r>
      <w:r w:rsidRPr="005F1CC5">
        <w:rPr>
          <w:color w:val="000000"/>
          <w:shd w:val="clear" w:color="auto" w:fill="FFFFFF"/>
          <w:lang w:eastAsia="en-GB"/>
        </w:rPr>
        <w:t xml:space="preserve">2013 m. gruodžio 23 d. įsakymu Nr. 1R-298, 87 punkto 4 pastraipa visas priedas dėstomas nauja redakcija, jei keičiama daugiau kaip pusė priedo. Atsižvelgiant į šią nuostatą, manytina, kad nauja redakcija turėtų būti dėstomas tik antrasis keičiamas priedas </w:t>
      </w:r>
      <w:r w:rsidR="00E91321">
        <w:rPr>
          <w:color w:val="000000"/>
          <w:shd w:val="clear" w:color="auto" w:fill="FFFFFF"/>
          <w:lang w:eastAsia="en-GB"/>
        </w:rPr>
        <w:t>–</w:t>
      </w:r>
      <w:r w:rsidRPr="00ED32ED">
        <w:rPr>
          <w:color w:val="000000"/>
          <w:shd w:val="clear" w:color="auto" w:fill="FFFFFF"/>
          <w:lang w:eastAsia="en-GB"/>
        </w:rPr>
        <w:t xml:space="preserve"> Ministerijų, atitinkamo ministro valdymo sritims priskirtų įstaigų prie ministerijos, kitų ministerijoms atskaitingų biudžetinių įstaigų, kurių buhalterinės apskaitos tvarkymo funkcijos atliekamos centralizuotai, sąrašas.</w:t>
      </w:r>
      <w:r w:rsidR="00ED32ED" w:rsidRPr="00ED32ED">
        <w:rPr>
          <w:color w:val="000000"/>
          <w:shd w:val="clear" w:color="auto" w:fill="FFFFFF"/>
          <w:lang w:eastAsia="en-GB"/>
        </w:rPr>
        <w:t xml:space="preserve"> </w:t>
      </w:r>
      <w:r w:rsidR="00ED32ED" w:rsidRPr="00C700E3">
        <w:rPr>
          <w:color w:val="000000"/>
          <w:shd w:val="clear" w:color="auto" w:fill="FFFFFF"/>
          <w:lang w:eastAsia="en-GB"/>
        </w:rPr>
        <w:t xml:space="preserve">Atitinkamo ministro valdymo sritims priskirtų įstaigų prie ministerijos, kitų biudžetinių įstaigų, kurių savininko teises ir pareigas įgyvendina Lietuvos Respublikos Vyriausybė arba jos įgaliota institucija, kurių personalo administravimo funkcijos atliekamos centralizuotai, sąrašo, manytina, </w:t>
      </w:r>
      <w:r w:rsidR="00ED32ED" w:rsidRPr="00C700E3">
        <w:rPr>
          <w:i/>
          <w:iCs/>
          <w:color w:val="000000"/>
          <w:shd w:val="clear" w:color="auto" w:fill="FFFFFF"/>
          <w:lang w:eastAsia="en-GB"/>
        </w:rPr>
        <w:t>nėra keičiama daugiau nei pusė punktų, todėl pakeitimai turėtų būti atliekami punktus keičiant atskirais</w:t>
      </w:r>
      <w:r w:rsidR="00ED32ED" w:rsidRPr="00C700E3">
        <w:rPr>
          <w:color w:val="000000"/>
          <w:shd w:val="clear" w:color="auto" w:fill="FFFFFF"/>
          <w:lang w:eastAsia="en-GB"/>
        </w:rPr>
        <w:t xml:space="preserve"> Projekto punktais – išbraukiamus pripažinti netekusiais galios, o papildomus žymėti skaičiais su </w:t>
      </w:r>
      <w:proofErr w:type="spellStart"/>
      <w:r w:rsidR="00ED32ED" w:rsidRPr="00C700E3">
        <w:rPr>
          <w:color w:val="000000"/>
          <w:shd w:val="clear" w:color="auto" w:fill="FFFFFF"/>
          <w:lang w:eastAsia="en-GB"/>
        </w:rPr>
        <w:t>novelomis</w:t>
      </w:r>
      <w:proofErr w:type="spellEnd"/>
      <w:r w:rsidR="00ED32ED" w:rsidRPr="00C700E3">
        <w:rPr>
          <w:color w:val="000000"/>
          <w:shd w:val="clear" w:color="auto" w:fill="FFFFFF"/>
          <w:lang w:eastAsia="en-GB"/>
        </w:rPr>
        <w:t xml:space="preserve">. Tokiu būdu atliekant keitimus kitų punktų numeracija nesikeistų. </w:t>
      </w:r>
    </w:p>
    <w:p w14:paraId="06E1F7C8" w14:textId="77777777" w:rsidR="00E75D83" w:rsidRPr="00ED32ED" w:rsidRDefault="00E75D83" w:rsidP="00ED32ED">
      <w:pPr>
        <w:pStyle w:val="ListParagraph"/>
        <w:ind w:left="1134"/>
        <w:jc w:val="both"/>
        <w:rPr>
          <w:color w:val="000000"/>
          <w:lang w:eastAsia="en-GB"/>
        </w:rPr>
      </w:pPr>
    </w:p>
    <w:p w14:paraId="2CDF5781" w14:textId="77777777" w:rsidR="00E75D83" w:rsidRPr="00CA1F17" w:rsidRDefault="00E75D83" w:rsidP="00A61F20">
      <w:pPr>
        <w:jc w:val="both"/>
      </w:pPr>
    </w:p>
    <w:p w14:paraId="30CFF408" w14:textId="77777777" w:rsidR="00492E3E" w:rsidRPr="00CA1F17" w:rsidRDefault="00492E3E" w:rsidP="00492E3E">
      <w:pPr>
        <w:ind w:firstLine="1276"/>
        <w:jc w:val="both"/>
      </w:pPr>
    </w:p>
    <w:p w14:paraId="34D1A176" w14:textId="77777777" w:rsidR="00492E3E" w:rsidRDefault="00492E3E" w:rsidP="00492E3E">
      <w:r w:rsidRPr="00F353AF">
        <w:t>Teisingumo ministr</w:t>
      </w:r>
      <w:r>
        <w:t>ė</w:t>
      </w:r>
      <w:r w:rsidRPr="00F353AF">
        <w:t xml:space="preserve"> </w:t>
      </w:r>
      <w:r w:rsidRPr="00F353AF">
        <w:tab/>
      </w:r>
      <w:r>
        <w:tab/>
      </w:r>
      <w:r>
        <w:tab/>
      </w:r>
      <w:r>
        <w:tab/>
      </w:r>
      <w:r>
        <w:tab/>
      </w:r>
      <w:r>
        <w:tab/>
      </w:r>
      <w:r>
        <w:tab/>
      </w:r>
      <w:r>
        <w:tab/>
        <w:t xml:space="preserve">   Evelina Dobrovolska</w:t>
      </w:r>
    </w:p>
    <w:p w14:paraId="692BFB70" w14:textId="77777777" w:rsidR="00492E3E" w:rsidRDefault="00492E3E" w:rsidP="00492E3E"/>
    <w:p w14:paraId="5759F424" w14:textId="77777777" w:rsidR="00492E3E" w:rsidRDefault="00492E3E" w:rsidP="00492E3E">
      <w:pPr>
        <w:rPr>
          <w:sz w:val="20"/>
        </w:rPr>
      </w:pPr>
    </w:p>
    <w:p w14:paraId="34D6D45B" w14:textId="77777777" w:rsidR="00492E3E" w:rsidRDefault="00492E3E" w:rsidP="00492E3E">
      <w:pPr>
        <w:rPr>
          <w:sz w:val="20"/>
        </w:rPr>
      </w:pPr>
    </w:p>
    <w:p w14:paraId="309D88EB" w14:textId="77777777" w:rsidR="00492E3E" w:rsidRDefault="00492E3E" w:rsidP="00492E3E">
      <w:pPr>
        <w:rPr>
          <w:sz w:val="20"/>
        </w:rPr>
      </w:pPr>
    </w:p>
    <w:p w14:paraId="269A5B64" w14:textId="77777777" w:rsidR="00492E3E" w:rsidRDefault="00492E3E" w:rsidP="00492E3E">
      <w:pPr>
        <w:rPr>
          <w:sz w:val="20"/>
        </w:rPr>
      </w:pPr>
    </w:p>
    <w:p w14:paraId="0AB0D1C4" w14:textId="563B6A55" w:rsidR="00492E3E" w:rsidRDefault="00492E3E" w:rsidP="00492E3E">
      <w:pPr>
        <w:rPr>
          <w:sz w:val="20"/>
        </w:rPr>
      </w:pPr>
    </w:p>
    <w:p w14:paraId="406B3185" w14:textId="6B5791B5" w:rsidR="00A61F20" w:rsidRDefault="00A61F20" w:rsidP="00492E3E">
      <w:pPr>
        <w:rPr>
          <w:sz w:val="20"/>
        </w:rPr>
      </w:pPr>
    </w:p>
    <w:p w14:paraId="197DB728" w14:textId="06E82A50" w:rsidR="00A61F20" w:rsidRDefault="00A61F20" w:rsidP="00492E3E">
      <w:pPr>
        <w:rPr>
          <w:sz w:val="20"/>
        </w:rPr>
      </w:pPr>
    </w:p>
    <w:p w14:paraId="13ABFC0F" w14:textId="47F17961" w:rsidR="00A61F20" w:rsidRDefault="00A61F20" w:rsidP="00492E3E">
      <w:pPr>
        <w:rPr>
          <w:sz w:val="20"/>
        </w:rPr>
      </w:pPr>
    </w:p>
    <w:p w14:paraId="15CA6558" w14:textId="109E920D" w:rsidR="00A61F20" w:rsidRDefault="00A61F20" w:rsidP="00492E3E">
      <w:pPr>
        <w:rPr>
          <w:sz w:val="20"/>
        </w:rPr>
      </w:pPr>
    </w:p>
    <w:p w14:paraId="2E55AF3A" w14:textId="283007E2" w:rsidR="00A61F20" w:rsidRDefault="00A61F20" w:rsidP="00492E3E">
      <w:pPr>
        <w:rPr>
          <w:sz w:val="20"/>
        </w:rPr>
      </w:pPr>
    </w:p>
    <w:p w14:paraId="55AB2B56" w14:textId="22AA71F6" w:rsidR="00A61F20" w:rsidRDefault="00A61F20" w:rsidP="00492E3E">
      <w:pPr>
        <w:rPr>
          <w:sz w:val="20"/>
        </w:rPr>
      </w:pPr>
    </w:p>
    <w:p w14:paraId="7FE2BD89" w14:textId="388E2270" w:rsidR="00A61F20" w:rsidRDefault="00A61F20" w:rsidP="00492E3E">
      <w:pPr>
        <w:rPr>
          <w:sz w:val="20"/>
        </w:rPr>
      </w:pPr>
    </w:p>
    <w:p w14:paraId="3FCBEB4B" w14:textId="0D0E7677" w:rsidR="00A61F20" w:rsidRDefault="00A61F20" w:rsidP="00492E3E">
      <w:pPr>
        <w:rPr>
          <w:sz w:val="20"/>
        </w:rPr>
      </w:pPr>
    </w:p>
    <w:p w14:paraId="7EE35B04" w14:textId="73279399" w:rsidR="00A61F20" w:rsidRDefault="00A61F20" w:rsidP="00492E3E">
      <w:pPr>
        <w:rPr>
          <w:sz w:val="20"/>
        </w:rPr>
      </w:pPr>
    </w:p>
    <w:p w14:paraId="50564B31" w14:textId="198F8553" w:rsidR="00A61F20" w:rsidRDefault="00A61F20" w:rsidP="00492E3E">
      <w:pPr>
        <w:rPr>
          <w:sz w:val="20"/>
        </w:rPr>
      </w:pPr>
    </w:p>
    <w:p w14:paraId="31FA718F" w14:textId="6FE33B76" w:rsidR="00A61F20" w:rsidRDefault="00A61F20" w:rsidP="00492E3E">
      <w:pPr>
        <w:rPr>
          <w:sz w:val="20"/>
        </w:rPr>
      </w:pPr>
    </w:p>
    <w:p w14:paraId="7B6D06C3" w14:textId="20A9726F" w:rsidR="00A61F20" w:rsidRDefault="00A61F20" w:rsidP="00492E3E">
      <w:pPr>
        <w:rPr>
          <w:sz w:val="20"/>
        </w:rPr>
      </w:pPr>
    </w:p>
    <w:p w14:paraId="1F97CF16" w14:textId="1DF052C4" w:rsidR="00A61F20" w:rsidRDefault="00A61F20" w:rsidP="00492E3E">
      <w:pPr>
        <w:rPr>
          <w:sz w:val="20"/>
        </w:rPr>
      </w:pPr>
    </w:p>
    <w:p w14:paraId="27A3DF87" w14:textId="54C30BF8" w:rsidR="00A61F20" w:rsidRDefault="00A61F20" w:rsidP="00492E3E">
      <w:pPr>
        <w:rPr>
          <w:sz w:val="20"/>
        </w:rPr>
      </w:pPr>
    </w:p>
    <w:p w14:paraId="59AEFF56" w14:textId="298662B5" w:rsidR="00A61F20" w:rsidRDefault="00A61F20" w:rsidP="00492E3E">
      <w:pPr>
        <w:rPr>
          <w:sz w:val="20"/>
        </w:rPr>
      </w:pPr>
    </w:p>
    <w:p w14:paraId="238572C7" w14:textId="5190F889" w:rsidR="00A61F20" w:rsidRDefault="00A61F20" w:rsidP="00492E3E">
      <w:pPr>
        <w:rPr>
          <w:sz w:val="20"/>
        </w:rPr>
      </w:pPr>
    </w:p>
    <w:p w14:paraId="38A75CA4" w14:textId="0799CA5D" w:rsidR="009B3FEA" w:rsidRDefault="009B3FEA" w:rsidP="00492E3E">
      <w:pPr>
        <w:rPr>
          <w:sz w:val="20"/>
        </w:rPr>
      </w:pPr>
    </w:p>
    <w:p w14:paraId="31F5008B" w14:textId="77777777" w:rsidR="009B3FEA" w:rsidRDefault="009B3FEA" w:rsidP="00492E3E">
      <w:pPr>
        <w:rPr>
          <w:sz w:val="20"/>
        </w:rPr>
      </w:pPr>
    </w:p>
    <w:p w14:paraId="4EE728EC" w14:textId="77777777" w:rsidR="00492E3E" w:rsidRDefault="00492E3E" w:rsidP="00492E3E">
      <w:pPr>
        <w:rPr>
          <w:sz w:val="20"/>
        </w:rPr>
      </w:pPr>
    </w:p>
    <w:p w14:paraId="1519CF3D" w14:textId="77777777" w:rsidR="00492E3E" w:rsidRPr="00CA1F17" w:rsidRDefault="00492E3E" w:rsidP="00492E3E">
      <w:pPr>
        <w:rPr>
          <w:sz w:val="20"/>
        </w:rPr>
      </w:pPr>
    </w:p>
    <w:p w14:paraId="1A30010C" w14:textId="77777777" w:rsidR="00492E3E" w:rsidRPr="00CA1F17" w:rsidRDefault="00492E3E" w:rsidP="00492E3E">
      <w:pPr>
        <w:tabs>
          <w:tab w:val="decimal" w:pos="9638"/>
        </w:tabs>
        <w:rPr>
          <w:color w:val="000000" w:themeColor="text1"/>
        </w:rPr>
      </w:pPr>
      <w:r w:rsidRPr="009258D1">
        <w:rPr>
          <w:color w:val="000000" w:themeColor="text1"/>
          <w:sz w:val="16"/>
          <w:szCs w:val="16"/>
        </w:rPr>
        <w:t xml:space="preserve">Jūratė Burtilienė, (8 5) 219 1896, el. p. </w:t>
      </w:r>
      <w:hyperlink r:id="rId9" w:history="1">
        <w:r w:rsidRPr="009258D1">
          <w:rPr>
            <w:rStyle w:val="Hyperlink"/>
            <w:sz w:val="16"/>
            <w:szCs w:val="16"/>
          </w:rPr>
          <w:t>jurate.burtiliene@tm.lt</w:t>
        </w:r>
      </w:hyperlink>
      <w:r w:rsidRPr="00F353AF">
        <w:rPr>
          <w:color w:val="000000" w:themeColor="text1"/>
          <w:sz w:val="20"/>
        </w:rPr>
        <w:t xml:space="preserve"> </w:t>
      </w:r>
      <w:r>
        <w:rPr>
          <w:color w:val="000000" w:themeColor="text1"/>
          <w:sz w:val="20"/>
        </w:rPr>
        <w:tab/>
      </w:r>
      <w:r>
        <w:rPr>
          <w:color w:val="000000" w:themeColor="text1"/>
        </w:rPr>
        <w:t xml:space="preserve"> </w:t>
      </w:r>
    </w:p>
    <w:p w14:paraId="50374E6C" w14:textId="79AB0446" w:rsidR="00E75D83" w:rsidRPr="00CA1F17" w:rsidRDefault="00E75D83" w:rsidP="00492E3E">
      <w:pPr>
        <w:tabs>
          <w:tab w:val="right" w:pos="9638"/>
        </w:tabs>
        <w:rPr>
          <w:color w:val="000000" w:themeColor="text1"/>
        </w:rPr>
      </w:pPr>
    </w:p>
    <w:sectPr w:rsidR="00E75D83" w:rsidRPr="00CA1F17" w:rsidSect="00137EFF">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6E3AC" w14:textId="77777777" w:rsidR="004B3ABF" w:rsidRDefault="004B3ABF">
      <w:r>
        <w:separator/>
      </w:r>
    </w:p>
  </w:endnote>
  <w:endnote w:type="continuationSeparator" w:id="0">
    <w:p w14:paraId="2D65FF8C" w14:textId="77777777" w:rsidR="004B3ABF" w:rsidRDefault="004B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E4E94" w14:textId="77777777" w:rsidR="00BF4628" w:rsidRDefault="00BF4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93668" w14:textId="77777777" w:rsidR="00BF4628" w:rsidRDefault="00BF4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82B8" w14:textId="77777777" w:rsidR="001F4940" w:rsidRDefault="001F4940" w:rsidP="00137EFF">
    <w:pPr>
      <w:pStyle w:val="Footer"/>
      <w:tabs>
        <w:tab w:val="clear" w:pos="8306"/>
        <w:tab w:val="left" w:pos="8080"/>
        <w:tab w:val="right" w:pos="9356"/>
      </w:tabs>
    </w:pPr>
  </w:p>
  <w:p w14:paraId="1A5E7143" w14:textId="77777777" w:rsidR="0006186E" w:rsidRDefault="00247655" w:rsidP="00392BA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A9351" w14:textId="77777777" w:rsidR="004B3ABF" w:rsidRDefault="004B3ABF">
      <w:r>
        <w:separator/>
      </w:r>
    </w:p>
  </w:footnote>
  <w:footnote w:type="continuationSeparator" w:id="0">
    <w:p w14:paraId="38B53765" w14:textId="77777777" w:rsidR="004B3ABF" w:rsidRDefault="004B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9741889"/>
      <w:docPartObj>
        <w:docPartGallery w:val="Page Numbers (Top of Page)"/>
        <w:docPartUnique/>
      </w:docPartObj>
    </w:sdtPr>
    <w:sdtEndPr>
      <w:rPr>
        <w:rStyle w:val="PageNumber"/>
      </w:rPr>
    </w:sdtEndPr>
    <w:sdtContent>
      <w:p w14:paraId="1351BF28" w14:textId="3FEB4314" w:rsidR="005F1CC5" w:rsidRDefault="005F1CC5" w:rsidP="00671A9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B4BA9" w14:textId="77777777" w:rsidR="00BF4628" w:rsidRDefault="00BF4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6130186"/>
      <w:docPartObj>
        <w:docPartGallery w:val="Page Numbers (Top of Page)"/>
        <w:docPartUnique/>
      </w:docPartObj>
    </w:sdtPr>
    <w:sdtEndPr>
      <w:rPr>
        <w:rStyle w:val="PageNumber"/>
      </w:rPr>
    </w:sdtEndPr>
    <w:sdtContent>
      <w:p w14:paraId="1A008125" w14:textId="6C70F300" w:rsidR="005F1CC5" w:rsidRDefault="005F1CC5" w:rsidP="00671A9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E61096" w14:textId="77777777" w:rsidR="0006186E" w:rsidRDefault="0006186E" w:rsidP="00EE5859">
    <w:pPr>
      <w:pStyle w:val="Antrat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00D00BD9" w:rsidRPr="000F6070">
        <w:rPr>
          <w:rStyle w:val="Hyperlink"/>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20E77C6"/>
    <w:multiLevelType w:val="hybridMultilevel"/>
    <w:tmpl w:val="00F89F34"/>
    <w:lvl w:ilvl="0" w:tplc="A016EF10">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70F780F"/>
    <w:multiLevelType w:val="hybridMultilevel"/>
    <w:tmpl w:val="7D6E67E0"/>
    <w:lvl w:ilvl="0" w:tplc="BB28757C">
      <w:start w:val="87"/>
      <w:numFmt w:val="decimal"/>
      <w:lvlText w:val="%1"/>
      <w:lvlJc w:val="left"/>
      <w:pPr>
        <w:ind w:left="1996" w:hanging="360"/>
      </w:pPr>
      <w:rPr>
        <w:rFonts w:ascii="Arial" w:hAnsi="Arial" w:cs="Arial" w:hint="default"/>
        <w:color w:val="000000"/>
        <w:sz w:val="22"/>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 w15:restartNumberingAfterBreak="0">
    <w:nsid w:val="6FE15451"/>
    <w:multiLevelType w:val="hybridMultilevel"/>
    <w:tmpl w:val="3A1246BC"/>
    <w:lvl w:ilvl="0" w:tplc="3EF2501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8"/>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93791"/>
    <w:rsid w:val="00095F50"/>
    <w:rsid w:val="000A0617"/>
    <w:rsid w:val="000B0D10"/>
    <w:rsid w:val="000B1ECA"/>
    <w:rsid w:val="000B5A50"/>
    <w:rsid w:val="000B67D8"/>
    <w:rsid w:val="000D0B1C"/>
    <w:rsid w:val="000D3171"/>
    <w:rsid w:val="000E34D4"/>
    <w:rsid w:val="000E6E4F"/>
    <w:rsid w:val="000E7556"/>
    <w:rsid w:val="000F75E7"/>
    <w:rsid w:val="00106269"/>
    <w:rsid w:val="00110A05"/>
    <w:rsid w:val="00133358"/>
    <w:rsid w:val="00137EFF"/>
    <w:rsid w:val="00163C9F"/>
    <w:rsid w:val="00190B04"/>
    <w:rsid w:val="00194508"/>
    <w:rsid w:val="001A2BEB"/>
    <w:rsid w:val="001B28DE"/>
    <w:rsid w:val="001C1840"/>
    <w:rsid w:val="001D1653"/>
    <w:rsid w:val="001E0731"/>
    <w:rsid w:val="001E192A"/>
    <w:rsid w:val="001E213B"/>
    <w:rsid w:val="001E6F39"/>
    <w:rsid w:val="001F4940"/>
    <w:rsid w:val="00216724"/>
    <w:rsid w:val="00224C7E"/>
    <w:rsid w:val="00225009"/>
    <w:rsid w:val="00244BFA"/>
    <w:rsid w:val="00247655"/>
    <w:rsid w:val="00271BCA"/>
    <w:rsid w:val="0027526A"/>
    <w:rsid w:val="0027777C"/>
    <w:rsid w:val="002A66E4"/>
    <w:rsid w:val="002C0406"/>
    <w:rsid w:val="002D24DA"/>
    <w:rsid w:val="002F357E"/>
    <w:rsid w:val="00307F4F"/>
    <w:rsid w:val="00314884"/>
    <w:rsid w:val="0031547F"/>
    <w:rsid w:val="00315C6A"/>
    <w:rsid w:val="00316B60"/>
    <w:rsid w:val="00335E75"/>
    <w:rsid w:val="00345C41"/>
    <w:rsid w:val="00350171"/>
    <w:rsid w:val="0035263F"/>
    <w:rsid w:val="00357B11"/>
    <w:rsid w:val="00374572"/>
    <w:rsid w:val="00392BAA"/>
    <w:rsid w:val="003A0D57"/>
    <w:rsid w:val="003A403B"/>
    <w:rsid w:val="003A6CAA"/>
    <w:rsid w:val="003C1BC9"/>
    <w:rsid w:val="003C76FB"/>
    <w:rsid w:val="00422F55"/>
    <w:rsid w:val="004400C5"/>
    <w:rsid w:val="00444D3C"/>
    <w:rsid w:val="004473FF"/>
    <w:rsid w:val="00477775"/>
    <w:rsid w:val="00492E3E"/>
    <w:rsid w:val="004B3ABF"/>
    <w:rsid w:val="004C157C"/>
    <w:rsid w:val="004E0354"/>
    <w:rsid w:val="004E4C97"/>
    <w:rsid w:val="004F7E5E"/>
    <w:rsid w:val="00503401"/>
    <w:rsid w:val="0051548F"/>
    <w:rsid w:val="00526983"/>
    <w:rsid w:val="005468FA"/>
    <w:rsid w:val="005934F7"/>
    <w:rsid w:val="005A2039"/>
    <w:rsid w:val="005A32E3"/>
    <w:rsid w:val="005B22EF"/>
    <w:rsid w:val="005B71DB"/>
    <w:rsid w:val="005E7F01"/>
    <w:rsid w:val="005F1CC5"/>
    <w:rsid w:val="005F4AEB"/>
    <w:rsid w:val="005F6849"/>
    <w:rsid w:val="005F70CA"/>
    <w:rsid w:val="006202AA"/>
    <w:rsid w:val="00631354"/>
    <w:rsid w:val="00632C30"/>
    <w:rsid w:val="0066534A"/>
    <w:rsid w:val="00671FA9"/>
    <w:rsid w:val="00674F0A"/>
    <w:rsid w:val="00685024"/>
    <w:rsid w:val="00692B0B"/>
    <w:rsid w:val="006A0169"/>
    <w:rsid w:val="006A3AEE"/>
    <w:rsid w:val="006D76B9"/>
    <w:rsid w:val="006E2FF8"/>
    <w:rsid w:val="0070100A"/>
    <w:rsid w:val="007155A1"/>
    <w:rsid w:val="00735C7F"/>
    <w:rsid w:val="0074745C"/>
    <w:rsid w:val="00755247"/>
    <w:rsid w:val="0075689A"/>
    <w:rsid w:val="00775BDF"/>
    <w:rsid w:val="00782E3C"/>
    <w:rsid w:val="007B1F82"/>
    <w:rsid w:val="007B3C8C"/>
    <w:rsid w:val="007B4A13"/>
    <w:rsid w:val="007F7B9B"/>
    <w:rsid w:val="008309E8"/>
    <w:rsid w:val="008A2DA3"/>
    <w:rsid w:val="008A5254"/>
    <w:rsid w:val="008C162A"/>
    <w:rsid w:val="00921A20"/>
    <w:rsid w:val="00935287"/>
    <w:rsid w:val="00967916"/>
    <w:rsid w:val="00977F51"/>
    <w:rsid w:val="00993E29"/>
    <w:rsid w:val="009A11A6"/>
    <w:rsid w:val="009B0944"/>
    <w:rsid w:val="009B3FEA"/>
    <w:rsid w:val="009B4576"/>
    <w:rsid w:val="009D5D3E"/>
    <w:rsid w:val="009E11EE"/>
    <w:rsid w:val="009E135C"/>
    <w:rsid w:val="00A17E41"/>
    <w:rsid w:val="00A36467"/>
    <w:rsid w:val="00A40CD2"/>
    <w:rsid w:val="00A43DDD"/>
    <w:rsid w:val="00A45A83"/>
    <w:rsid w:val="00A500C7"/>
    <w:rsid w:val="00A5068D"/>
    <w:rsid w:val="00A51241"/>
    <w:rsid w:val="00A61F20"/>
    <w:rsid w:val="00A94549"/>
    <w:rsid w:val="00AC27D6"/>
    <w:rsid w:val="00AD37E3"/>
    <w:rsid w:val="00AD3CBA"/>
    <w:rsid w:val="00AE0614"/>
    <w:rsid w:val="00AE3511"/>
    <w:rsid w:val="00B40D2F"/>
    <w:rsid w:val="00B4282B"/>
    <w:rsid w:val="00B443E0"/>
    <w:rsid w:val="00B7339D"/>
    <w:rsid w:val="00B942CE"/>
    <w:rsid w:val="00BA60D3"/>
    <w:rsid w:val="00BB1BC1"/>
    <w:rsid w:val="00BC2527"/>
    <w:rsid w:val="00BD01B6"/>
    <w:rsid w:val="00BD62CA"/>
    <w:rsid w:val="00BF4400"/>
    <w:rsid w:val="00BF4628"/>
    <w:rsid w:val="00C03C0F"/>
    <w:rsid w:val="00C2360C"/>
    <w:rsid w:val="00C26D5D"/>
    <w:rsid w:val="00C43A57"/>
    <w:rsid w:val="00C52D99"/>
    <w:rsid w:val="00C5690B"/>
    <w:rsid w:val="00C700E3"/>
    <w:rsid w:val="00C843F3"/>
    <w:rsid w:val="00C91B5B"/>
    <w:rsid w:val="00CB1D28"/>
    <w:rsid w:val="00CC51E5"/>
    <w:rsid w:val="00CC742A"/>
    <w:rsid w:val="00CD660D"/>
    <w:rsid w:val="00D00BD9"/>
    <w:rsid w:val="00D14495"/>
    <w:rsid w:val="00D2173F"/>
    <w:rsid w:val="00D22358"/>
    <w:rsid w:val="00D22A39"/>
    <w:rsid w:val="00D519E9"/>
    <w:rsid w:val="00D553A0"/>
    <w:rsid w:val="00D6461F"/>
    <w:rsid w:val="00D67C4E"/>
    <w:rsid w:val="00D75661"/>
    <w:rsid w:val="00D9324E"/>
    <w:rsid w:val="00DA10E1"/>
    <w:rsid w:val="00DA16FD"/>
    <w:rsid w:val="00E016E3"/>
    <w:rsid w:val="00E03B24"/>
    <w:rsid w:val="00E03EAE"/>
    <w:rsid w:val="00E04931"/>
    <w:rsid w:val="00E214C4"/>
    <w:rsid w:val="00E32D88"/>
    <w:rsid w:val="00E35543"/>
    <w:rsid w:val="00E36636"/>
    <w:rsid w:val="00E63465"/>
    <w:rsid w:val="00E75D83"/>
    <w:rsid w:val="00E81F28"/>
    <w:rsid w:val="00E843B1"/>
    <w:rsid w:val="00E91321"/>
    <w:rsid w:val="00E96B50"/>
    <w:rsid w:val="00EA3009"/>
    <w:rsid w:val="00ED32ED"/>
    <w:rsid w:val="00ED73D6"/>
    <w:rsid w:val="00EE5859"/>
    <w:rsid w:val="00EF07A0"/>
    <w:rsid w:val="00EF172C"/>
    <w:rsid w:val="00EF5630"/>
    <w:rsid w:val="00EF6B73"/>
    <w:rsid w:val="00F05FB4"/>
    <w:rsid w:val="00F6147E"/>
    <w:rsid w:val="00F62B9E"/>
    <w:rsid w:val="00F73A02"/>
    <w:rsid w:val="00F85A80"/>
    <w:rsid w:val="00F947AC"/>
    <w:rsid w:val="00FB183B"/>
    <w:rsid w:val="00FB295F"/>
    <w:rsid w:val="00FB41D3"/>
    <w:rsid w:val="00FB5D01"/>
    <w:rsid w:val="00FB5F57"/>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styleId="UnresolvedMention">
    <w:name w:val="Unresolved Mention"/>
    <w:basedOn w:val="DefaultParagraphFont"/>
    <w:uiPriority w:val="99"/>
    <w:semiHidden/>
    <w:unhideWhenUsed/>
    <w:rsid w:val="00D00BD9"/>
    <w:rPr>
      <w:color w:val="605E5C"/>
      <w:shd w:val="clear" w:color="auto" w:fill="E1DFDD"/>
    </w:rPr>
  </w:style>
  <w:style w:type="paragraph" w:styleId="ListParagraph">
    <w:name w:val="List Paragraph"/>
    <w:basedOn w:val="Normal"/>
    <w:uiPriority w:val="34"/>
    <w:qFormat/>
    <w:rsid w:val="00B4282B"/>
    <w:pPr>
      <w:ind w:left="720"/>
      <w:contextualSpacing/>
    </w:pPr>
  </w:style>
  <w:style w:type="paragraph" w:styleId="NormalWeb">
    <w:name w:val="Normal (Web)"/>
    <w:basedOn w:val="Normal"/>
    <w:uiPriority w:val="99"/>
    <w:semiHidden/>
    <w:unhideWhenUsed/>
    <w:rsid w:val="00B4282B"/>
    <w:pPr>
      <w:suppressAutoHyphens w:val="0"/>
      <w:spacing w:before="100" w:beforeAutospacing="1" w:after="100" w:afterAutospacing="1"/>
    </w:pPr>
    <w:rPr>
      <w:lang w:eastAsia="en-GB"/>
    </w:rPr>
  </w:style>
  <w:style w:type="character" w:customStyle="1" w:styleId="apple-converted-space">
    <w:name w:val="apple-converted-space"/>
    <w:basedOn w:val="DefaultParagraphFont"/>
    <w:rsid w:val="005F1CC5"/>
  </w:style>
  <w:style w:type="character" w:styleId="FollowedHyperlink">
    <w:name w:val="FollowedHyperlink"/>
    <w:basedOn w:val="DefaultParagraphFont"/>
    <w:semiHidden/>
    <w:unhideWhenUsed/>
    <w:rsid w:val="000A0617"/>
    <w:rPr>
      <w:color w:val="800080" w:themeColor="followedHyperlink"/>
      <w:u w:val="single"/>
    </w:rPr>
  </w:style>
  <w:style w:type="character" w:styleId="CommentReference">
    <w:name w:val="annotation reference"/>
    <w:basedOn w:val="DefaultParagraphFont"/>
    <w:semiHidden/>
    <w:unhideWhenUsed/>
    <w:rsid w:val="000A0617"/>
    <w:rPr>
      <w:sz w:val="16"/>
      <w:szCs w:val="16"/>
    </w:rPr>
  </w:style>
  <w:style w:type="paragraph" w:styleId="CommentText">
    <w:name w:val="annotation text"/>
    <w:basedOn w:val="Normal"/>
    <w:link w:val="CommentTextChar"/>
    <w:semiHidden/>
    <w:unhideWhenUsed/>
    <w:rsid w:val="000A0617"/>
    <w:rPr>
      <w:sz w:val="20"/>
      <w:szCs w:val="20"/>
    </w:rPr>
  </w:style>
  <w:style w:type="character" w:customStyle="1" w:styleId="CommentTextChar">
    <w:name w:val="Comment Text Char"/>
    <w:basedOn w:val="DefaultParagraphFont"/>
    <w:link w:val="CommentText"/>
    <w:semiHidden/>
    <w:rsid w:val="000A0617"/>
    <w:rPr>
      <w:lang w:eastAsia="ar-SA"/>
    </w:rPr>
  </w:style>
  <w:style w:type="paragraph" w:styleId="CommentSubject">
    <w:name w:val="annotation subject"/>
    <w:basedOn w:val="CommentText"/>
    <w:next w:val="CommentText"/>
    <w:link w:val="CommentSubjectChar"/>
    <w:semiHidden/>
    <w:unhideWhenUsed/>
    <w:rsid w:val="000A0617"/>
    <w:rPr>
      <w:b/>
      <w:bCs/>
    </w:rPr>
  </w:style>
  <w:style w:type="character" w:customStyle="1" w:styleId="CommentSubjectChar">
    <w:name w:val="Comment Subject Char"/>
    <w:basedOn w:val="CommentTextChar"/>
    <w:link w:val="CommentSubject"/>
    <w:semiHidden/>
    <w:rsid w:val="000A061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520">
      <w:bodyDiv w:val="1"/>
      <w:marLeft w:val="0"/>
      <w:marRight w:val="0"/>
      <w:marTop w:val="0"/>
      <w:marBottom w:val="0"/>
      <w:divBdr>
        <w:top w:val="none" w:sz="0" w:space="0" w:color="auto"/>
        <w:left w:val="none" w:sz="0" w:space="0" w:color="auto"/>
        <w:bottom w:val="none" w:sz="0" w:space="0" w:color="auto"/>
        <w:right w:val="none" w:sz="0" w:space="0" w:color="auto"/>
      </w:divBdr>
    </w:div>
    <w:div w:id="385229367">
      <w:bodyDiv w:val="1"/>
      <w:marLeft w:val="0"/>
      <w:marRight w:val="0"/>
      <w:marTop w:val="0"/>
      <w:marBottom w:val="0"/>
      <w:divBdr>
        <w:top w:val="none" w:sz="0" w:space="0" w:color="auto"/>
        <w:left w:val="none" w:sz="0" w:space="0" w:color="auto"/>
        <w:bottom w:val="none" w:sz="0" w:space="0" w:color="auto"/>
        <w:right w:val="none" w:sz="0" w:space="0" w:color="auto"/>
      </w:divBdr>
    </w:div>
    <w:div w:id="398985193">
      <w:bodyDiv w:val="1"/>
      <w:marLeft w:val="0"/>
      <w:marRight w:val="0"/>
      <w:marTop w:val="0"/>
      <w:marBottom w:val="0"/>
      <w:divBdr>
        <w:top w:val="none" w:sz="0" w:space="0" w:color="auto"/>
        <w:left w:val="none" w:sz="0" w:space="0" w:color="auto"/>
        <w:bottom w:val="none" w:sz="0" w:space="0" w:color="auto"/>
        <w:right w:val="none" w:sz="0" w:space="0" w:color="auto"/>
      </w:divBdr>
      <w:divsChild>
        <w:div w:id="147134426">
          <w:marLeft w:val="0"/>
          <w:marRight w:val="0"/>
          <w:marTop w:val="0"/>
          <w:marBottom w:val="0"/>
          <w:divBdr>
            <w:top w:val="none" w:sz="0" w:space="0" w:color="auto"/>
            <w:left w:val="none" w:sz="0" w:space="0" w:color="auto"/>
            <w:bottom w:val="none" w:sz="0" w:space="0" w:color="auto"/>
            <w:right w:val="none" w:sz="0" w:space="0" w:color="auto"/>
          </w:divBdr>
          <w:divsChild>
            <w:div w:id="1257204870">
              <w:marLeft w:val="0"/>
              <w:marRight w:val="0"/>
              <w:marTop w:val="0"/>
              <w:marBottom w:val="0"/>
              <w:divBdr>
                <w:top w:val="none" w:sz="0" w:space="0" w:color="auto"/>
                <w:left w:val="none" w:sz="0" w:space="0" w:color="auto"/>
                <w:bottom w:val="none" w:sz="0" w:space="0" w:color="auto"/>
                <w:right w:val="none" w:sz="0" w:space="0" w:color="auto"/>
              </w:divBdr>
              <w:divsChild>
                <w:div w:id="101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505">
      <w:bodyDiv w:val="1"/>
      <w:marLeft w:val="0"/>
      <w:marRight w:val="0"/>
      <w:marTop w:val="0"/>
      <w:marBottom w:val="0"/>
      <w:divBdr>
        <w:top w:val="none" w:sz="0" w:space="0" w:color="auto"/>
        <w:left w:val="none" w:sz="0" w:space="0" w:color="auto"/>
        <w:bottom w:val="none" w:sz="0" w:space="0" w:color="auto"/>
        <w:right w:val="none" w:sz="0" w:space="0" w:color="auto"/>
      </w:divBdr>
    </w:div>
    <w:div w:id="1185557204">
      <w:bodyDiv w:val="1"/>
      <w:marLeft w:val="0"/>
      <w:marRight w:val="0"/>
      <w:marTop w:val="0"/>
      <w:marBottom w:val="0"/>
      <w:divBdr>
        <w:top w:val="none" w:sz="0" w:space="0" w:color="auto"/>
        <w:left w:val="none" w:sz="0" w:space="0" w:color="auto"/>
        <w:bottom w:val="none" w:sz="0" w:space="0" w:color="auto"/>
        <w:right w:val="none" w:sz="0" w:space="0" w:color="auto"/>
      </w:divBdr>
    </w:div>
    <w:div w:id="1187213245">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17628569">
      <w:bodyDiv w:val="1"/>
      <w:marLeft w:val="0"/>
      <w:marRight w:val="0"/>
      <w:marTop w:val="0"/>
      <w:marBottom w:val="0"/>
      <w:divBdr>
        <w:top w:val="none" w:sz="0" w:space="0" w:color="auto"/>
        <w:left w:val="none" w:sz="0" w:space="0" w:color="auto"/>
        <w:bottom w:val="none" w:sz="0" w:space="0" w:color="auto"/>
        <w:right w:val="none" w:sz="0" w:space="0" w:color="auto"/>
      </w:divBdr>
    </w:div>
    <w:div w:id="1421441467">
      <w:bodyDiv w:val="1"/>
      <w:marLeft w:val="0"/>
      <w:marRight w:val="0"/>
      <w:marTop w:val="0"/>
      <w:marBottom w:val="0"/>
      <w:divBdr>
        <w:top w:val="none" w:sz="0" w:space="0" w:color="auto"/>
        <w:left w:val="none" w:sz="0" w:space="0" w:color="auto"/>
        <w:bottom w:val="none" w:sz="0" w:space="0" w:color="auto"/>
        <w:right w:val="none" w:sz="0" w:space="0" w:color="auto"/>
      </w:divBdr>
    </w:div>
    <w:div w:id="1874029116">
      <w:bodyDiv w:val="1"/>
      <w:marLeft w:val="0"/>
      <w:marRight w:val="0"/>
      <w:marTop w:val="0"/>
      <w:marBottom w:val="0"/>
      <w:divBdr>
        <w:top w:val="none" w:sz="0" w:space="0" w:color="auto"/>
        <w:left w:val="none" w:sz="0" w:space="0" w:color="auto"/>
        <w:bottom w:val="none" w:sz="0" w:space="0" w:color="auto"/>
        <w:right w:val="none" w:sz="0" w:space="0" w:color="auto"/>
      </w:divBdr>
    </w:div>
    <w:div w:id="1889873468">
      <w:bodyDiv w:val="1"/>
      <w:marLeft w:val="0"/>
      <w:marRight w:val="0"/>
      <w:marTop w:val="0"/>
      <w:marBottom w:val="0"/>
      <w:divBdr>
        <w:top w:val="none" w:sz="0" w:space="0" w:color="auto"/>
        <w:left w:val="none" w:sz="0" w:space="0" w:color="auto"/>
        <w:bottom w:val="none" w:sz="0" w:space="0" w:color="auto"/>
        <w:right w:val="none" w:sz="0" w:space="0" w:color="auto"/>
      </w:divBdr>
    </w:div>
    <w:div w:id="1920748641">
      <w:bodyDiv w:val="1"/>
      <w:marLeft w:val="0"/>
      <w:marRight w:val="0"/>
      <w:marTop w:val="0"/>
      <w:marBottom w:val="0"/>
      <w:divBdr>
        <w:top w:val="none" w:sz="0" w:space="0" w:color="auto"/>
        <w:left w:val="none" w:sz="0" w:space="0" w:color="auto"/>
        <w:bottom w:val="none" w:sz="0" w:space="0" w:color="auto"/>
        <w:right w:val="none" w:sz="0" w:space="0" w:color="auto"/>
      </w:divBdr>
    </w:div>
    <w:div w:id="20149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b90fee019e8511eb998483d0ae31615c"
                 TargetMode="External"
                 Type="http://schemas.openxmlformats.org/officeDocument/2006/relationships/hyperlink"/>
   <Relationship Id="rId9" Target="mailto:jurate.burtiliene@tm.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20A-EF18-478E-ABE4-E20F3B06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4292</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2021-04-22T10:00:00Z</dcterms:created>
  <dc:creator>D.Glodenis</dc:creator>
  <cp:lastModifiedBy>Tomas Burtilius</cp:lastModifiedBy>
  <cp:lastPrinted>2020-01-13T12:15:00Z</cp:lastPrinted>
  <dcterms:modified xsi:type="dcterms:W3CDTF">2021-04-22T10:02:00Z</dcterms:modified>
  <cp:revision>3</cp:revision>
  <dc:title>[Adresatas]</dc:title>
</cp:coreProperties>
</file>