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8"/>
        <w:gridCol w:w="5379"/>
        <w:gridCol w:w="3969"/>
        <w:gridCol w:w="8"/>
      </w:tblGrid>
      <w:tr w:rsidR="00765FB3" w:rsidRPr="00EA69EB" w14:paraId="4BF0350C" w14:textId="77777777" w:rsidTr="008C2278">
        <w:trPr>
          <w:gridAfter w:val="1"/>
          <w:wAfter w:w="8" w:type="dxa"/>
          <w:cantSplit/>
          <w:trHeight w:val="3119"/>
        </w:trPr>
        <w:tc>
          <w:tcPr>
            <w:tcW w:w="9356" w:type="dxa"/>
            <w:gridSpan w:val="3"/>
          </w:tcPr>
          <w:p w14:paraId="4BF03502" w14:textId="77777777" w:rsidR="00765FB3" w:rsidRPr="00EA69EB" w:rsidRDefault="00410665">
            <w:pPr>
              <w:tabs>
                <w:tab w:val="left" w:pos="3969"/>
              </w:tabs>
              <w:jc w:val="center"/>
              <w:rPr>
                <w:b/>
                <w:caps/>
                <w:sz w:val="30"/>
              </w:rPr>
            </w:pPr>
            <w:bookmarkStart w:id="0" w:name="r01"/>
            <w:r w:rsidRPr="00EA69EB">
              <w:rPr>
                <w:b/>
                <w:noProof/>
                <w:sz w:val="30"/>
                <w:lang w:val="en-US"/>
              </w:rPr>
              <w:drawing>
                <wp:inline distT="0" distB="0" distL="0" distR="0" wp14:anchorId="4BF03549" wp14:editId="4BF0354A">
                  <wp:extent cx="5238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p w14:paraId="4BF03503" w14:textId="77777777" w:rsidR="00765FB3" w:rsidRPr="00EA69EB" w:rsidRDefault="00765FB3">
            <w:pPr>
              <w:jc w:val="center"/>
              <w:rPr>
                <w:b/>
                <w:caps/>
              </w:rPr>
            </w:pPr>
          </w:p>
          <w:p w14:paraId="4BF03504" w14:textId="77777777" w:rsidR="00765FB3" w:rsidRPr="00EA69EB" w:rsidRDefault="00765FB3">
            <w:pPr>
              <w:jc w:val="center"/>
              <w:rPr>
                <w:b/>
                <w:caps/>
                <w:sz w:val="24"/>
                <w:szCs w:val="24"/>
              </w:rPr>
            </w:pPr>
            <w:r w:rsidRPr="00EA69EB">
              <w:rPr>
                <w:b/>
                <w:caps/>
                <w:sz w:val="24"/>
                <w:szCs w:val="24"/>
              </w:rPr>
              <w:t>LIETUVOS RESPUBLIKOS UŽSIENIO REIKALŲ MINISTERIJA</w:t>
            </w:r>
          </w:p>
          <w:p w14:paraId="4BF03505" w14:textId="77777777" w:rsidR="00765FB3" w:rsidRPr="00EA69EB" w:rsidRDefault="00765FB3">
            <w:pPr>
              <w:jc w:val="center"/>
              <w:rPr>
                <w:b/>
              </w:rPr>
            </w:pPr>
          </w:p>
          <w:p w14:paraId="4BF03506" w14:textId="6FBECA82" w:rsidR="00765FB3" w:rsidRPr="00EA69EB" w:rsidRDefault="00765FB3" w:rsidP="00441D96">
            <w:pPr>
              <w:pStyle w:val="Footer"/>
              <w:spacing w:before="40"/>
              <w:jc w:val="center"/>
              <w:rPr>
                <w:sz w:val="19"/>
              </w:rPr>
            </w:pPr>
            <w:r w:rsidRPr="00EA69EB">
              <w:rPr>
                <w:sz w:val="18"/>
                <w:szCs w:val="18"/>
              </w:rPr>
              <w:t>Biudžetinė įstaiga, J.</w:t>
            </w:r>
            <w:r w:rsidR="00701165" w:rsidRPr="00EA69EB">
              <w:rPr>
                <w:sz w:val="18"/>
                <w:szCs w:val="18"/>
              </w:rPr>
              <w:t xml:space="preserve"> </w:t>
            </w:r>
            <w:r w:rsidRPr="00EA69EB">
              <w:rPr>
                <w:sz w:val="18"/>
                <w:szCs w:val="18"/>
              </w:rPr>
              <w:t>Tumo-Vaižganto g. 2,</w:t>
            </w:r>
            <w:r w:rsidRPr="00EA69EB">
              <w:rPr>
                <w:sz w:val="19"/>
              </w:rPr>
              <w:t xml:space="preserve"> </w:t>
            </w:r>
            <w:r w:rsidR="00E74A42" w:rsidRPr="00EA69EB">
              <w:rPr>
                <w:sz w:val="19"/>
              </w:rPr>
              <w:t>01108</w:t>
            </w:r>
            <w:r w:rsidRPr="00EA69EB">
              <w:rPr>
                <w:sz w:val="19"/>
              </w:rPr>
              <w:t xml:space="preserve"> Vilnius, tel.: (8 5) </w:t>
            </w:r>
            <w:r w:rsidR="00A01369" w:rsidRPr="00EA69EB">
              <w:rPr>
                <w:sz w:val="19"/>
              </w:rPr>
              <w:t xml:space="preserve"> </w:t>
            </w:r>
            <w:r w:rsidRPr="00EA69EB">
              <w:rPr>
                <w:sz w:val="19"/>
              </w:rPr>
              <w:t xml:space="preserve">236 2444, (8 5) </w:t>
            </w:r>
            <w:r w:rsidR="00A01369" w:rsidRPr="00EA69EB">
              <w:rPr>
                <w:sz w:val="19"/>
              </w:rPr>
              <w:t xml:space="preserve"> </w:t>
            </w:r>
            <w:r w:rsidRPr="00EA69EB">
              <w:rPr>
                <w:sz w:val="19"/>
              </w:rPr>
              <w:t>236 2400</w:t>
            </w:r>
          </w:p>
          <w:p w14:paraId="4BF03507" w14:textId="417D7A03" w:rsidR="00765FB3" w:rsidRPr="00EA69EB" w:rsidRDefault="00765FB3" w:rsidP="00441D96">
            <w:pPr>
              <w:pStyle w:val="Footer"/>
              <w:jc w:val="center"/>
              <w:rPr>
                <w:sz w:val="19"/>
              </w:rPr>
            </w:pPr>
            <w:r w:rsidRPr="00EA69EB">
              <w:rPr>
                <w:sz w:val="19"/>
              </w:rPr>
              <w:t>faks</w:t>
            </w:r>
            <w:r w:rsidR="00F546CD" w:rsidRPr="00EA69EB">
              <w:rPr>
                <w:sz w:val="19"/>
              </w:rPr>
              <w:t>as</w:t>
            </w:r>
            <w:r w:rsidRPr="00EA69EB">
              <w:rPr>
                <w:sz w:val="19"/>
              </w:rPr>
              <w:t xml:space="preserve"> (8 5) </w:t>
            </w:r>
            <w:r w:rsidR="00A01369" w:rsidRPr="00EA69EB">
              <w:rPr>
                <w:sz w:val="19"/>
              </w:rPr>
              <w:t xml:space="preserve"> </w:t>
            </w:r>
            <w:r w:rsidRPr="00EA69EB">
              <w:rPr>
                <w:sz w:val="19"/>
              </w:rPr>
              <w:t>23</w:t>
            </w:r>
            <w:r w:rsidR="00AF56F2" w:rsidRPr="00EA69EB">
              <w:rPr>
                <w:sz w:val="19"/>
              </w:rPr>
              <w:t>6</w:t>
            </w:r>
            <w:r w:rsidRPr="00EA69EB">
              <w:rPr>
                <w:sz w:val="19"/>
              </w:rPr>
              <w:t xml:space="preserve"> </w:t>
            </w:r>
            <w:r w:rsidR="00AF56F2" w:rsidRPr="00EA69EB">
              <w:rPr>
                <w:sz w:val="19"/>
              </w:rPr>
              <w:t>2626</w:t>
            </w:r>
            <w:r w:rsidRPr="00EA69EB">
              <w:rPr>
                <w:sz w:val="19"/>
              </w:rPr>
              <w:t xml:space="preserve">, el. p. </w:t>
            </w:r>
            <w:hyperlink r:id="rId8" w:history="1">
              <w:r w:rsidRPr="00EA69EB">
                <w:rPr>
                  <w:rStyle w:val="Hyperlink"/>
                  <w:color w:val="auto"/>
                  <w:sz w:val="19"/>
                </w:rPr>
                <w:t>urm@urm.lt</w:t>
              </w:r>
            </w:hyperlink>
            <w:r w:rsidRPr="00EA69EB">
              <w:rPr>
                <w:sz w:val="19"/>
              </w:rPr>
              <w:t xml:space="preserve">, </w:t>
            </w:r>
            <w:hyperlink r:id="rId9" w:history="1">
              <w:r w:rsidRPr="00EA69EB">
                <w:rPr>
                  <w:rStyle w:val="Hyperlink"/>
                  <w:color w:val="auto"/>
                  <w:sz w:val="19"/>
                </w:rPr>
                <w:t>http://www.urm.lt</w:t>
              </w:r>
            </w:hyperlink>
          </w:p>
          <w:p w14:paraId="4BF03508" w14:textId="77777777" w:rsidR="00765FB3" w:rsidRPr="00EA69EB" w:rsidRDefault="00765FB3" w:rsidP="00441D96">
            <w:pPr>
              <w:pStyle w:val="Footer"/>
              <w:jc w:val="center"/>
              <w:rPr>
                <w:sz w:val="19"/>
              </w:rPr>
            </w:pPr>
            <w:r w:rsidRPr="00EA69EB">
              <w:rPr>
                <w:sz w:val="19"/>
              </w:rPr>
              <w:t>Duomenys kaupiami ir saugomi Juridinių asmenų registre, kodas 188613242</w:t>
            </w:r>
          </w:p>
          <w:tbl>
            <w:tblPr>
              <w:tblW w:w="0" w:type="auto"/>
              <w:tblBorders>
                <w:top w:val="single" w:sz="4" w:space="0" w:color="auto"/>
                <w:insideH w:val="single" w:sz="4" w:space="0" w:color="auto"/>
                <w:insideV w:val="single" w:sz="4" w:space="0" w:color="auto"/>
              </w:tblBorders>
              <w:tblLayout w:type="fixed"/>
              <w:tblLook w:val="00A0" w:firstRow="1" w:lastRow="0" w:firstColumn="1" w:lastColumn="0" w:noHBand="0" w:noVBand="0"/>
            </w:tblPr>
            <w:tblGrid>
              <w:gridCol w:w="9341"/>
            </w:tblGrid>
            <w:tr w:rsidR="00765FB3" w:rsidRPr="00EA69EB" w14:paraId="4BF0350A" w14:textId="77777777" w:rsidTr="003333C2">
              <w:tc>
                <w:tcPr>
                  <w:tcW w:w="9341" w:type="dxa"/>
                  <w:tcBorders>
                    <w:top w:val="single" w:sz="4" w:space="0" w:color="auto"/>
                  </w:tcBorders>
                </w:tcPr>
                <w:p w14:paraId="4BF03509" w14:textId="77777777" w:rsidR="00765FB3" w:rsidRPr="00EA69EB" w:rsidRDefault="00765FB3" w:rsidP="003333C2">
                  <w:pPr>
                    <w:pStyle w:val="Footer"/>
                    <w:jc w:val="center"/>
                  </w:pPr>
                </w:p>
              </w:tc>
            </w:tr>
          </w:tbl>
          <w:p w14:paraId="4BF0350B" w14:textId="77777777" w:rsidR="00765FB3" w:rsidRPr="00EA69EB" w:rsidRDefault="00765FB3">
            <w:pPr>
              <w:pStyle w:val="Header"/>
              <w:rPr>
                <w:b/>
                <w:sz w:val="30"/>
              </w:rPr>
            </w:pPr>
          </w:p>
        </w:tc>
      </w:tr>
      <w:bookmarkEnd w:id="0"/>
      <w:tr w:rsidR="00765FB3" w:rsidRPr="00EA69EB" w14:paraId="4BF03510" w14:textId="77777777" w:rsidTr="00C858B8">
        <w:trPr>
          <w:gridBefore w:val="1"/>
          <w:wBefore w:w="8" w:type="dxa"/>
          <w:trHeight w:hRule="exact" w:val="1120"/>
        </w:trPr>
        <w:tc>
          <w:tcPr>
            <w:tcW w:w="5379" w:type="dxa"/>
          </w:tcPr>
          <w:p w14:paraId="7C1E82AA" w14:textId="31421496" w:rsidR="00925AC8" w:rsidRPr="00EA69EB" w:rsidRDefault="00DD1F63" w:rsidP="00925AC8">
            <w:pPr>
              <w:spacing w:line="276" w:lineRule="auto"/>
              <w:rPr>
                <w:sz w:val="24"/>
              </w:rPr>
            </w:pPr>
            <w:r w:rsidRPr="00EA69EB">
              <w:rPr>
                <w:sz w:val="24"/>
              </w:rPr>
              <w:fldChar w:fldCharType="begin">
                <w:ffData>
                  <w:name w:val=""/>
                  <w:enabled/>
                  <w:calcOnExit w:val="0"/>
                  <w:statusText w:type="text" w:val="Adresatas"/>
                  <w:textInput>
                    <w:default w:val="Lietuvos Respublikos Vyriausybei"/>
                  </w:textInput>
                </w:ffData>
              </w:fldChar>
            </w:r>
            <w:r w:rsidRPr="00EA69EB">
              <w:rPr>
                <w:sz w:val="24"/>
              </w:rPr>
              <w:instrText xml:space="preserve"> FORMTEXT </w:instrText>
            </w:r>
            <w:r w:rsidRPr="00EA69EB">
              <w:rPr>
                <w:sz w:val="24"/>
              </w:rPr>
            </w:r>
            <w:r w:rsidRPr="00EA69EB">
              <w:rPr>
                <w:sz w:val="24"/>
              </w:rPr>
              <w:fldChar w:fldCharType="separate"/>
            </w:r>
            <w:r w:rsidRPr="00EA69EB">
              <w:rPr>
                <w:noProof/>
                <w:sz w:val="24"/>
              </w:rPr>
              <w:t>Lietuvos Respublikos Vyriausybei</w:t>
            </w:r>
            <w:r w:rsidRPr="00EA69EB">
              <w:rPr>
                <w:sz w:val="24"/>
              </w:rPr>
              <w:fldChar w:fldCharType="end"/>
            </w:r>
          </w:p>
          <w:p w14:paraId="4BF0350D" w14:textId="775751C6" w:rsidR="00224032" w:rsidRPr="00EA69EB" w:rsidRDefault="00224032" w:rsidP="00DD1F63">
            <w:pPr>
              <w:spacing w:line="276" w:lineRule="auto"/>
              <w:rPr>
                <w:sz w:val="24"/>
              </w:rPr>
            </w:pPr>
          </w:p>
        </w:tc>
        <w:tc>
          <w:tcPr>
            <w:tcW w:w="3977" w:type="dxa"/>
            <w:gridSpan w:val="2"/>
          </w:tcPr>
          <w:p w14:paraId="4BF0350E" w14:textId="3D93629C" w:rsidR="00765FB3" w:rsidRPr="00EA69EB" w:rsidRDefault="00765FB3" w:rsidP="009F0D2E">
            <w:pPr>
              <w:tabs>
                <w:tab w:val="left" w:pos="1985"/>
                <w:tab w:val="left" w:pos="2977"/>
              </w:tabs>
              <w:spacing w:line="360" w:lineRule="auto"/>
              <w:jc w:val="both"/>
              <w:rPr>
                <w:sz w:val="24"/>
              </w:rPr>
            </w:pPr>
            <w:r w:rsidRPr="00EA69EB">
              <w:rPr>
                <w:sz w:val="24"/>
              </w:rPr>
              <w:t>20</w:t>
            </w:r>
            <w:r w:rsidR="008A13DA" w:rsidRPr="00EA69EB">
              <w:rPr>
                <w:sz w:val="24"/>
              </w:rPr>
              <w:t>2</w:t>
            </w:r>
            <w:r w:rsidR="00F546CD" w:rsidRPr="00EA69EB">
              <w:rPr>
                <w:sz w:val="24"/>
              </w:rPr>
              <w:t>1</w:t>
            </w:r>
            <w:r w:rsidRPr="00EA69EB">
              <w:rPr>
                <w:sz w:val="24"/>
              </w:rPr>
              <w:t>-</w:t>
            </w:r>
            <w:r w:rsidR="00AA2D24" w:rsidRPr="00EA69EB">
              <w:rPr>
                <w:sz w:val="24"/>
              </w:rPr>
              <w:t>02</w:t>
            </w:r>
            <w:r w:rsidR="001333CE">
              <w:rPr>
                <w:sz w:val="24"/>
              </w:rPr>
              <w:t>-19</w:t>
            </w:r>
            <w:r w:rsidRPr="00EA69EB">
              <w:rPr>
                <w:sz w:val="24"/>
              </w:rPr>
              <w:t xml:space="preserve">   </w:t>
            </w:r>
            <w:r w:rsidR="00270A80" w:rsidRPr="00EA69EB">
              <w:rPr>
                <w:sz w:val="24"/>
              </w:rPr>
              <w:t xml:space="preserve"> </w:t>
            </w:r>
            <w:r w:rsidR="00925AC8" w:rsidRPr="00EA69EB">
              <w:rPr>
                <w:sz w:val="24"/>
              </w:rPr>
              <w:t xml:space="preserve">     Nr. (22.26</w:t>
            </w:r>
            <w:r w:rsidR="00132927" w:rsidRPr="00EA69EB">
              <w:rPr>
                <w:sz w:val="24"/>
              </w:rPr>
              <w:t>)3-</w:t>
            </w:r>
            <w:r w:rsidR="001333CE">
              <w:rPr>
                <w:sz w:val="24"/>
              </w:rPr>
              <w:t>987</w:t>
            </w:r>
            <w:bookmarkStart w:id="1" w:name="_GoBack"/>
            <w:bookmarkEnd w:id="1"/>
          </w:p>
          <w:p w14:paraId="4BF0350F" w14:textId="77777777" w:rsidR="00335371" w:rsidRPr="00EA69EB" w:rsidRDefault="00335371" w:rsidP="009F0D2E">
            <w:pPr>
              <w:tabs>
                <w:tab w:val="left" w:pos="275"/>
                <w:tab w:val="left" w:pos="1984"/>
              </w:tabs>
              <w:spacing w:line="360" w:lineRule="auto"/>
              <w:ind w:left="275"/>
              <w:jc w:val="both"/>
              <w:rPr>
                <w:sz w:val="24"/>
                <w:szCs w:val="24"/>
              </w:rPr>
            </w:pPr>
          </w:p>
        </w:tc>
      </w:tr>
      <w:tr w:rsidR="00765FB3" w:rsidRPr="00EA69EB" w14:paraId="4BF03512" w14:textId="77777777" w:rsidTr="008A13DA">
        <w:trPr>
          <w:gridBefore w:val="1"/>
          <w:wBefore w:w="8" w:type="dxa"/>
          <w:cantSplit/>
          <w:trHeight w:val="867"/>
        </w:trPr>
        <w:tc>
          <w:tcPr>
            <w:tcW w:w="9356" w:type="dxa"/>
            <w:gridSpan w:val="3"/>
          </w:tcPr>
          <w:p w14:paraId="5473C146" w14:textId="77777777" w:rsidR="004249C5" w:rsidRPr="00EA69EB" w:rsidRDefault="00F546CD" w:rsidP="00F36A2E">
            <w:pPr>
              <w:tabs>
                <w:tab w:val="left" w:pos="198"/>
                <w:tab w:val="left" w:pos="720"/>
                <w:tab w:val="left" w:pos="1985"/>
                <w:tab w:val="left" w:pos="2977"/>
              </w:tabs>
              <w:spacing w:line="276" w:lineRule="auto"/>
              <w:jc w:val="both"/>
              <w:rPr>
                <w:b/>
                <w:sz w:val="24"/>
              </w:rPr>
            </w:pPr>
            <w:r w:rsidRPr="00EA69EB">
              <w:rPr>
                <w:b/>
                <w:sz w:val="24"/>
              </w:rPr>
              <w:t xml:space="preserve">DĖL </w:t>
            </w:r>
            <w:r w:rsidR="00F36A2E" w:rsidRPr="00EA69EB">
              <w:rPr>
                <w:b/>
                <w:sz w:val="24"/>
              </w:rPr>
              <w:t xml:space="preserve">TEISĖS AKTŲ PROJEKTŲ DĖL SUSITARIMO DĖL EUROPOS SĄJUNGOS VALSTYBIŲ NARIŲ DVIŠALIŲ INVESTICIJŲ SUTARČIŲ NUTRAUKIMO RATIFIKAVIMO </w:t>
            </w:r>
          </w:p>
          <w:p w14:paraId="4BF03511" w14:textId="5AA704E6" w:rsidR="00F36A2E" w:rsidRPr="00EA69EB" w:rsidRDefault="00F36A2E" w:rsidP="00F36A2E">
            <w:pPr>
              <w:tabs>
                <w:tab w:val="left" w:pos="198"/>
                <w:tab w:val="left" w:pos="720"/>
                <w:tab w:val="left" w:pos="1985"/>
                <w:tab w:val="left" w:pos="2977"/>
              </w:tabs>
              <w:spacing w:line="276" w:lineRule="auto"/>
              <w:jc w:val="both"/>
              <w:rPr>
                <w:b/>
                <w:caps/>
                <w:sz w:val="24"/>
              </w:rPr>
            </w:pPr>
          </w:p>
        </w:tc>
      </w:tr>
    </w:tbl>
    <w:p w14:paraId="4BF03513" w14:textId="77777777" w:rsidR="00765FB3" w:rsidRPr="00EA69EB" w:rsidRDefault="00765FB3" w:rsidP="00DE01B0">
      <w:pPr>
        <w:spacing w:line="276" w:lineRule="auto"/>
        <w:sectPr w:rsidR="00765FB3" w:rsidRPr="00EA69EB" w:rsidSect="00F13CC5">
          <w:headerReference w:type="even" r:id="rId10"/>
          <w:headerReference w:type="default" r:id="rId11"/>
          <w:footerReference w:type="first" r:id="rId12"/>
          <w:type w:val="continuous"/>
          <w:pgSz w:w="11907" w:h="16840" w:code="9"/>
          <w:pgMar w:top="1134" w:right="567" w:bottom="1134" w:left="1701" w:header="340" w:footer="406" w:gutter="0"/>
          <w:cols w:space="1296"/>
          <w:titlePg/>
        </w:sectPr>
      </w:pPr>
    </w:p>
    <w:p w14:paraId="60C2FD72" w14:textId="06337E56" w:rsidR="00C46EAC" w:rsidRPr="00EA69EB" w:rsidRDefault="00C46EAC" w:rsidP="00BD7636">
      <w:pPr>
        <w:spacing w:line="312" w:lineRule="auto"/>
        <w:ind w:firstLine="720"/>
        <w:jc w:val="both"/>
        <w:rPr>
          <w:sz w:val="24"/>
          <w:szCs w:val="24"/>
        </w:rPr>
      </w:pPr>
      <w:r w:rsidRPr="00EA69EB">
        <w:rPr>
          <w:sz w:val="24"/>
        </w:rPr>
        <w:t xml:space="preserve">Lietuvos Respublikos užsienio reikalų ministerija (toliau – Užsienio reikalų ministerija), </w:t>
      </w:r>
      <w:r w:rsidRPr="00EA69EB">
        <w:rPr>
          <w:sz w:val="24"/>
          <w:szCs w:val="24"/>
        </w:rPr>
        <w:t xml:space="preserve">vadovaudamasi Lietuvos Respublikos tarptautinių sutarčių rengimo ir sudarymo taisyklių, patvirtintų Lietuvos Respublikos Vyriausybės 2001 m. spalio 1 d. nutarimu Nr. 1179, 18 punktu, parengė ir teikia Lietuvos Respublikos Vyriausybės nutarimo, Lietuvos Respublikos Prezidento dekreto ir Lietuvos Respublikos įstatymo dėl Susitarimo dėl Europos Sąjungos valstybių narių dvišalių investicijų sutarčių nutraukimo ratifikavimo projektus (toliau – teisės aktų projektai). </w:t>
      </w:r>
    </w:p>
    <w:p w14:paraId="3381D794" w14:textId="4D37477F" w:rsidR="00C46EAC" w:rsidRPr="00EA69EB" w:rsidRDefault="00C46EAC" w:rsidP="00BD7636">
      <w:pPr>
        <w:spacing w:line="312" w:lineRule="auto"/>
        <w:ind w:firstLine="720"/>
        <w:jc w:val="both"/>
        <w:rPr>
          <w:sz w:val="24"/>
          <w:szCs w:val="24"/>
        </w:rPr>
      </w:pPr>
      <w:r w:rsidRPr="00EA69EB">
        <w:rPr>
          <w:sz w:val="24"/>
          <w:szCs w:val="24"/>
        </w:rPr>
        <w:t>Teikiamų teisės aktų projektų tikslas – ratifikuoti 2020 m. gegužės 5 d. Briuselyje priimtą Susitarimą dėl Europos Sąjungos valstybių narių dvišalių investicijų sutarčių nutraukimo (toliau – Susitarimas). Pagal Lietuvos Respublikos Konstitucijos 138 straipsnio pirmosios dalies 6 punktą, Susitarimas yra ratifikuotina tarptautinė sutartis.</w:t>
      </w:r>
      <w:r w:rsidR="00FD07BA" w:rsidRPr="00EA69EB">
        <w:rPr>
          <w:sz w:val="24"/>
          <w:szCs w:val="24"/>
        </w:rPr>
        <w:t xml:space="preserve"> Seimo nutarimo projekto tikslas </w:t>
      </w:r>
      <w:r w:rsidR="003C2B23" w:rsidRPr="00EA69EB">
        <w:rPr>
          <w:sz w:val="24"/>
          <w:szCs w:val="24"/>
        </w:rPr>
        <w:t>–</w:t>
      </w:r>
      <w:r w:rsidR="00FD07BA" w:rsidRPr="00EA69EB">
        <w:rPr>
          <w:sz w:val="24"/>
          <w:szCs w:val="24"/>
        </w:rPr>
        <w:t xml:space="preserve"> </w:t>
      </w:r>
      <w:r w:rsidR="00AE1F3E" w:rsidRPr="00EA69EB">
        <w:rPr>
          <w:sz w:val="24"/>
          <w:szCs w:val="24"/>
        </w:rPr>
        <w:t xml:space="preserve">pabrėžti Lietuvos suinteresuotumą užtikrinti stiprią </w:t>
      </w:r>
      <w:r w:rsidR="003C2B23" w:rsidRPr="00EA69EB">
        <w:rPr>
          <w:sz w:val="24"/>
          <w:szCs w:val="24"/>
        </w:rPr>
        <w:t>ES vidaus investicijų apsaugą.</w:t>
      </w:r>
    </w:p>
    <w:p w14:paraId="17382874" w14:textId="635DF77E" w:rsidR="00C46EAC" w:rsidRPr="00EA69EB" w:rsidRDefault="00C46EAC" w:rsidP="00BD7636">
      <w:pPr>
        <w:spacing w:line="312" w:lineRule="auto"/>
        <w:ind w:firstLine="720"/>
        <w:jc w:val="both"/>
        <w:rPr>
          <w:sz w:val="24"/>
          <w:szCs w:val="24"/>
        </w:rPr>
      </w:pPr>
      <w:r w:rsidRPr="00EA69EB">
        <w:rPr>
          <w:sz w:val="24"/>
          <w:szCs w:val="24"/>
        </w:rPr>
        <w:t>Susitarimą pasirašė visos Europos Sąjungos valstybės narės</w:t>
      </w:r>
      <w:r w:rsidRPr="0023649D">
        <w:rPr>
          <w:sz w:val="24"/>
          <w:szCs w:val="24"/>
        </w:rPr>
        <w:t xml:space="preserve">, išskyrus </w:t>
      </w:r>
      <w:r w:rsidR="006D0A71" w:rsidRPr="0023649D">
        <w:rPr>
          <w:sz w:val="24"/>
          <w:szCs w:val="24"/>
        </w:rPr>
        <w:t>Airij</w:t>
      </w:r>
      <w:r w:rsidR="00352560" w:rsidRPr="0023649D">
        <w:rPr>
          <w:sz w:val="24"/>
          <w:szCs w:val="24"/>
        </w:rPr>
        <w:t>ą</w:t>
      </w:r>
      <w:r w:rsidR="006D0A71" w:rsidRPr="0023649D">
        <w:rPr>
          <w:sz w:val="24"/>
          <w:szCs w:val="24"/>
        </w:rPr>
        <w:t xml:space="preserve">, kuri </w:t>
      </w:r>
      <w:r w:rsidR="006D0A71" w:rsidRPr="00396EE1">
        <w:rPr>
          <w:sz w:val="24"/>
          <w:szCs w:val="24"/>
        </w:rPr>
        <w:t xml:space="preserve">neturi </w:t>
      </w:r>
      <w:r w:rsidR="006D0A71" w:rsidRPr="0023649D">
        <w:rPr>
          <w:sz w:val="24"/>
          <w:szCs w:val="24"/>
        </w:rPr>
        <w:t xml:space="preserve">galiojančių </w:t>
      </w:r>
      <w:r w:rsidR="00352560" w:rsidRPr="0023649D">
        <w:rPr>
          <w:sz w:val="24"/>
          <w:szCs w:val="24"/>
        </w:rPr>
        <w:t>dvišalių investicijų sutarčių su kitomis Europos Sąjungos valstybėmis narėmis, taip pat</w:t>
      </w:r>
      <w:r w:rsidR="006D0A71" w:rsidRPr="0023649D">
        <w:rPr>
          <w:sz w:val="24"/>
          <w:szCs w:val="24"/>
        </w:rPr>
        <w:t xml:space="preserve"> </w:t>
      </w:r>
      <w:r w:rsidRPr="0023649D">
        <w:rPr>
          <w:sz w:val="24"/>
          <w:szCs w:val="24"/>
        </w:rPr>
        <w:t>Austriją, Suomiją ir Švediją</w:t>
      </w:r>
      <w:r w:rsidR="00352560" w:rsidRPr="0023649D">
        <w:rPr>
          <w:sz w:val="24"/>
          <w:szCs w:val="24"/>
        </w:rPr>
        <w:t xml:space="preserve">, kurios savo dvišales investicijų apsaugos sutartis su kitomis Europos Sąjungos valstybėmis narėmis nutraukia </w:t>
      </w:r>
      <w:proofErr w:type="spellStart"/>
      <w:r w:rsidR="00352560" w:rsidRPr="0023649D">
        <w:rPr>
          <w:sz w:val="24"/>
          <w:szCs w:val="24"/>
        </w:rPr>
        <w:t>dvišališkai</w:t>
      </w:r>
      <w:proofErr w:type="spellEnd"/>
      <w:r w:rsidRPr="0023649D">
        <w:rPr>
          <w:sz w:val="24"/>
          <w:szCs w:val="24"/>
        </w:rPr>
        <w:t>. Lietuvos Respublikos</w:t>
      </w:r>
      <w:r w:rsidRPr="00EA69EB">
        <w:rPr>
          <w:sz w:val="24"/>
          <w:szCs w:val="24"/>
        </w:rPr>
        <w:t xml:space="preserve"> vardu šį Susitarimą pasirašė Lietuvos Respublikos nepaprastoji ir įgaliotoji ambasadorė, Lietuvos nuolatinė atstovė Europos Sąjungoje Jovita Neliupšienė. Susitarimas įsigaliojo 2020 m. rugpjūčio 29 d., kai pirmosios dvi Susitariančiosios Šalys – Danija ir Vengrija </w:t>
      </w:r>
      <w:r w:rsidRPr="00EA69EB">
        <w:rPr>
          <w:sz w:val="24"/>
          <w:szCs w:val="24"/>
          <w:lang w:eastAsia="en-GB"/>
        </w:rPr>
        <w:t>atliko atitinkamas vidaus procedūras</w:t>
      </w:r>
      <w:r w:rsidRPr="00EA69EB">
        <w:rPr>
          <w:sz w:val="24"/>
          <w:szCs w:val="24"/>
        </w:rPr>
        <w:t xml:space="preserve">. Kiekvienai kitai Susitariančiajai Šaliai, vadovaujantis Susitarimo 16 straipsnio 2 dalimi, Susitarimas įsigalios praėjus 30 kalendorinių dienų po ratifikavimo, patvirtinimo arba priėmimo dokumento deponavimo dienos. </w:t>
      </w:r>
    </w:p>
    <w:p w14:paraId="60749BE4" w14:textId="7A1BC1BF" w:rsidR="00C46EAC" w:rsidRPr="00EA69EB" w:rsidRDefault="00C46EAC" w:rsidP="00BD7636">
      <w:pPr>
        <w:spacing w:line="312" w:lineRule="auto"/>
        <w:ind w:firstLine="720"/>
        <w:jc w:val="both"/>
        <w:rPr>
          <w:sz w:val="24"/>
          <w:szCs w:val="24"/>
        </w:rPr>
      </w:pPr>
      <w:r w:rsidRPr="00EA69EB">
        <w:rPr>
          <w:sz w:val="24"/>
          <w:szCs w:val="24"/>
        </w:rPr>
        <w:t xml:space="preserve">Teikiamu ratifikuoti Susitarimu siekiama atsižvelgti į 2018 m. kovo 6 d. Europos Sąjungos Teisingumo Teismo </w:t>
      </w:r>
      <w:proofErr w:type="spellStart"/>
      <w:r w:rsidRPr="00EA69EB">
        <w:rPr>
          <w:i/>
          <w:sz w:val="24"/>
          <w:szCs w:val="24"/>
        </w:rPr>
        <w:t>Achmea</w:t>
      </w:r>
      <w:proofErr w:type="spellEnd"/>
      <w:r w:rsidRPr="00EA69EB">
        <w:rPr>
          <w:sz w:val="24"/>
          <w:szCs w:val="24"/>
        </w:rPr>
        <w:t xml:space="preserve"> byloje (C-284/16) priimto sprendimo teisines pasekmes visoms Europos Sąjungos valstybių narių sudarytoms investicijų skatinimo ir apsaugos sutartims. Be to, </w:t>
      </w:r>
      <w:r w:rsidRPr="00EA69EB">
        <w:rPr>
          <w:sz w:val="24"/>
          <w:szCs w:val="24"/>
        </w:rPr>
        <w:lastRenderedPageBreak/>
        <w:t xml:space="preserve">visos Europos Sąjungos valstybės narės, </w:t>
      </w:r>
      <w:r w:rsidRPr="007129D1">
        <w:rPr>
          <w:sz w:val="24"/>
          <w:szCs w:val="24"/>
        </w:rPr>
        <w:t>tarp jų</w:t>
      </w:r>
      <w:r w:rsidR="00396EE1" w:rsidRPr="007129D1">
        <w:rPr>
          <w:sz w:val="24"/>
          <w:szCs w:val="24"/>
        </w:rPr>
        <w:t xml:space="preserve"> – </w:t>
      </w:r>
      <w:r w:rsidRPr="007129D1">
        <w:rPr>
          <w:sz w:val="24"/>
          <w:szCs w:val="24"/>
        </w:rPr>
        <w:t>ir</w:t>
      </w:r>
      <w:r w:rsidRPr="00EA69EB">
        <w:rPr>
          <w:sz w:val="24"/>
          <w:szCs w:val="24"/>
        </w:rPr>
        <w:t xml:space="preserve"> Lietuvos Respublika, 2019 m. sausio 15</w:t>
      </w:r>
      <w:r w:rsidR="004C0966">
        <w:rPr>
          <w:sz w:val="24"/>
          <w:szCs w:val="24"/>
        </w:rPr>
        <w:t xml:space="preserve"> d.</w:t>
      </w:r>
      <w:r w:rsidRPr="00EA69EB">
        <w:rPr>
          <w:sz w:val="24"/>
          <w:szCs w:val="24"/>
        </w:rPr>
        <w:t xml:space="preserve"> ir 16 d. Briuselyje pasirašydamos valstybių narių vyriausybių atstovų deklaracijas dėl Teisingumo Teismo </w:t>
      </w:r>
      <w:proofErr w:type="spellStart"/>
      <w:r w:rsidRPr="00EA69EB">
        <w:rPr>
          <w:i/>
          <w:sz w:val="24"/>
          <w:szCs w:val="24"/>
        </w:rPr>
        <w:t>Achmea</w:t>
      </w:r>
      <w:proofErr w:type="spellEnd"/>
      <w:r w:rsidRPr="00EA69EB">
        <w:rPr>
          <w:sz w:val="24"/>
          <w:szCs w:val="24"/>
        </w:rPr>
        <w:t xml:space="preserve"> byloje priimto sprendimo teisinių pasekmių ir investicijų apsaugos Europos Sąjungoje, įsipareigojo nutraukti visas tarp jų sudarytas dvišales investicijų sutartis daugiašalės sutarties pagrindu arba dvišaliu sutarimu, jei bendrai pripažįstama, kad tai būtų tikslingiau. </w:t>
      </w:r>
    </w:p>
    <w:p w14:paraId="748D6B0B" w14:textId="4BC0BB43" w:rsidR="00C46EAC" w:rsidRPr="00637B8D" w:rsidRDefault="00C46EAC" w:rsidP="00BD7636">
      <w:pPr>
        <w:spacing w:line="312" w:lineRule="auto"/>
        <w:ind w:firstLine="720"/>
        <w:jc w:val="both"/>
        <w:rPr>
          <w:sz w:val="24"/>
          <w:szCs w:val="24"/>
        </w:rPr>
      </w:pPr>
      <w:r w:rsidRPr="00EA69EB">
        <w:rPr>
          <w:sz w:val="24"/>
          <w:szCs w:val="24"/>
        </w:rPr>
        <w:t xml:space="preserve">Sudarius šį </w:t>
      </w:r>
      <w:r w:rsidRPr="007129D1">
        <w:rPr>
          <w:sz w:val="24"/>
          <w:szCs w:val="24"/>
        </w:rPr>
        <w:t>Susitarimą bus nutrauktos Lietuvos Respublikos dvišalės investicijų skatinimo ir apsaugos sutartys su Belgijos</w:t>
      </w:r>
      <w:r w:rsidR="008D49AE" w:rsidRPr="007129D1">
        <w:rPr>
          <w:sz w:val="24"/>
          <w:szCs w:val="24"/>
        </w:rPr>
        <w:t xml:space="preserve"> ir </w:t>
      </w:r>
      <w:r w:rsidRPr="007129D1">
        <w:rPr>
          <w:sz w:val="24"/>
          <w:szCs w:val="24"/>
        </w:rPr>
        <w:t xml:space="preserve">Liuksemburgo ekonomine </w:t>
      </w:r>
      <w:r w:rsidRPr="00EA69EB">
        <w:rPr>
          <w:sz w:val="24"/>
          <w:szCs w:val="24"/>
        </w:rPr>
        <w:t>sąjunga, Bulgarija, Čekija, Danija, Estija, Graikija, Ispanija, Kroatija, Latvija, Lenkija, Nyderlandais, Portugalija, Prancūzija, Rumunija, Slovėnija, Vengrija ir Vokietija</w:t>
      </w:r>
      <w:r w:rsidRPr="0023649D">
        <w:rPr>
          <w:sz w:val="24"/>
          <w:szCs w:val="24"/>
        </w:rPr>
        <w:t xml:space="preserve">. </w:t>
      </w:r>
      <w:r w:rsidR="00352560" w:rsidRPr="0023649D">
        <w:rPr>
          <w:sz w:val="24"/>
          <w:szCs w:val="24"/>
        </w:rPr>
        <w:t>Su</w:t>
      </w:r>
      <w:r w:rsidRPr="0023649D">
        <w:rPr>
          <w:sz w:val="24"/>
          <w:szCs w:val="24"/>
        </w:rPr>
        <w:t xml:space="preserve"> Austrija, Suomija ir Švedija dvišalės investicijų skatinimo ir apsaugos sutartys su nutraukiamos atskirais dvišaliais susitarimais.</w:t>
      </w:r>
      <w:r w:rsidRPr="00EA69EB">
        <w:rPr>
          <w:sz w:val="24"/>
          <w:szCs w:val="24"/>
        </w:rPr>
        <w:t xml:space="preserve"> </w:t>
      </w:r>
    </w:p>
    <w:p w14:paraId="4538AC9E" w14:textId="77777777" w:rsidR="003C2B23" w:rsidRPr="00637B8D" w:rsidRDefault="003C2B23" w:rsidP="00BD7636">
      <w:pPr>
        <w:spacing w:line="312" w:lineRule="auto"/>
        <w:ind w:firstLine="720"/>
        <w:jc w:val="both"/>
        <w:rPr>
          <w:sz w:val="24"/>
          <w:szCs w:val="24"/>
        </w:rPr>
      </w:pPr>
      <w:r w:rsidRPr="00EA69EB">
        <w:rPr>
          <w:sz w:val="24"/>
          <w:szCs w:val="24"/>
        </w:rPr>
        <w:t xml:space="preserve">Teisės aktų projektai atitinka Aštuonioliktosios Lietuvos Respublikos Vyriausybės programą, kuriai pritarta Lietuvos Respublikos Seimo </w:t>
      </w:r>
      <w:r w:rsidRPr="00637B8D">
        <w:rPr>
          <w:sz w:val="24"/>
          <w:szCs w:val="24"/>
        </w:rPr>
        <w:t>2020</w:t>
      </w:r>
      <w:r w:rsidRPr="00EA69EB">
        <w:rPr>
          <w:sz w:val="24"/>
          <w:szCs w:val="24"/>
        </w:rPr>
        <w:t xml:space="preserve"> m. gruodžio 11 d. nutarimu Nr. XIV-72 „Dėl aštuonioliktosios Lietuvos Respublikos Vyriausybės programos“. Teisės aktų projektai neperkelia ir neįgyvendina Europos Sąjungos teisės aktų, nėra notifikuotini Europos Komisijai. Priėmus </w:t>
      </w:r>
      <w:r w:rsidRPr="00637B8D">
        <w:rPr>
          <w:sz w:val="24"/>
          <w:szCs w:val="24"/>
        </w:rPr>
        <w:t>teisės aktų projektus priimti naujų, pakeisti ar pripažinti netekusiais galios teisės aktų nereikės.</w:t>
      </w:r>
    </w:p>
    <w:p w14:paraId="2A42FBBF" w14:textId="77777777" w:rsidR="003C2B23" w:rsidRPr="00637B8D" w:rsidRDefault="003C2B23" w:rsidP="00BD7636">
      <w:pPr>
        <w:spacing w:line="312" w:lineRule="auto"/>
        <w:ind w:firstLine="720"/>
        <w:jc w:val="both"/>
        <w:rPr>
          <w:sz w:val="24"/>
          <w:szCs w:val="24"/>
        </w:rPr>
      </w:pPr>
      <w:r w:rsidRPr="00637B8D">
        <w:rPr>
          <w:sz w:val="24"/>
          <w:szCs w:val="24"/>
        </w:rPr>
        <w:t xml:space="preserve">Vadovaujantis Numatomo teisinio reguliavimo poveikio vertinimo metodikos, patvirtintos Lietuvos Respublikos Vyriausybės 2003 m. vasario 26 d. nutarimu Nr. 276 „Dėl Numatomo teisinio reguliavimo poveikio vertinimo metodikos patvirtinimo“, 36 punktu, Numatomo teisinio reguliavimo poveikio vertinimo pažyma nerengiama, o teisės aktų projektų poveikio vertinimo rezultatai pateikiami aiškinamajame rašte. </w:t>
      </w:r>
      <w:r w:rsidRPr="00637B8D">
        <w:rPr>
          <w:sz w:val="24"/>
        </w:rPr>
        <w:t>Priėmus teisės aktų projektus, neigiamų pasekmių nenumatoma.</w:t>
      </w:r>
    </w:p>
    <w:p w14:paraId="3A6189B0" w14:textId="30EB81CE" w:rsidR="00750EF7" w:rsidRPr="0023649D" w:rsidRDefault="003C2B23" w:rsidP="00750EF7">
      <w:pPr>
        <w:spacing w:line="312" w:lineRule="auto"/>
        <w:ind w:firstLine="720"/>
        <w:jc w:val="both"/>
        <w:rPr>
          <w:sz w:val="24"/>
          <w:szCs w:val="24"/>
        </w:rPr>
      </w:pPr>
      <w:r w:rsidRPr="00637B8D">
        <w:rPr>
          <w:sz w:val="24"/>
          <w:szCs w:val="24"/>
        </w:rPr>
        <w:t xml:space="preserve">Teisės aktų projektai be pastabų suderinti su Ekonomikos ir inovacijų, Energetikos, Finansų ir Teisingumo </w:t>
      </w:r>
      <w:r w:rsidRPr="0023649D">
        <w:rPr>
          <w:sz w:val="24"/>
          <w:szCs w:val="24"/>
        </w:rPr>
        <w:t xml:space="preserve">ministerijomis. </w:t>
      </w:r>
      <w:r w:rsidR="00750EF7" w:rsidRPr="0023649D">
        <w:rPr>
          <w:sz w:val="24"/>
          <w:szCs w:val="24"/>
        </w:rPr>
        <w:t xml:space="preserve">Atsižvelgus į naujausią Lietuvos Respublikos </w:t>
      </w:r>
      <w:r w:rsidR="00EA69EB" w:rsidRPr="0023649D">
        <w:rPr>
          <w:sz w:val="24"/>
          <w:szCs w:val="24"/>
        </w:rPr>
        <w:t xml:space="preserve">Vyriausybės nutarimų ir </w:t>
      </w:r>
      <w:r w:rsidR="00750EF7" w:rsidRPr="0023649D">
        <w:rPr>
          <w:sz w:val="24"/>
          <w:szCs w:val="24"/>
        </w:rPr>
        <w:t>Prezidento dekretų</w:t>
      </w:r>
      <w:r w:rsidR="00EA69EB" w:rsidRPr="0023649D">
        <w:rPr>
          <w:sz w:val="24"/>
          <w:szCs w:val="24"/>
        </w:rPr>
        <w:t xml:space="preserve">, susijusių su ratifikuotinomis tarptautinėmis sutartimis, </w:t>
      </w:r>
      <w:r w:rsidR="00750EF7" w:rsidRPr="0023649D">
        <w:rPr>
          <w:sz w:val="24"/>
          <w:szCs w:val="24"/>
        </w:rPr>
        <w:t xml:space="preserve">rengimo praktiką, </w:t>
      </w:r>
      <w:r w:rsidR="002B35E1" w:rsidRPr="0023649D">
        <w:rPr>
          <w:sz w:val="24"/>
          <w:szCs w:val="24"/>
        </w:rPr>
        <w:t>a</w:t>
      </w:r>
      <w:r w:rsidR="00750EF7" w:rsidRPr="0023649D">
        <w:rPr>
          <w:sz w:val="24"/>
          <w:szCs w:val="24"/>
        </w:rPr>
        <w:t xml:space="preserve">titinkamai </w:t>
      </w:r>
      <w:r w:rsidR="00EA69EB" w:rsidRPr="0023649D">
        <w:rPr>
          <w:sz w:val="24"/>
          <w:szCs w:val="24"/>
        </w:rPr>
        <w:t xml:space="preserve">patikslinti teikiami </w:t>
      </w:r>
      <w:r w:rsidR="00750EF7" w:rsidRPr="0023649D">
        <w:rPr>
          <w:sz w:val="24"/>
          <w:szCs w:val="24"/>
        </w:rPr>
        <w:t>Vyriausybės nutarimo</w:t>
      </w:r>
      <w:r w:rsidR="00EA69EB" w:rsidRPr="0023649D">
        <w:rPr>
          <w:sz w:val="24"/>
          <w:szCs w:val="24"/>
        </w:rPr>
        <w:t xml:space="preserve"> ir Prezidento dekreto</w:t>
      </w:r>
      <w:r w:rsidR="00750EF7" w:rsidRPr="0023649D">
        <w:rPr>
          <w:sz w:val="24"/>
          <w:szCs w:val="24"/>
        </w:rPr>
        <w:t xml:space="preserve"> projekta</w:t>
      </w:r>
      <w:r w:rsidR="00EA69EB" w:rsidRPr="0023649D">
        <w:rPr>
          <w:sz w:val="24"/>
          <w:szCs w:val="24"/>
        </w:rPr>
        <w:t>i</w:t>
      </w:r>
      <w:r w:rsidR="00750EF7" w:rsidRPr="0023649D">
        <w:rPr>
          <w:sz w:val="24"/>
          <w:szCs w:val="24"/>
        </w:rPr>
        <w:t xml:space="preserve">. </w:t>
      </w:r>
    </w:p>
    <w:p w14:paraId="638D1FB9" w14:textId="7E27345E" w:rsidR="009C4BF2" w:rsidRPr="00A5003D" w:rsidRDefault="00334974" w:rsidP="00397C1D">
      <w:pPr>
        <w:spacing w:line="312" w:lineRule="auto"/>
        <w:ind w:firstLine="720"/>
        <w:jc w:val="both"/>
        <w:rPr>
          <w:sz w:val="24"/>
          <w:szCs w:val="24"/>
        </w:rPr>
      </w:pPr>
      <w:r w:rsidRPr="00A5003D">
        <w:rPr>
          <w:sz w:val="24"/>
          <w:szCs w:val="24"/>
        </w:rPr>
        <w:t xml:space="preserve">Teisės aktų projektai buvo skelbiami Lietuvos Respublikos Seimo kanceliarijos teisės aktų informacinėje sistemoje (TAIS). </w:t>
      </w:r>
      <w:r w:rsidR="00C63ADD">
        <w:rPr>
          <w:sz w:val="24"/>
          <w:szCs w:val="24"/>
        </w:rPr>
        <w:t>Gauta</w:t>
      </w:r>
      <w:r w:rsidR="00C63ADD" w:rsidRPr="00A5003D">
        <w:rPr>
          <w:sz w:val="24"/>
          <w:szCs w:val="24"/>
        </w:rPr>
        <w:t xml:space="preserve"> </w:t>
      </w:r>
      <w:r w:rsidRPr="00A5003D">
        <w:rPr>
          <w:sz w:val="24"/>
          <w:szCs w:val="24"/>
        </w:rPr>
        <w:t xml:space="preserve">pastabų iš Lietuvos verslo atstovų. </w:t>
      </w:r>
      <w:r w:rsidR="00401672" w:rsidRPr="00A5003D">
        <w:rPr>
          <w:sz w:val="24"/>
          <w:szCs w:val="24"/>
        </w:rPr>
        <w:t xml:space="preserve">Šios pastabos ir Užsienio reikalų ministerijos komentarai dėl jų išdėstyti </w:t>
      </w:r>
      <w:r w:rsidR="00C63ADD">
        <w:rPr>
          <w:sz w:val="24"/>
          <w:szCs w:val="24"/>
        </w:rPr>
        <w:t xml:space="preserve">teikiamoje </w:t>
      </w:r>
      <w:r w:rsidR="00401672" w:rsidRPr="00A5003D">
        <w:rPr>
          <w:sz w:val="24"/>
          <w:szCs w:val="24"/>
        </w:rPr>
        <w:t xml:space="preserve">derinimo pažymoje. </w:t>
      </w:r>
    </w:p>
    <w:p w14:paraId="34BB8925" w14:textId="5F6019D1" w:rsidR="00397C1D" w:rsidRPr="00EA69EB" w:rsidRDefault="009C4BF2" w:rsidP="00397C1D">
      <w:pPr>
        <w:spacing w:line="312" w:lineRule="auto"/>
        <w:ind w:firstLine="720"/>
        <w:jc w:val="both"/>
        <w:rPr>
          <w:sz w:val="24"/>
          <w:szCs w:val="24"/>
          <w:lang w:eastAsia="lt-LT"/>
        </w:rPr>
      </w:pPr>
      <w:r w:rsidRPr="00A5003D">
        <w:rPr>
          <w:sz w:val="24"/>
          <w:szCs w:val="24"/>
          <w:lang w:eastAsia="lt-LT"/>
        </w:rPr>
        <w:t xml:space="preserve">Atsižvelgdama į </w:t>
      </w:r>
      <w:r w:rsidR="00397C1D" w:rsidRPr="00A5003D">
        <w:rPr>
          <w:sz w:val="24"/>
          <w:szCs w:val="24"/>
          <w:lang w:eastAsia="lt-LT"/>
        </w:rPr>
        <w:t xml:space="preserve">Lietuvos verslo atstovų </w:t>
      </w:r>
      <w:proofErr w:type="spellStart"/>
      <w:r w:rsidR="00397C1D" w:rsidRPr="00A5003D">
        <w:rPr>
          <w:sz w:val="24"/>
          <w:szCs w:val="24"/>
          <w:lang w:eastAsia="lt-LT"/>
        </w:rPr>
        <w:t>raginimus</w:t>
      </w:r>
      <w:proofErr w:type="spellEnd"/>
      <w:r w:rsidR="00397C1D" w:rsidRPr="00A5003D">
        <w:rPr>
          <w:sz w:val="24"/>
          <w:szCs w:val="24"/>
          <w:lang w:eastAsia="lt-LT"/>
        </w:rPr>
        <w:t xml:space="preserve"> Lietuvos vardu pareikšti deklaraciją dėl poreikio stiprinti investicijų apsaugą Europos Sąjungoje</w:t>
      </w:r>
      <w:r w:rsidR="00637B8D" w:rsidRPr="00A5003D">
        <w:rPr>
          <w:sz w:val="24"/>
          <w:szCs w:val="24"/>
          <w:lang w:eastAsia="lt-LT"/>
        </w:rPr>
        <w:t xml:space="preserve"> (panašaus pobūdžio deklaracijas </w:t>
      </w:r>
      <w:r w:rsidR="0030277E" w:rsidRPr="00A5003D">
        <w:rPr>
          <w:sz w:val="24"/>
          <w:szCs w:val="24"/>
          <w:lang w:eastAsia="lt-LT"/>
        </w:rPr>
        <w:t>Susitarimo pasirašymo metu</w:t>
      </w:r>
      <w:r w:rsidR="0030277E" w:rsidRPr="00A5003D" w:rsidDel="0030277E">
        <w:rPr>
          <w:sz w:val="24"/>
          <w:szCs w:val="24"/>
          <w:lang w:eastAsia="lt-LT"/>
        </w:rPr>
        <w:t xml:space="preserve"> </w:t>
      </w:r>
      <w:r w:rsidR="0030277E" w:rsidRPr="00A5003D">
        <w:rPr>
          <w:sz w:val="24"/>
          <w:szCs w:val="24"/>
          <w:lang w:eastAsia="lt-LT"/>
        </w:rPr>
        <w:t>pa</w:t>
      </w:r>
      <w:r w:rsidR="0030277E">
        <w:rPr>
          <w:sz w:val="24"/>
          <w:szCs w:val="24"/>
          <w:lang w:eastAsia="lt-LT"/>
        </w:rPr>
        <w:t>teik</w:t>
      </w:r>
      <w:r w:rsidR="0030277E" w:rsidRPr="00A5003D">
        <w:rPr>
          <w:sz w:val="24"/>
          <w:szCs w:val="24"/>
          <w:lang w:eastAsia="lt-LT"/>
        </w:rPr>
        <w:t xml:space="preserve">ė </w:t>
      </w:r>
      <w:r w:rsidRPr="00A5003D">
        <w:rPr>
          <w:sz w:val="24"/>
          <w:szCs w:val="24"/>
          <w:lang w:eastAsia="lt-LT"/>
        </w:rPr>
        <w:t>Liuksemburg</w:t>
      </w:r>
      <w:r w:rsidR="00397C1D" w:rsidRPr="00A5003D">
        <w:rPr>
          <w:sz w:val="24"/>
          <w:szCs w:val="24"/>
          <w:lang w:eastAsia="lt-LT"/>
        </w:rPr>
        <w:t>as</w:t>
      </w:r>
      <w:r w:rsidRPr="00A5003D">
        <w:rPr>
          <w:sz w:val="24"/>
          <w:szCs w:val="24"/>
          <w:lang w:eastAsia="lt-LT"/>
        </w:rPr>
        <w:t xml:space="preserve"> ir Portugalij</w:t>
      </w:r>
      <w:r w:rsidR="00397C1D" w:rsidRPr="00A5003D">
        <w:rPr>
          <w:sz w:val="24"/>
          <w:szCs w:val="24"/>
          <w:lang w:eastAsia="lt-LT"/>
        </w:rPr>
        <w:t>a</w:t>
      </w:r>
      <w:r w:rsidR="00637B8D" w:rsidRPr="00A5003D">
        <w:rPr>
          <w:sz w:val="24"/>
          <w:szCs w:val="24"/>
          <w:lang w:eastAsia="lt-LT"/>
        </w:rPr>
        <w:t>)</w:t>
      </w:r>
      <w:r w:rsidRPr="00A5003D">
        <w:rPr>
          <w:sz w:val="24"/>
          <w:szCs w:val="24"/>
          <w:lang w:eastAsia="lt-LT"/>
        </w:rPr>
        <w:t xml:space="preserve">, </w:t>
      </w:r>
      <w:r w:rsidR="00750EF7" w:rsidRPr="00A5003D">
        <w:rPr>
          <w:sz w:val="24"/>
          <w:szCs w:val="24"/>
          <w:lang w:eastAsia="lt-LT"/>
        </w:rPr>
        <w:t xml:space="preserve">Užsienio reikalų ministerija darbo tvarka konsultavosi su </w:t>
      </w:r>
      <w:r w:rsidR="00750EF7" w:rsidRPr="007129D1">
        <w:rPr>
          <w:sz w:val="24"/>
          <w:szCs w:val="24"/>
          <w:lang w:eastAsia="lt-LT"/>
        </w:rPr>
        <w:t xml:space="preserve">kompetentingomis institucijomis dėl tokio pareiškimo </w:t>
      </w:r>
      <w:r w:rsidR="00797DA6" w:rsidRPr="007129D1">
        <w:rPr>
          <w:sz w:val="24"/>
          <w:szCs w:val="24"/>
          <w:lang w:eastAsia="lt-LT"/>
        </w:rPr>
        <w:t xml:space="preserve">parengimo </w:t>
      </w:r>
      <w:r w:rsidR="00750EF7" w:rsidRPr="007129D1">
        <w:rPr>
          <w:sz w:val="24"/>
          <w:szCs w:val="24"/>
          <w:lang w:eastAsia="lt-LT"/>
        </w:rPr>
        <w:t xml:space="preserve">galimybių ir jo teisinės formos. </w:t>
      </w:r>
      <w:r w:rsidR="00040DEB" w:rsidRPr="007129D1">
        <w:rPr>
          <w:sz w:val="24"/>
          <w:szCs w:val="24"/>
          <w:lang w:eastAsia="lt-LT"/>
        </w:rPr>
        <w:t>Užsienio reikalų ministerijos nuomone, į</w:t>
      </w:r>
      <w:r w:rsidR="00750EF7" w:rsidRPr="007129D1">
        <w:rPr>
          <w:sz w:val="24"/>
          <w:szCs w:val="24"/>
          <w:lang w:eastAsia="lt-LT"/>
        </w:rPr>
        <w:t xml:space="preserve">vertinus </w:t>
      </w:r>
      <w:r w:rsidR="00397C1D" w:rsidRPr="007129D1">
        <w:rPr>
          <w:sz w:val="24"/>
          <w:szCs w:val="24"/>
          <w:lang w:eastAsia="lt-LT"/>
        </w:rPr>
        <w:t>teisėkūros reikalavimus</w:t>
      </w:r>
      <w:r w:rsidR="00750EF7" w:rsidRPr="007129D1">
        <w:rPr>
          <w:sz w:val="24"/>
          <w:szCs w:val="24"/>
          <w:lang w:eastAsia="lt-LT"/>
        </w:rPr>
        <w:t>,</w:t>
      </w:r>
      <w:r w:rsidR="00397C1D" w:rsidRPr="007129D1">
        <w:rPr>
          <w:sz w:val="24"/>
          <w:szCs w:val="24"/>
          <w:lang w:eastAsia="lt-LT"/>
        </w:rPr>
        <w:t xml:space="preserve"> nacionalinės teisės nustatytą Lietuvos Respublikos pareiškimų darymo tvarką</w:t>
      </w:r>
      <w:r w:rsidR="00750EF7" w:rsidRPr="007129D1">
        <w:rPr>
          <w:sz w:val="24"/>
          <w:szCs w:val="24"/>
          <w:lang w:eastAsia="lt-LT"/>
        </w:rPr>
        <w:t xml:space="preserve"> </w:t>
      </w:r>
      <w:r w:rsidR="00797DA6" w:rsidRPr="007129D1">
        <w:rPr>
          <w:sz w:val="24"/>
          <w:szCs w:val="24"/>
          <w:lang w:eastAsia="lt-LT"/>
        </w:rPr>
        <w:t xml:space="preserve">ir </w:t>
      </w:r>
      <w:r w:rsidR="00637B8D" w:rsidRPr="007129D1">
        <w:rPr>
          <w:sz w:val="24"/>
          <w:szCs w:val="24"/>
          <w:lang w:eastAsia="lt-LT"/>
        </w:rPr>
        <w:t xml:space="preserve">praktiką, </w:t>
      </w:r>
      <w:r w:rsidR="00797DA6" w:rsidRPr="007129D1">
        <w:rPr>
          <w:sz w:val="24"/>
          <w:szCs w:val="24"/>
          <w:lang w:eastAsia="lt-LT"/>
        </w:rPr>
        <w:t>taip pat</w:t>
      </w:r>
      <w:r w:rsidR="005033B0" w:rsidRPr="007129D1">
        <w:rPr>
          <w:sz w:val="24"/>
          <w:szCs w:val="24"/>
          <w:lang w:eastAsia="lt-LT"/>
        </w:rPr>
        <w:t xml:space="preserve"> atsižvelgus</w:t>
      </w:r>
      <w:r w:rsidR="00B7353A">
        <w:rPr>
          <w:sz w:val="24"/>
          <w:szCs w:val="24"/>
          <w:lang w:eastAsia="lt-LT"/>
        </w:rPr>
        <w:t xml:space="preserve"> </w:t>
      </w:r>
      <w:r w:rsidR="005033B0" w:rsidRPr="007129D1">
        <w:rPr>
          <w:sz w:val="24"/>
          <w:szCs w:val="24"/>
          <w:lang w:eastAsia="lt-LT"/>
        </w:rPr>
        <w:t>į</w:t>
      </w:r>
      <w:r w:rsidR="00637B8D" w:rsidRPr="007129D1">
        <w:rPr>
          <w:sz w:val="24"/>
          <w:szCs w:val="24"/>
          <w:lang w:eastAsia="lt-LT"/>
        </w:rPr>
        <w:t xml:space="preserve"> </w:t>
      </w:r>
      <w:r w:rsidR="00750EF7" w:rsidRPr="007129D1">
        <w:rPr>
          <w:sz w:val="24"/>
          <w:szCs w:val="24"/>
          <w:lang w:eastAsia="lt-LT"/>
        </w:rPr>
        <w:t>tai, kad</w:t>
      </w:r>
      <w:r w:rsidR="00750EF7" w:rsidRPr="00A5003D">
        <w:rPr>
          <w:sz w:val="24"/>
          <w:szCs w:val="24"/>
          <w:lang w:eastAsia="lt-LT"/>
        </w:rPr>
        <w:t xml:space="preserve"> šiuo atveju pareiškimas </w:t>
      </w:r>
      <w:r w:rsidR="002B35E1" w:rsidRPr="00A5003D">
        <w:rPr>
          <w:sz w:val="24"/>
          <w:szCs w:val="24"/>
          <w:lang w:eastAsia="lt-LT"/>
        </w:rPr>
        <w:t>atitiktų</w:t>
      </w:r>
      <w:r w:rsidR="00750EF7" w:rsidRPr="00A5003D">
        <w:rPr>
          <w:sz w:val="24"/>
          <w:szCs w:val="24"/>
          <w:lang w:eastAsia="lt-LT"/>
        </w:rPr>
        <w:t xml:space="preserve"> politinės deklaracijos pobūdį, </w:t>
      </w:r>
      <w:r w:rsidRPr="00A5003D">
        <w:rPr>
          <w:sz w:val="24"/>
          <w:szCs w:val="24"/>
        </w:rPr>
        <w:t>Lietuvos Respublikos įstatymo dėl Susitarimo dėl Europos Sąjungos valstybių narių dvišalių investicijų sutarčių nutraukimo ratifikavimo projekto svarstymo Lietuvos Respublikos</w:t>
      </w:r>
      <w:r w:rsidRPr="00637B8D">
        <w:rPr>
          <w:sz w:val="24"/>
          <w:szCs w:val="24"/>
        </w:rPr>
        <w:t xml:space="preserve"> Seime metu kartu </w:t>
      </w:r>
      <w:r w:rsidRPr="00EA69EB">
        <w:rPr>
          <w:sz w:val="24"/>
          <w:szCs w:val="24"/>
          <w:lang w:eastAsia="lt-LT"/>
        </w:rPr>
        <w:t xml:space="preserve">galėtų būti </w:t>
      </w:r>
      <w:r w:rsidR="005033B0">
        <w:rPr>
          <w:sz w:val="24"/>
          <w:szCs w:val="24"/>
          <w:lang w:eastAsia="lt-LT"/>
        </w:rPr>
        <w:t>svarstoma ir</w:t>
      </w:r>
      <w:r w:rsidR="005033B0" w:rsidRPr="00EA69EB">
        <w:rPr>
          <w:sz w:val="24"/>
          <w:szCs w:val="24"/>
          <w:lang w:eastAsia="lt-LT"/>
        </w:rPr>
        <w:t xml:space="preserve"> </w:t>
      </w:r>
      <w:r w:rsidRPr="00EA69EB">
        <w:rPr>
          <w:sz w:val="24"/>
          <w:szCs w:val="24"/>
          <w:lang w:eastAsia="lt-LT"/>
        </w:rPr>
        <w:t xml:space="preserve">galimybė priimti atskirą Lietuvos Respublikos Seimo nutarimą </w:t>
      </w:r>
      <w:r w:rsidR="005D2689" w:rsidRPr="00040DEB">
        <w:rPr>
          <w:sz w:val="24"/>
          <w:szCs w:val="24"/>
          <w:lang w:eastAsia="lt-LT"/>
        </w:rPr>
        <w:t>(</w:t>
      </w:r>
      <w:r w:rsidR="00637B8D" w:rsidRPr="00040DEB">
        <w:rPr>
          <w:sz w:val="24"/>
          <w:szCs w:val="24"/>
          <w:lang w:eastAsia="lt-LT"/>
        </w:rPr>
        <w:t>ar Seimo rezoliuciją</w:t>
      </w:r>
      <w:r w:rsidR="005D2689" w:rsidRPr="00040DEB">
        <w:rPr>
          <w:sz w:val="24"/>
          <w:szCs w:val="24"/>
          <w:lang w:eastAsia="lt-LT"/>
        </w:rPr>
        <w:t>)</w:t>
      </w:r>
      <w:r w:rsidR="00637B8D">
        <w:rPr>
          <w:sz w:val="24"/>
          <w:szCs w:val="24"/>
          <w:lang w:eastAsia="lt-LT"/>
        </w:rPr>
        <w:t xml:space="preserve"> </w:t>
      </w:r>
      <w:r w:rsidR="00397C1D" w:rsidRPr="00EA69EB">
        <w:rPr>
          <w:sz w:val="24"/>
          <w:szCs w:val="24"/>
          <w:lang w:eastAsia="lt-LT"/>
        </w:rPr>
        <w:t>d</w:t>
      </w:r>
      <w:r w:rsidRPr="00EA69EB">
        <w:rPr>
          <w:sz w:val="24"/>
          <w:szCs w:val="24"/>
          <w:lang w:eastAsia="lt-LT"/>
        </w:rPr>
        <w:t xml:space="preserve">ėl Lietuvos Respublikos Seimo pareiškimo dėl Susitarimo dėl </w:t>
      </w:r>
      <w:r w:rsidRPr="00EA69EB">
        <w:rPr>
          <w:sz w:val="24"/>
          <w:szCs w:val="24"/>
          <w:lang w:eastAsia="lt-LT"/>
        </w:rPr>
        <w:lastRenderedPageBreak/>
        <w:t>Europos Sąjungos valstybių narių dvišalių investicijų sutarčių nutraukimo</w:t>
      </w:r>
      <w:r w:rsidR="00397C1D" w:rsidRPr="00EA69EB">
        <w:rPr>
          <w:sz w:val="24"/>
          <w:szCs w:val="24"/>
          <w:lang w:eastAsia="lt-LT"/>
        </w:rPr>
        <w:t>, kuri</w:t>
      </w:r>
      <w:r w:rsidR="00750EF7" w:rsidRPr="00EA69EB">
        <w:rPr>
          <w:sz w:val="24"/>
          <w:szCs w:val="24"/>
          <w:lang w:eastAsia="lt-LT"/>
        </w:rPr>
        <w:t xml:space="preserve">ame </w:t>
      </w:r>
      <w:r w:rsidR="000023BA">
        <w:rPr>
          <w:sz w:val="24"/>
          <w:szCs w:val="24"/>
          <w:lang w:eastAsia="lt-LT"/>
        </w:rPr>
        <w:t xml:space="preserve">šis </w:t>
      </w:r>
      <w:r w:rsidR="00750EF7" w:rsidRPr="00EA69EB">
        <w:rPr>
          <w:sz w:val="24"/>
          <w:szCs w:val="24"/>
          <w:lang w:eastAsia="lt-LT"/>
        </w:rPr>
        <w:t>pareiškimas</w:t>
      </w:r>
      <w:r w:rsidR="00397C1D" w:rsidRPr="00EA69EB">
        <w:rPr>
          <w:sz w:val="24"/>
          <w:szCs w:val="24"/>
          <w:lang w:eastAsia="lt-LT"/>
        </w:rPr>
        <w:t xml:space="preserve"> galėtų būti išdėstytas taip:</w:t>
      </w:r>
    </w:p>
    <w:p w14:paraId="78DEE3E0" w14:textId="21B3EEDE" w:rsidR="00397C1D" w:rsidRPr="007129D1" w:rsidRDefault="00397C1D" w:rsidP="00397C1D">
      <w:pPr>
        <w:spacing w:line="312" w:lineRule="auto"/>
        <w:ind w:firstLine="720"/>
        <w:jc w:val="both"/>
        <w:rPr>
          <w:sz w:val="24"/>
          <w:szCs w:val="24"/>
          <w:lang w:eastAsia="lt-LT"/>
        </w:rPr>
      </w:pPr>
      <w:r w:rsidRPr="00EA69EB">
        <w:rPr>
          <w:sz w:val="24"/>
          <w:szCs w:val="24"/>
          <w:lang w:eastAsia="lt-LT"/>
        </w:rPr>
        <w:t>„Lietuvos Respublikos Seimas pareiškia, kad nuspėjamas, stabilus ir aiškus verslo aplinkos reguliavimas yra itin svarbus siekiant skatinti</w:t>
      </w:r>
      <w:r w:rsidRPr="007129D1">
        <w:rPr>
          <w:sz w:val="24"/>
          <w:szCs w:val="24"/>
          <w:lang w:eastAsia="lt-LT"/>
        </w:rPr>
        <w:t xml:space="preserve">, palengvinti ir apsaugoti tarpvalstybines investicijas Europos Sąjungos vidaus rinkoje. Atsižvelgdama į tai, Lietuvos Respublika pabrėžia, kad būtina  stiprinti investicijų apsaugą Europos Sąjungoje, gerinti Europos Sąjungos investuotojų teisių įgyvendinimą ir užtikrinti veiksmingas teisių gynimo priemones pagal Europos Sąjungos teisinę sistemą: tobulinti esamas ar sukurti </w:t>
      </w:r>
      <w:r w:rsidR="002D0AD1" w:rsidRPr="007129D1">
        <w:rPr>
          <w:sz w:val="24"/>
          <w:szCs w:val="24"/>
          <w:lang w:eastAsia="lt-LT"/>
        </w:rPr>
        <w:t xml:space="preserve">naujų priemonių </w:t>
      </w:r>
      <w:r w:rsidRPr="007129D1">
        <w:rPr>
          <w:sz w:val="24"/>
          <w:szCs w:val="24"/>
          <w:lang w:eastAsia="lt-LT"/>
        </w:rPr>
        <w:t xml:space="preserve">ir </w:t>
      </w:r>
      <w:r w:rsidR="002D0AD1" w:rsidRPr="007129D1">
        <w:rPr>
          <w:sz w:val="24"/>
          <w:szCs w:val="24"/>
          <w:lang w:eastAsia="lt-LT"/>
        </w:rPr>
        <w:t>mechanizmų</w:t>
      </w:r>
      <w:r w:rsidRPr="007129D1">
        <w:rPr>
          <w:sz w:val="24"/>
          <w:szCs w:val="24"/>
          <w:lang w:eastAsia="lt-LT"/>
        </w:rPr>
        <w:t>, įskaitant veiksmingą investicinių ginčų sprendimo mechanizmą.“</w:t>
      </w:r>
    </w:p>
    <w:p w14:paraId="5924854C" w14:textId="74C09970" w:rsidR="008670B2" w:rsidRPr="002F07CA" w:rsidRDefault="00637B8D" w:rsidP="008670B2">
      <w:pPr>
        <w:spacing w:line="312" w:lineRule="auto"/>
        <w:ind w:firstLine="720"/>
        <w:jc w:val="both"/>
        <w:rPr>
          <w:sz w:val="24"/>
          <w:szCs w:val="24"/>
          <w:lang w:eastAsia="lt-LT"/>
        </w:rPr>
      </w:pPr>
      <w:r w:rsidRPr="007129D1">
        <w:rPr>
          <w:sz w:val="24"/>
          <w:szCs w:val="24"/>
          <w:lang w:eastAsia="lt-LT"/>
        </w:rPr>
        <w:t>Užsienio reikalų ministerijos nuomone, t</w:t>
      </w:r>
      <w:r w:rsidR="008670B2" w:rsidRPr="007129D1">
        <w:rPr>
          <w:sz w:val="24"/>
          <w:szCs w:val="24"/>
          <w:lang w:eastAsia="lt-LT"/>
        </w:rPr>
        <w:t>oks pareiškimas</w:t>
      </w:r>
      <w:r w:rsidR="008670B2" w:rsidRPr="002D0AD1">
        <w:rPr>
          <w:sz w:val="24"/>
          <w:szCs w:val="24"/>
          <w:lang w:eastAsia="lt-LT"/>
        </w:rPr>
        <w:t xml:space="preserve"> galėtų padėti paskatinti Europos Komisiją ir ES valstybes nares tobulinti tarpvalstybinių investicijų ES vidaus reguliavimą. Kartu būtų įtvirtinta Lietuvos pozicija dėl </w:t>
      </w:r>
      <w:r w:rsidR="008670B2" w:rsidRPr="002F07CA">
        <w:rPr>
          <w:sz w:val="24"/>
          <w:szCs w:val="24"/>
          <w:lang w:eastAsia="lt-LT"/>
        </w:rPr>
        <w:t xml:space="preserve">stiprios ES vidaus investicijų apsaugos </w:t>
      </w:r>
      <w:r w:rsidRPr="002F07CA">
        <w:rPr>
          <w:sz w:val="24"/>
          <w:szCs w:val="24"/>
          <w:lang w:eastAsia="lt-LT"/>
        </w:rPr>
        <w:t xml:space="preserve">būtinumo </w:t>
      </w:r>
      <w:r w:rsidR="001F6BC9" w:rsidRPr="002F07CA">
        <w:rPr>
          <w:sz w:val="24"/>
          <w:szCs w:val="24"/>
          <w:lang w:eastAsia="lt-LT"/>
        </w:rPr>
        <w:t xml:space="preserve">ir </w:t>
      </w:r>
      <w:r w:rsidR="00E25EC7" w:rsidRPr="002F07CA">
        <w:rPr>
          <w:sz w:val="24"/>
          <w:szCs w:val="24"/>
          <w:lang w:eastAsia="lt-LT"/>
        </w:rPr>
        <w:t xml:space="preserve">atspindėtas </w:t>
      </w:r>
      <w:r w:rsidR="008670B2" w:rsidRPr="002F07CA">
        <w:rPr>
          <w:sz w:val="24"/>
          <w:szCs w:val="24"/>
          <w:lang w:eastAsia="lt-LT"/>
        </w:rPr>
        <w:t xml:space="preserve">Lietuvos verslo atstovų suinteresuotumas </w:t>
      </w:r>
      <w:r w:rsidR="00E02F71" w:rsidRPr="002F07CA">
        <w:rPr>
          <w:sz w:val="24"/>
          <w:szCs w:val="24"/>
          <w:lang w:eastAsia="lt-LT"/>
        </w:rPr>
        <w:t xml:space="preserve">dėl </w:t>
      </w:r>
      <w:r w:rsidR="001F6BC9" w:rsidRPr="002F07CA">
        <w:rPr>
          <w:sz w:val="24"/>
          <w:szCs w:val="24"/>
          <w:lang w:eastAsia="lt-LT"/>
        </w:rPr>
        <w:t xml:space="preserve">veiksmingų </w:t>
      </w:r>
      <w:r w:rsidR="00037C08" w:rsidRPr="002F07CA">
        <w:rPr>
          <w:sz w:val="24"/>
          <w:szCs w:val="24"/>
          <w:lang w:eastAsia="lt-LT"/>
        </w:rPr>
        <w:t xml:space="preserve">investuotojų teisių gynimo </w:t>
      </w:r>
      <w:r w:rsidR="001F6BC9" w:rsidRPr="002F07CA">
        <w:rPr>
          <w:sz w:val="24"/>
          <w:szCs w:val="24"/>
          <w:lang w:eastAsia="lt-LT"/>
        </w:rPr>
        <w:t>priemonių</w:t>
      </w:r>
      <w:r w:rsidR="008670B2" w:rsidRPr="002F07CA">
        <w:rPr>
          <w:sz w:val="24"/>
          <w:szCs w:val="24"/>
          <w:lang w:eastAsia="lt-LT"/>
        </w:rPr>
        <w:t xml:space="preserve">.  </w:t>
      </w:r>
    </w:p>
    <w:p w14:paraId="05D7C3B5" w14:textId="77777777" w:rsidR="003C2B23" w:rsidRPr="00F266EE" w:rsidRDefault="003C2B23" w:rsidP="00BD7636">
      <w:pPr>
        <w:spacing w:line="312" w:lineRule="auto"/>
        <w:ind w:firstLine="720"/>
        <w:jc w:val="both"/>
        <w:rPr>
          <w:sz w:val="24"/>
          <w:szCs w:val="24"/>
        </w:rPr>
      </w:pPr>
      <w:r w:rsidRPr="002F07CA">
        <w:rPr>
          <w:sz w:val="24"/>
        </w:rPr>
        <w:t>Teisės aktų projektus parengė Užsienio reikalų ministerijos Teisės ir tarptautinių sutarčių</w:t>
      </w:r>
      <w:r w:rsidRPr="00EA69EB">
        <w:rPr>
          <w:sz w:val="24"/>
        </w:rPr>
        <w:t xml:space="preserve"> departamento (direktorius Andrius Namavičius, tel. 8 706 52533) Tarptautinių sutarčių skyriaus (vedėja Ingrida Bačiulienė, tel.</w:t>
      </w:r>
      <w:r w:rsidRPr="00F266EE">
        <w:rPr>
          <w:sz w:val="24"/>
          <w:szCs w:val="24"/>
        </w:rPr>
        <w:t xml:space="preserve"> 8 706 52910</w:t>
      </w:r>
      <w:r w:rsidRPr="00F266EE">
        <w:rPr>
          <w:sz w:val="24"/>
        </w:rPr>
        <w:t xml:space="preserve">) antroji sekretorė Ieva </w:t>
      </w:r>
      <w:proofErr w:type="spellStart"/>
      <w:r w:rsidRPr="00F266EE">
        <w:rPr>
          <w:sz w:val="24"/>
        </w:rPr>
        <w:t>Kirkaitė</w:t>
      </w:r>
      <w:proofErr w:type="spellEnd"/>
      <w:r w:rsidRPr="00F266EE">
        <w:rPr>
          <w:sz w:val="24"/>
        </w:rPr>
        <w:t xml:space="preserve"> (tel. 8 706 52522).</w:t>
      </w:r>
    </w:p>
    <w:p w14:paraId="306716F7" w14:textId="77777777" w:rsidR="003C2B23" w:rsidRPr="00EA69EB" w:rsidRDefault="003C2B23" w:rsidP="00BD7636">
      <w:pPr>
        <w:spacing w:line="312" w:lineRule="auto"/>
        <w:ind w:firstLine="720"/>
        <w:jc w:val="both"/>
        <w:rPr>
          <w:sz w:val="24"/>
          <w:szCs w:val="24"/>
        </w:rPr>
      </w:pPr>
    </w:p>
    <w:p w14:paraId="58219F88" w14:textId="77777777" w:rsidR="00334974" w:rsidRPr="00EA69EB" w:rsidRDefault="00334974" w:rsidP="00C46EAC">
      <w:pPr>
        <w:spacing w:line="276" w:lineRule="auto"/>
        <w:ind w:firstLine="720"/>
        <w:jc w:val="both"/>
        <w:rPr>
          <w:sz w:val="24"/>
          <w:szCs w:val="24"/>
        </w:rPr>
      </w:pPr>
    </w:p>
    <w:p w14:paraId="2F4A5314" w14:textId="7BA0852A" w:rsidR="00C46EAC" w:rsidRPr="00EA69EB" w:rsidRDefault="00C46EAC" w:rsidP="00C46EAC">
      <w:pPr>
        <w:spacing w:line="276" w:lineRule="auto"/>
        <w:ind w:firstLine="720"/>
        <w:jc w:val="both"/>
        <w:rPr>
          <w:sz w:val="24"/>
          <w:szCs w:val="24"/>
        </w:rPr>
      </w:pPr>
      <w:r w:rsidRPr="00EA69EB">
        <w:rPr>
          <w:sz w:val="24"/>
          <w:szCs w:val="24"/>
        </w:rPr>
        <w:t>PRIDEDAMA:</w:t>
      </w:r>
    </w:p>
    <w:p w14:paraId="5161EC9F" w14:textId="77777777" w:rsidR="00C46EAC" w:rsidRPr="00EA69EB" w:rsidRDefault="00C46EAC" w:rsidP="00C46EAC">
      <w:pPr>
        <w:spacing w:line="276" w:lineRule="auto"/>
        <w:ind w:firstLine="720"/>
        <w:jc w:val="both"/>
        <w:rPr>
          <w:sz w:val="24"/>
          <w:szCs w:val="24"/>
        </w:rPr>
      </w:pPr>
      <w:r w:rsidRPr="00EA69EB">
        <w:rPr>
          <w:sz w:val="24"/>
          <w:szCs w:val="24"/>
        </w:rPr>
        <w:t>1. Lietuvos Respublikos Vyriausybės nutarimo projektas, 1 lapas;</w:t>
      </w:r>
    </w:p>
    <w:p w14:paraId="34BF7F1B" w14:textId="77777777" w:rsidR="00C46EAC" w:rsidRPr="00EA69EB" w:rsidRDefault="00C46EAC" w:rsidP="00C46EAC">
      <w:pPr>
        <w:spacing w:line="276" w:lineRule="auto"/>
        <w:ind w:firstLine="720"/>
        <w:jc w:val="both"/>
        <w:rPr>
          <w:sz w:val="24"/>
          <w:szCs w:val="24"/>
        </w:rPr>
      </w:pPr>
      <w:r w:rsidRPr="00EA69EB">
        <w:rPr>
          <w:sz w:val="24"/>
          <w:szCs w:val="24"/>
        </w:rPr>
        <w:t>2. Lietuvos Respublikos Prezidento dekreto projektas, 1 lapas;</w:t>
      </w:r>
    </w:p>
    <w:p w14:paraId="317C0580" w14:textId="77777777" w:rsidR="00C46EAC" w:rsidRPr="00EA69EB" w:rsidRDefault="00C46EAC" w:rsidP="00C46EAC">
      <w:pPr>
        <w:spacing w:line="276" w:lineRule="auto"/>
        <w:ind w:firstLine="720"/>
        <w:jc w:val="both"/>
        <w:rPr>
          <w:sz w:val="24"/>
          <w:szCs w:val="24"/>
        </w:rPr>
      </w:pPr>
      <w:r w:rsidRPr="00EA69EB">
        <w:rPr>
          <w:sz w:val="24"/>
          <w:szCs w:val="24"/>
        </w:rPr>
        <w:t>3. Lietuvos Respublikos įstatymo projektas, 1 lapas;</w:t>
      </w:r>
    </w:p>
    <w:p w14:paraId="7DEBDF68" w14:textId="7374B955" w:rsidR="00C46EAC" w:rsidRPr="00EA69EB" w:rsidRDefault="00C46EAC" w:rsidP="00C46EAC">
      <w:pPr>
        <w:spacing w:line="276" w:lineRule="auto"/>
        <w:ind w:firstLine="720"/>
        <w:jc w:val="both"/>
        <w:rPr>
          <w:sz w:val="24"/>
          <w:szCs w:val="24"/>
        </w:rPr>
      </w:pPr>
      <w:r w:rsidRPr="00EA69EB">
        <w:rPr>
          <w:sz w:val="24"/>
          <w:szCs w:val="24"/>
        </w:rPr>
        <w:t>4. Lietuvos Respublikos įstatymo projekto aiškinamasis raštas, 3 lapai;</w:t>
      </w:r>
    </w:p>
    <w:p w14:paraId="282031A0" w14:textId="3C82E345" w:rsidR="0039796F" w:rsidRPr="00EA69EB" w:rsidRDefault="001E37EF" w:rsidP="00C46EAC">
      <w:pPr>
        <w:spacing w:line="276" w:lineRule="auto"/>
        <w:ind w:firstLine="720"/>
        <w:jc w:val="both"/>
        <w:rPr>
          <w:sz w:val="24"/>
          <w:szCs w:val="24"/>
        </w:rPr>
      </w:pPr>
      <w:r>
        <w:rPr>
          <w:sz w:val="24"/>
          <w:szCs w:val="24"/>
        </w:rPr>
        <w:t>5</w:t>
      </w:r>
      <w:r w:rsidR="0039796F" w:rsidRPr="00EA69EB">
        <w:rPr>
          <w:sz w:val="24"/>
          <w:szCs w:val="24"/>
        </w:rPr>
        <w:t>. Institucijų išvados, 4 lapai;</w:t>
      </w:r>
    </w:p>
    <w:p w14:paraId="29F70856" w14:textId="045599AC" w:rsidR="0039796F" w:rsidRPr="00EA69EB" w:rsidRDefault="001E37EF" w:rsidP="00C46EAC">
      <w:pPr>
        <w:spacing w:line="276" w:lineRule="auto"/>
        <w:ind w:firstLine="720"/>
        <w:jc w:val="both"/>
        <w:rPr>
          <w:sz w:val="24"/>
          <w:szCs w:val="24"/>
        </w:rPr>
      </w:pPr>
      <w:r>
        <w:rPr>
          <w:sz w:val="24"/>
          <w:szCs w:val="24"/>
        </w:rPr>
        <w:t>6</w:t>
      </w:r>
      <w:r w:rsidR="0039796F" w:rsidRPr="00EA69EB">
        <w:rPr>
          <w:sz w:val="24"/>
          <w:szCs w:val="24"/>
        </w:rPr>
        <w:t xml:space="preserve">. Verslo atstovų raštai, </w:t>
      </w:r>
      <w:r w:rsidR="00BD7636" w:rsidRPr="00EA69EB">
        <w:rPr>
          <w:sz w:val="24"/>
          <w:szCs w:val="24"/>
        </w:rPr>
        <w:t>8 lapai;</w:t>
      </w:r>
    </w:p>
    <w:p w14:paraId="5C0DBEB2" w14:textId="62F51986" w:rsidR="00BD7636" w:rsidRPr="00EA69EB" w:rsidRDefault="001E37EF" w:rsidP="00C46EAC">
      <w:pPr>
        <w:spacing w:line="276" w:lineRule="auto"/>
        <w:ind w:firstLine="720"/>
        <w:jc w:val="both"/>
        <w:rPr>
          <w:sz w:val="24"/>
          <w:szCs w:val="24"/>
        </w:rPr>
      </w:pPr>
      <w:r>
        <w:rPr>
          <w:sz w:val="24"/>
          <w:szCs w:val="24"/>
        </w:rPr>
        <w:t>7</w:t>
      </w:r>
      <w:r w:rsidR="00BD7636" w:rsidRPr="00EA69EB">
        <w:rPr>
          <w:sz w:val="24"/>
          <w:szCs w:val="24"/>
        </w:rPr>
        <w:t>. Derinimo pažyma, 13 lapų;</w:t>
      </w:r>
    </w:p>
    <w:p w14:paraId="5CE685CD" w14:textId="6FE112CD" w:rsidR="00C46EAC" w:rsidRPr="00EA69EB" w:rsidRDefault="001E37EF" w:rsidP="00C46EAC">
      <w:pPr>
        <w:spacing w:line="276" w:lineRule="auto"/>
        <w:ind w:firstLine="720"/>
        <w:jc w:val="both"/>
        <w:rPr>
          <w:sz w:val="24"/>
          <w:szCs w:val="24"/>
        </w:rPr>
      </w:pPr>
      <w:r>
        <w:rPr>
          <w:sz w:val="24"/>
          <w:szCs w:val="24"/>
        </w:rPr>
        <w:t>8</w:t>
      </w:r>
      <w:r w:rsidR="00C46EAC" w:rsidRPr="00EA69EB">
        <w:rPr>
          <w:sz w:val="24"/>
          <w:szCs w:val="24"/>
        </w:rPr>
        <w:t xml:space="preserve">. Susitarimo tekstas lietuvių kalba, 41 lapas. </w:t>
      </w:r>
    </w:p>
    <w:p w14:paraId="34D01C2D" w14:textId="77777777" w:rsidR="008A13DA" w:rsidRPr="00F266EE" w:rsidRDefault="008A13DA" w:rsidP="00AA2D24">
      <w:pPr>
        <w:ind w:firstLine="720"/>
        <w:jc w:val="both"/>
        <w:rPr>
          <w:sz w:val="24"/>
          <w:szCs w:val="24"/>
        </w:rPr>
      </w:pPr>
    </w:p>
    <w:p w14:paraId="72A02281" w14:textId="7434E8D3" w:rsidR="00304090" w:rsidRPr="00EA69EB" w:rsidRDefault="00304090" w:rsidP="00AA2D24">
      <w:pPr>
        <w:ind w:firstLine="720"/>
        <w:jc w:val="both"/>
        <w:rPr>
          <w:sz w:val="24"/>
          <w:szCs w:val="24"/>
        </w:rPr>
      </w:pPr>
    </w:p>
    <w:p w14:paraId="19794135" w14:textId="51F49593" w:rsidR="00F57C7A" w:rsidRPr="00EA69EB" w:rsidRDefault="00F57C7A" w:rsidP="00AA2D24">
      <w:pPr>
        <w:ind w:firstLine="993"/>
        <w:jc w:val="both"/>
        <w:rPr>
          <w:sz w:val="24"/>
          <w:szCs w:val="24"/>
          <w:lang w:eastAsia="en-GB"/>
        </w:rPr>
      </w:pPr>
    </w:p>
    <w:p w14:paraId="2F1B0FA8" w14:textId="653CB9F9" w:rsidR="00BD7636" w:rsidRPr="00EA69EB" w:rsidRDefault="00BD7636" w:rsidP="00AA2D24">
      <w:pPr>
        <w:ind w:firstLine="993"/>
        <w:jc w:val="both"/>
        <w:rPr>
          <w:sz w:val="24"/>
          <w:szCs w:val="24"/>
          <w:lang w:eastAsia="en-GB"/>
        </w:rPr>
      </w:pPr>
    </w:p>
    <w:p w14:paraId="65B771E0" w14:textId="77777777" w:rsidR="00BD7636" w:rsidRPr="00EA69EB" w:rsidRDefault="00BD7636" w:rsidP="00AA2D24">
      <w:pPr>
        <w:ind w:firstLine="993"/>
        <w:jc w:val="both"/>
        <w:rPr>
          <w:sz w:val="24"/>
          <w:szCs w:val="24"/>
          <w:lang w:eastAsia="en-GB"/>
        </w:rPr>
      </w:pPr>
    </w:p>
    <w:p w14:paraId="0ADDE76C" w14:textId="3B87A3EF" w:rsidR="00CC70A2" w:rsidRPr="00EA69EB" w:rsidRDefault="00CC70A2" w:rsidP="00AA2D24">
      <w:pPr>
        <w:jc w:val="both"/>
        <w:rPr>
          <w:sz w:val="24"/>
          <w:szCs w:val="24"/>
        </w:rPr>
      </w:pPr>
    </w:p>
    <w:p w14:paraId="5DA8D1ED" w14:textId="77777777" w:rsidR="00375369" w:rsidRPr="00EA69EB" w:rsidRDefault="00375369" w:rsidP="00AA2D24">
      <w:pPr>
        <w:jc w:val="both"/>
        <w:rPr>
          <w:sz w:val="24"/>
          <w:szCs w:val="24"/>
        </w:rPr>
      </w:pPr>
    </w:p>
    <w:tbl>
      <w:tblPr>
        <w:tblpPr w:leftFromText="180" w:rightFromText="180" w:vertAnchor="text" w:horzAnchor="margin" w:tblpY="25"/>
        <w:tblW w:w="0" w:type="auto"/>
        <w:tblLayout w:type="fixed"/>
        <w:tblCellMar>
          <w:left w:w="0" w:type="dxa"/>
          <w:right w:w="0" w:type="dxa"/>
        </w:tblCellMar>
        <w:tblLook w:val="0000" w:firstRow="0" w:lastRow="0" w:firstColumn="0" w:lastColumn="0" w:noHBand="0" w:noVBand="0"/>
      </w:tblPr>
      <w:tblGrid>
        <w:gridCol w:w="4670"/>
        <w:gridCol w:w="1284"/>
        <w:gridCol w:w="3118"/>
        <w:gridCol w:w="276"/>
      </w:tblGrid>
      <w:tr w:rsidR="00925AC8" w:rsidRPr="00EA69EB" w14:paraId="7F9993FD" w14:textId="77777777" w:rsidTr="00B86934">
        <w:trPr>
          <w:gridAfter w:val="1"/>
          <w:wAfter w:w="276" w:type="dxa"/>
          <w:cantSplit/>
          <w:trHeight w:val="262"/>
        </w:trPr>
        <w:tc>
          <w:tcPr>
            <w:tcW w:w="4670" w:type="dxa"/>
          </w:tcPr>
          <w:p w14:paraId="15860F3D" w14:textId="250256CC" w:rsidR="00925AC8" w:rsidRPr="00EA69EB" w:rsidRDefault="00C858B8" w:rsidP="00AA2D24">
            <w:pPr>
              <w:keepNext/>
              <w:tabs>
                <w:tab w:val="left" w:pos="709"/>
                <w:tab w:val="left" w:pos="7777"/>
              </w:tabs>
              <w:rPr>
                <w:sz w:val="24"/>
                <w:szCs w:val="24"/>
              </w:rPr>
            </w:pPr>
            <w:r w:rsidRPr="00EA69EB">
              <w:rPr>
                <w:sz w:val="24"/>
              </w:rPr>
              <w:fldChar w:fldCharType="begin">
                <w:ffData>
                  <w:name w:val="r20_1_1"/>
                  <w:enabled/>
                  <w:calcOnExit w:val="0"/>
                  <w:statusText w:type="text" w:val="Pareigos"/>
                  <w:textInput>
                    <w:default w:val="Užsienio reikalų ministras"/>
                  </w:textInput>
                </w:ffData>
              </w:fldChar>
            </w:r>
            <w:bookmarkStart w:id="2" w:name="r20_1_1"/>
            <w:r w:rsidRPr="00EA69EB">
              <w:rPr>
                <w:sz w:val="24"/>
              </w:rPr>
              <w:instrText xml:space="preserve"> FORMTEXT </w:instrText>
            </w:r>
            <w:r w:rsidRPr="00EA69EB">
              <w:rPr>
                <w:sz w:val="24"/>
              </w:rPr>
            </w:r>
            <w:r w:rsidRPr="00EA69EB">
              <w:rPr>
                <w:sz w:val="24"/>
              </w:rPr>
              <w:fldChar w:fldCharType="separate"/>
            </w:r>
            <w:r w:rsidRPr="00EA69EB">
              <w:rPr>
                <w:noProof/>
                <w:sz w:val="24"/>
              </w:rPr>
              <w:t>Užsienio reikalų ministras</w:t>
            </w:r>
            <w:r w:rsidRPr="00EA69EB">
              <w:rPr>
                <w:sz w:val="24"/>
              </w:rPr>
              <w:fldChar w:fldCharType="end"/>
            </w:r>
            <w:bookmarkEnd w:id="2"/>
          </w:p>
        </w:tc>
        <w:tc>
          <w:tcPr>
            <w:tcW w:w="1284" w:type="dxa"/>
          </w:tcPr>
          <w:p w14:paraId="53034251" w14:textId="77777777" w:rsidR="00925AC8" w:rsidRPr="00EA69EB" w:rsidRDefault="00925AC8" w:rsidP="00AA2D24">
            <w:pPr>
              <w:keepNext/>
              <w:tabs>
                <w:tab w:val="left" w:pos="7777"/>
              </w:tabs>
              <w:jc w:val="center"/>
              <w:rPr>
                <w:vanish/>
                <w:color w:val="0000FF"/>
                <w:sz w:val="24"/>
                <w:szCs w:val="24"/>
              </w:rPr>
            </w:pPr>
            <w:r w:rsidRPr="00EA69EB">
              <w:rPr>
                <w:vanish/>
                <w:color w:val="0000FF"/>
                <w:sz w:val="24"/>
              </w:rPr>
              <w:fldChar w:fldCharType="begin">
                <w:ffData>
                  <w:name w:val=""/>
                  <w:enabled/>
                  <w:calcOnExit w:val="0"/>
                  <w:statusText w:type="text" w:val="Parašo vieta (informacija nespausdinama)"/>
                  <w:textInput>
                    <w:default w:val="Parašo vieta"/>
                  </w:textInput>
                </w:ffData>
              </w:fldChar>
            </w:r>
            <w:r w:rsidRPr="00EA69EB">
              <w:rPr>
                <w:vanish/>
                <w:color w:val="0000FF"/>
                <w:sz w:val="24"/>
              </w:rPr>
              <w:instrText xml:space="preserve"> FORMTEXT </w:instrText>
            </w:r>
            <w:r w:rsidRPr="00EA69EB">
              <w:rPr>
                <w:vanish/>
                <w:color w:val="0000FF"/>
                <w:sz w:val="24"/>
              </w:rPr>
            </w:r>
            <w:r w:rsidRPr="00EA69EB">
              <w:rPr>
                <w:vanish/>
                <w:color w:val="0000FF"/>
                <w:sz w:val="24"/>
              </w:rPr>
              <w:fldChar w:fldCharType="separate"/>
            </w:r>
            <w:r w:rsidRPr="00EA69EB">
              <w:rPr>
                <w:noProof/>
                <w:vanish/>
                <w:color w:val="0000FF"/>
                <w:sz w:val="24"/>
              </w:rPr>
              <w:t>Parašo vieta</w:t>
            </w:r>
            <w:r w:rsidRPr="00EA69EB">
              <w:rPr>
                <w:vanish/>
                <w:color w:val="0000FF"/>
                <w:sz w:val="24"/>
              </w:rPr>
              <w:fldChar w:fldCharType="end"/>
            </w:r>
          </w:p>
        </w:tc>
        <w:tc>
          <w:tcPr>
            <w:tcW w:w="3118" w:type="dxa"/>
          </w:tcPr>
          <w:p w14:paraId="3F140F3E" w14:textId="0015C168" w:rsidR="00925AC8" w:rsidRPr="00EA69EB" w:rsidRDefault="00E0341E" w:rsidP="00AA2D24">
            <w:pPr>
              <w:keepNext/>
              <w:tabs>
                <w:tab w:val="left" w:pos="7777"/>
              </w:tabs>
              <w:jc w:val="right"/>
              <w:rPr>
                <w:sz w:val="24"/>
                <w:szCs w:val="24"/>
              </w:rPr>
            </w:pPr>
            <w:r w:rsidRPr="00EA69EB">
              <w:rPr>
                <w:sz w:val="24"/>
              </w:rPr>
              <w:t>Gabrielius Landsbergis</w:t>
            </w:r>
          </w:p>
        </w:tc>
      </w:tr>
      <w:tr w:rsidR="00925AC8" w:rsidRPr="00EA69EB" w14:paraId="2EBFDAE9" w14:textId="77777777" w:rsidTr="00B86934">
        <w:trPr>
          <w:gridAfter w:val="1"/>
          <w:wAfter w:w="276" w:type="dxa"/>
          <w:cantSplit/>
          <w:trHeight w:val="262"/>
        </w:trPr>
        <w:tc>
          <w:tcPr>
            <w:tcW w:w="4670" w:type="dxa"/>
          </w:tcPr>
          <w:p w14:paraId="41CF4247" w14:textId="77777777" w:rsidR="00925AC8" w:rsidRPr="00F266EE" w:rsidRDefault="00925AC8" w:rsidP="00AA2D24">
            <w:pPr>
              <w:keepNext/>
              <w:tabs>
                <w:tab w:val="left" w:pos="709"/>
                <w:tab w:val="left" w:pos="7777"/>
              </w:tabs>
              <w:rPr>
                <w:sz w:val="24"/>
                <w:szCs w:val="24"/>
              </w:rPr>
            </w:pPr>
          </w:p>
        </w:tc>
        <w:tc>
          <w:tcPr>
            <w:tcW w:w="1284" w:type="dxa"/>
          </w:tcPr>
          <w:p w14:paraId="472E70E3" w14:textId="77777777" w:rsidR="00925AC8" w:rsidRPr="0023649D" w:rsidRDefault="00925AC8" w:rsidP="00AA2D24">
            <w:pPr>
              <w:keepNext/>
              <w:tabs>
                <w:tab w:val="left" w:pos="7777"/>
              </w:tabs>
              <w:jc w:val="center"/>
              <w:rPr>
                <w:vanish/>
                <w:color w:val="0000FF"/>
                <w:sz w:val="24"/>
                <w:szCs w:val="24"/>
              </w:rPr>
            </w:pPr>
          </w:p>
        </w:tc>
        <w:tc>
          <w:tcPr>
            <w:tcW w:w="3118" w:type="dxa"/>
          </w:tcPr>
          <w:p w14:paraId="5BAD9F29" w14:textId="77777777" w:rsidR="00925AC8" w:rsidRPr="00EA69EB" w:rsidRDefault="00925AC8" w:rsidP="00AA2D24">
            <w:pPr>
              <w:keepNext/>
              <w:tabs>
                <w:tab w:val="left" w:pos="7777"/>
              </w:tabs>
              <w:jc w:val="right"/>
              <w:rPr>
                <w:sz w:val="24"/>
                <w:szCs w:val="24"/>
              </w:rPr>
            </w:pPr>
          </w:p>
        </w:tc>
      </w:tr>
      <w:tr w:rsidR="00CC70A2" w:rsidRPr="00EA69EB" w14:paraId="2FADBB46" w14:textId="77777777" w:rsidTr="00CC70A2">
        <w:trPr>
          <w:cantSplit/>
          <w:trHeight w:val="262"/>
        </w:trPr>
        <w:tc>
          <w:tcPr>
            <w:tcW w:w="4670" w:type="dxa"/>
          </w:tcPr>
          <w:p w14:paraId="2999E32B" w14:textId="77777777" w:rsidR="00CC70A2" w:rsidRPr="00EA69EB" w:rsidRDefault="00CC70A2" w:rsidP="00CC70A2">
            <w:pPr>
              <w:keepNext/>
              <w:tabs>
                <w:tab w:val="left" w:pos="709"/>
                <w:tab w:val="left" w:pos="7777"/>
              </w:tabs>
              <w:rPr>
                <w:sz w:val="24"/>
                <w:szCs w:val="24"/>
              </w:rPr>
            </w:pPr>
          </w:p>
        </w:tc>
        <w:tc>
          <w:tcPr>
            <w:tcW w:w="1284" w:type="dxa"/>
          </w:tcPr>
          <w:p w14:paraId="0FACC144" w14:textId="77777777" w:rsidR="00CC70A2" w:rsidRPr="00EA69EB" w:rsidRDefault="00CC70A2" w:rsidP="00CC70A2">
            <w:pPr>
              <w:keepNext/>
              <w:tabs>
                <w:tab w:val="left" w:pos="7777"/>
              </w:tabs>
              <w:jc w:val="center"/>
              <w:rPr>
                <w:vanish/>
                <w:color w:val="0000FF"/>
                <w:sz w:val="24"/>
                <w:szCs w:val="24"/>
              </w:rPr>
            </w:pPr>
          </w:p>
        </w:tc>
        <w:tc>
          <w:tcPr>
            <w:tcW w:w="3394" w:type="dxa"/>
            <w:gridSpan w:val="2"/>
          </w:tcPr>
          <w:p w14:paraId="717EFC9B" w14:textId="77777777" w:rsidR="00CC70A2" w:rsidRPr="00EA69EB" w:rsidRDefault="00CC70A2" w:rsidP="00CC70A2">
            <w:pPr>
              <w:keepNext/>
              <w:tabs>
                <w:tab w:val="left" w:pos="7777"/>
              </w:tabs>
              <w:jc w:val="right"/>
              <w:rPr>
                <w:sz w:val="24"/>
                <w:szCs w:val="24"/>
              </w:rPr>
            </w:pPr>
          </w:p>
        </w:tc>
      </w:tr>
    </w:tbl>
    <w:p w14:paraId="7B53E93D" w14:textId="1FDC30B7" w:rsidR="00D87731" w:rsidRPr="00EA69EB" w:rsidRDefault="00D87731">
      <w:pPr>
        <w:keepNext/>
        <w:rPr>
          <w:sz w:val="22"/>
          <w:szCs w:val="24"/>
        </w:rPr>
      </w:pPr>
    </w:p>
    <w:p w14:paraId="5D4595F3" w14:textId="2477A16E" w:rsidR="00CC70A2" w:rsidRPr="00EA69EB" w:rsidRDefault="00CC70A2">
      <w:pPr>
        <w:keepNext/>
        <w:rPr>
          <w:sz w:val="22"/>
          <w:szCs w:val="24"/>
        </w:rPr>
      </w:pPr>
    </w:p>
    <w:p w14:paraId="43CF0283" w14:textId="537710B4" w:rsidR="00CC70A2" w:rsidRPr="00EA69EB" w:rsidRDefault="00EE14B6" w:rsidP="00C858B8">
      <w:pPr>
        <w:keepNext/>
        <w:framePr w:w="9537" w:h="436" w:hRule="exact" w:hSpace="181" w:wrap="around" w:vAnchor="page" w:hAnchor="page" w:x="1500" w:y="15811" w:anchorLock="1"/>
        <w:tabs>
          <w:tab w:val="left" w:pos="720"/>
        </w:tabs>
        <w:spacing w:after="480"/>
        <w:jc w:val="both"/>
        <w:rPr>
          <w:sz w:val="24"/>
        </w:rPr>
      </w:pPr>
      <w:r w:rsidRPr="00EA69EB">
        <w:rPr>
          <w:sz w:val="24"/>
        </w:rPr>
        <w:fldChar w:fldCharType="begin">
          <w:ffData>
            <w:name w:val="r25_1"/>
            <w:enabled/>
            <w:calcOnExit w:val="0"/>
            <w:statusText w:type="text" w:val="Rengėjo vardas , pavardė, telefonas"/>
            <w:textInput>
              <w:default w:val="I.Kirkaitė, tel. 8 706 52522, el.p. ieva.kirkaite@urm.lt"/>
            </w:textInput>
          </w:ffData>
        </w:fldChar>
      </w:r>
      <w:bookmarkStart w:id="3" w:name="r25_1"/>
      <w:r w:rsidRPr="00637B8D">
        <w:rPr>
          <w:sz w:val="24"/>
        </w:rPr>
        <w:instrText xml:space="preserve"> FORMTEXT </w:instrText>
      </w:r>
      <w:r w:rsidRPr="00EA69EB">
        <w:rPr>
          <w:sz w:val="24"/>
        </w:rPr>
      </w:r>
      <w:r w:rsidRPr="00EA69EB">
        <w:rPr>
          <w:sz w:val="24"/>
        </w:rPr>
        <w:fldChar w:fldCharType="separate"/>
      </w:r>
      <w:r w:rsidRPr="00EA69EB">
        <w:rPr>
          <w:noProof/>
          <w:sz w:val="24"/>
        </w:rPr>
        <w:t>I.Kirkaitė, tel. 8 706 52522, el.p. ieva.kirkaite@urm.lt</w:t>
      </w:r>
      <w:r w:rsidRPr="00EA69EB">
        <w:rPr>
          <w:sz w:val="24"/>
        </w:rPr>
        <w:fldChar w:fldCharType="end"/>
      </w:r>
      <w:bookmarkEnd w:id="3"/>
    </w:p>
    <w:p w14:paraId="1C78B535" w14:textId="77777777" w:rsidR="00CC70A2" w:rsidRPr="00637B8D" w:rsidRDefault="00CC70A2">
      <w:pPr>
        <w:keepNext/>
        <w:rPr>
          <w:sz w:val="22"/>
          <w:szCs w:val="24"/>
        </w:rPr>
      </w:pPr>
    </w:p>
    <w:sectPr w:rsidR="00CC70A2" w:rsidRPr="00637B8D" w:rsidSect="00132927">
      <w:footerReference w:type="default" r:id="rId13"/>
      <w:type w:val="continuous"/>
      <w:pgSz w:w="11907" w:h="16840" w:code="9"/>
      <w:pgMar w:top="1134" w:right="850" w:bottom="1134" w:left="1701" w:header="340" w:footer="40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B5371" w14:textId="77777777" w:rsidR="007D6200" w:rsidRDefault="007D6200">
      <w:r>
        <w:separator/>
      </w:r>
    </w:p>
  </w:endnote>
  <w:endnote w:type="continuationSeparator" w:id="0">
    <w:p w14:paraId="274B170F" w14:textId="77777777" w:rsidR="007D6200" w:rsidRDefault="007D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3553" w14:textId="043FDA4B" w:rsidR="00F469E3" w:rsidRDefault="00F469E3" w:rsidP="00F469E3">
    <w:pPr>
      <w:pStyle w:val="Footer"/>
      <w:jc w:val="right"/>
    </w:pPr>
  </w:p>
  <w:p w14:paraId="4BF03554" w14:textId="77777777" w:rsidR="00F469E3" w:rsidRDefault="00F46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765FB3" w14:paraId="4BF03558" w14:textId="77777777">
      <w:trPr>
        <w:trHeight w:hRule="exact" w:val="794"/>
      </w:trPr>
      <w:tc>
        <w:tcPr>
          <w:tcW w:w="5184" w:type="dxa"/>
        </w:tcPr>
        <w:p w14:paraId="4BF03555" w14:textId="77777777" w:rsidR="00765FB3" w:rsidRDefault="00765FB3">
          <w:pPr>
            <w:pStyle w:val="Footer"/>
          </w:pPr>
        </w:p>
      </w:tc>
      <w:tc>
        <w:tcPr>
          <w:tcW w:w="2592" w:type="dxa"/>
        </w:tcPr>
        <w:p w14:paraId="4BF03556" w14:textId="77777777" w:rsidR="00765FB3" w:rsidRDefault="00765FB3">
          <w:pPr>
            <w:pStyle w:val="Footer"/>
          </w:pPr>
        </w:p>
      </w:tc>
      <w:tc>
        <w:tcPr>
          <w:tcW w:w="2592" w:type="dxa"/>
        </w:tcPr>
        <w:p w14:paraId="4BF03557" w14:textId="77777777" w:rsidR="00765FB3" w:rsidRDefault="00765FB3">
          <w:pPr>
            <w:pStyle w:val="Footer"/>
            <w:tabs>
              <w:tab w:val="left" w:pos="304"/>
              <w:tab w:val="left" w:pos="2005"/>
            </w:tabs>
            <w:jc w:val="center"/>
          </w:pPr>
        </w:p>
      </w:tc>
    </w:tr>
  </w:tbl>
  <w:p w14:paraId="4BF03559" w14:textId="77777777" w:rsidR="00765FB3" w:rsidRDefault="00765FB3">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581BD" w14:textId="77777777" w:rsidR="007D6200" w:rsidRDefault="007D6200">
      <w:r>
        <w:separator/>
      </w:r>
    </w:p>
  </w:footnote>
  <w:footnote w:type="continuationSeparator" w:id="0">
    <w:p w14:paraId="4BC19D6A" w14:textId="77777777" w:rsidR="007D6200" w:rsidRDefault="007D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354F" w14:textId="77777777" w:rsidR="00765FB3" w:rsidRDefault="00765FB3" w:rsidP="00AC5A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F03550" w14:textId="77777777" w:rsidR="00765FB3" w:rsidRDefault="00765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3551" w14:textId="31ACB999" w:rsidR="00765FB3" w:rsidRDefault="00765FB3" w:rsidP="00AC5A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33CE">
      <w:rPr>
        <w:rStyle w:val="PageNumber"/>
        <w:noProof/>
      </w:rPr>
      <w:t>2</w:t>
    </w:r>
    <w:r>
      <w:rPr>
        <w:rStyle w:val="PageNumber"/>
      </w:rPr>
      <w:fldChar w:fldCharType="end"/>
    </w:r>
  </w:p>
  <w:p w14:paraId="4BF03552" w14:textId="77777777" w:rsidR="00765FB3" w:rsidRDefault="00765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4E5"/>
    <w:multiLevelType w:val="hybridMultilevel"/>
    <w:tmpl w:val="34D2AC0E"/>
    <w:lvl w:ilvl="0" w:tplc="2772BB00">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F6415B3"/>
    <w:multiLevelType w:val="hybridMultilevel"/>
    <w:tmpl w:val="0152F414"/>
    <w:lvl w:ilvl="0" w:tplc="E2743A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052AA5"/>
    <w:multiLevelType w:val="hybridMultilevel"/>
    <w:tmpl w:val="6A608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4205F"/>
    <w:multiLevelType w:val="hybridMultilevel"/>
    <w:tmpl w:val="6F98858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B55F6"/>
    <w:multiLevelType w:val="hybridMultilevel"/>
    <w:tmpl w:val="2C88CEFE"/>
    <w:lvl w:ilvl="0" w:tplc="473080C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5" w15:restartNumberingAfterBreak="0">
    <w:nsid w:val="4F123977"/>
    <w:multiLevelType w:val="hybridMultilevel"/>
    <w:tmpl w:val="960CAF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044A25"/>
    <w:multiLevelType w:val="hybridMultilevel"/>
    <w:tmpl w:val="4F1098A4"/>
    <w:lvl w:ilvl="0" w:tplc="0427000F">
      <w:start w:val="1"/>
      <w:numFmt w:val="decimal"/>
      <w:lvlText w:val="%1."/>
      <w:lvlJc w:val="left"/>
      <w:pPr>
        <w:ind w:left="107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ABE4E14"/>
    <w:multiLevelType w:val="hybridMultilevel"/>
    <w:tmpl w:val="A5589C34"/>
    <w:lvl w:ilvl="0" w:tplc="8F24C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5"/>
  </w:num>
  <w:num w:numId="4">
    <w:abstractNumId w:val="3"/>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F6"/>
    <w:rsid w:val="000023BA"/>
    <w:rsid w:val="000057F1"/>
    <w:rsid w:val="00007718"/>
    <w:rsid w:val="00007F5D"/>
    <w:rsid w:val="000173B1"/>
    <w:rsid w:val="0002000D"/>
    <w:rsid w:val="00022C64"/>
    <w:rsid w:val="00026064"/>
    <w:rsid w:val="0003043F"/>
    <w:rsid w:val="000342C2"/>
    <w:rsid w:val="00037C08"/>
    <w:rsid w:val="00040419"/>
    <w:rsid w:val="00040DEB"/>
    <w:rsid w:val="0004385C"/>
    <w:rsid w:val="00044A57"/>
    <w:rsid w:val="00053F61"/>
    <w:rsid w:val="00061264"/>
    <w:rsid w:val="000624DC"/>
    <w:rsid w:val="0006288A"/>
    <w:rsid w:val="000669CB"/>
    <w:rsid w:val="00072591"/>
    <w:rsid w:val="0007446C"/>
    <w:rsid w:val="000852AA"/>
    <w:rsid w:val="00092EE2"/>
    <w:rsid w:val="00093DDF"/>
    <w:rsid w:val="00096DEA"/>
    <w:rsid w:val="000A077F"/>
    <w:rsid w:val="000A3CC0"/>
    <w:rsid w:val="000A3CC2"/>
    <w:rsid w:val="000B3409"/>
    <w:rsid w:val="000B3D0D"/>
    <w:rsid w:val="000B51E5"/>
    <w:rsid w:val="000C1010"/>
    <w:rsid w:val="000C36AC"/>
    <w:rsid w:val="000E1878"/>
    <w:rsid w:val="000E487B"/>
    <w:rsid w:val="000F76A2"/>
    <w:rsid w:val="00101456"/>
    <w:rsid w:val="00106A2D"/>
    <w:rsid w:val="00110AA6"/>
    <w:rsid w:val="00110ED0"/>
    <w:rsid w:val="00112DED"/>
    <w:rsid w:val="001229EF"/>
    <w:rsid w:val="001262BF"/>
    <w:rsid w:val="00132927"/>
    <w:rsid w:val="001333CE"/>
    <w:rsid w:val="00134EB3"/>
    <w:rsid w:val="00135514"/>
    <w:rsid w:val="001365B3"/>
    <w:rsid w:val="00146019"/>
    <w:rsid w:val="00157DBF"/>
    <w:rsid w:val="001630E3"/>
    <w:rsid w:val="00163901"/>
    <w:rsid w:val="00181AB6"/>
    <w:rsid w:val="001858BA"/>
    <w:rsid w:val="00191A5D"/>
    <w:rsid w:val="001A17B8"/>
    <w:rsid w:val="001A188B"/>
    <w:rsid w:val="001A66D5"/>
    <w:rsid w:val="001B334B"/>
    <w:rsid w:val="001B3840"/>
    <w:rsid w:val="001B753C"/>
    <w:rsid w:val="001B7F56"/>
    <w:rsid w:val="001C0F8F"/>
    <w:rsid w:val="001C1DB9"/>
    <w:rsid w:val="001C25D5"/>
    <w:rsid w:val="001C3978"/>
    <w:rsid w:val="001C4CC3"/>
    <w:rsid w:val="001C5FD0"/>
    <w:rsid w:val="001C66B7"/>
    <w:rsid w:val="001C7AC5"/>
    <w:rsid w:val="001D475D"/>
    <w:rsid w:val="001E34CF"/>
    <w:rsid w:val="001E37EF"/>
    <w:rsid w:val="001E46C9"/>
    <w:rsid w:val="001E591F"/>
    <w:rsid w:val="001E6A05"/>
    <w:rsid w:val="001F090E"/>
    <w:rsid w:val="001F454E"/>
    <w:rsid w:val="001F566D"/>
    <w:rsid w:val="001F6BC9"/>
    <w:rsid w:val="00200B54"/>
    <w:rsid w:val="00201AB2"/>
    <w:rsid w:val="00210437"/>
    <w:rsid w:val="00217642"/>
    <w:rsid w:val="002231C1"/>
    <w:rsid w:val="00224032"/>
    <w:rsid w:val="00227448"/>
    <w:rsid w:val="00231F11"/>
    <w:rsid w:val="0023649D"/>
    <w:rsid w:val="00242355"/>
    <w:rsid w:val="0024636C"/>
    <w:rsid w:val="00251270"/>
    <w:rsid w:val="00253FD6"/>
    <w:rsid w:val="002642CB"/>
    <w:rsid w:val="0026549D"/>
    <w:rsid w:val="0027036F"/>
    <w:rsid w:val="00270A80"/>
    <w:rsid w:val="00273B2D"/>
    <w:rsid w:val="00273F1E"/>
    <w:rsid w:val="00281057"/>
    <w:rsid w:val="002913B4"/>
    <w:rsid w:val="00294A14"/>
    <w:rsid w:val="00297382"/>
    <w:rsid w:val="002A3CBC"/>
    <w:rsid w:val="002A46C4"/>
    <w:rsid w:val="002A50DA"/>
    <w:rsid w:val="002B0034"/>
    <w:rsid w:val="002B12D8"/>
    <w:rsid w:val="002B2D71"/>
    <w:rsid w:val="002B35E1"/>
    <w:rsid w:val="002C42E3"/>
    <w:rsid w:val="002D08B9"/>
    <w:rsid w:val="002D0AD1"/>
    <w:rsid w:val="002D1674"/>
    <w:rsid w:val="002E07E7"/>
    <w:rsid w:val="002E111B"/>
    <w:rsid w:val="002E2059"/>
    <w:rsid w:val="002F07CA"/>
    <w:rsid w:val="002F57BF"/>
    <w:rsid w:val="0030277E"/>
    <w:rsid w:val="00304090"/>
    <w:rsid w:val="003140A1"/>
    <w:rsid w:val="00333292"/>
    <w:rsid w:val="003333C2"/>
    <w:rsid w:val="00334974"/>
    <w:rsid w:val="00334DFC"/>
    <w:rsid w:val="00335371"/>
    <w:rsid w:val="0034007F"/>
    <w:rsid w:val="00345EDD"/>
    <w:rsid w:val="003519B0"/>
    <w:rsid w:val="00352560"/>
    <w:rsid w:val="00362A36"/>
    <w:rsid w:val="00363BC9"/>
    <w:rsid w:val="00363D24"/>
    <w:rsid w:val="00365EC6"/>
    <w:rsid w:val="003702CF"/>
    <w:rsid w:val="00371BF3"/>
    <w:rsid w:val="00373010"/>
    <w:rsid w:val="00375369"/>
    <w:rsid w:val="00381E8A"/>
    <w:rsid w:val="00383361"/>
    <w:rsid w:val="00384E86"/>
    <w:rsid w:val="00390141"/>
    <w:rsid w:val="003905C5"/>
    <w:rsid w:val="00391680"/>
    <w:rsid w:val="00396EE1"/>
    <w:rsid w:val="003972DA"/>
    <w:rsid w:val="0039796F"/>
    <w:rsid w:val="00397C1D"/>
    <w:rsid w:val="003B232A"/>
    <w:rsid w:val="003B7785"/>
    <w:rsid w:val="003C2B23"/>
    <w:rsid w:val="003C426A"/>
    <w:rsid w:val="003C7128"/>
    <w:rsid w:val="003D1CD4"/>
    <w:rsid w:val="003D1E27"/>
    <w:rsid w:val="003D45D3"/>
    <w:rsid w:val="003F257A"/>
    <w:rsid w:val="003F3784"/>
    <w:rsid w:val="003F4A08"/>
    <w:rsid w:val="003F6DBF"/>
    <w:rsid w:val="00401672"/>
    <w:rsid w:val="00401B29"/>
    <w:rsid w:val="0040764B"/>
    <w:rsid w:val="00410665"/>
    <w:rsid w:val="00411768"/>
    <w:rsid w:val="00416CD0"/>
    <w:rsid w:val="004179CB"/>
    <w:rsid w:val="00420639"/>
    <w:rsid w:val="004245BE"/>
    <w:rsid w:val="004249C5"/>
    <w:rsid w:val="00427679"/>
    <w:rsid w:val="0043704E"/>
    <w:rsid w:val="00441D96"/>
    <w:rsid w:val="00451977"/>
    <w:rsid w:val="00451CDF"/>
    <w:rsid w:val="0045279C"/>
    <w:rsid w:val="00456B4A"/>
    <w:rsid w:val="00456F3D"/>
    <w:rsid w:val="00457DDE"/>
    <w:rsid w:val="004825BE"/>
    <w:rsid w:val="004840B3"/>
    <w:rsid w:val="00486A25"/>
    <w:rsid w:val="00487A9A"/>
    <w:rsid w:val="004932E3"/>
    <w:rsid w:val="00497532"/>
    <w:rsid w:val="004A435E"/>
    <w:rsid w:val="004A71D7"/>
    <w:rsid w:val="004B0788"/>
    <w:rsid w:val="004B0842"/>
    <w:rsid w:val="004B375F"/>
    <w:rsid w:val="004B3A76"/>
    <w:rsid w:val="004C0966"/>
    <w:rsid w:val="004D2D68"/>
    <w:rsid w:val="004D3FE2"/>
    <w:rsid w:val="004E57EF"/>
    <w:rsid w:val="004F228C"/>
    <w:rsid w:val="004F331E"/>
    <w:rsid w:val="004F3663"/>
    <w:rsid w:val="004F6F1E"/>
    <w:rsid w:val="005033B0"/>
    <w:rsid w:val="00513F08"/>
    <w:rsid w:val="00514FB3"/>
    <w:rsid w:val="005159C8"/>
    <w:rsid w:val="00515D49"/>
    <w:rsid w:val="00532D2E"/>
    <w:rsid w:val="00534B9B"/>
    <w:rsid w:val="0053653C"/>
    <w:rsid w:val="005404DF"/>
    <w:rsid w:val="00541506"/>
    <w:rsid w:val="00541B6C"/>
    <w:rsid w:val="00545172"/>
    <w:rsid w:val="00545D15"/>
    <w:rsid w:val="00550588"/>
    <w:rsid w:val="00553C99"/>
    <w:rsid w:val="005669DB"/>
    <w:rsid w:val="005754E8"/>
    <w:rsid w:val="00587C67"/>
    <w:rsid w:val="005946C4"/>
    <w:rsid w:val="005968E8"/>
    <w:rsid w:val="005A1101"/>
    <w:rsid w:val="005B7442"/>
    <w:rsid w:val="005C6551"/>
    <w:rsid w:val="005D2689"/>
    <w:rsid w:val="005D6E4A"/>
    <w:rsid w:val="005F1FF6"/>
    <w:rsid w:val="005F4085"/>
    <w:rsid w:val="0060586A"/>
    <w:rsid w:val="00607CF8"/>
    <w:rsid w:val="006124A3"/>
    <w:rsid w:val="0061659F"/>
    <w:rsid w:val="00625EFF"/>
    <w:rsid w:val="0062729B"/>
    <w:rsid w:val="006333BC"/>
    <w:rsid w:val="00637B8D"/>
    <w:rsid w:val="00642A8D"/>
    <w:rsid w:val="00643A4C"/>
    <w:rsid w:val="00647C97"/>
    <w:rsid w:val="00655286"/>
    <w:rsid w:val="006619DB"/>
    <w:rsid w:val="00662871"/>
    <w:rsid w:val="00664D24"/>
    <w:rsid w:val="00666FA9"/>
    <w:rsid w:val="00672B1A"/>
    <w:rsid w:val="006762CA"/>
    <w:rsid w:val="006810E8"/>
    <w:rsid w:val="00681171"/>
    <w:rsid w:val="00682A38"/>
    <w:rsid w:val="00683B48"/>
    <w:rsid w:val="00683FDE"/>
    <w:rsid w:val="006853BD"/>
    <w:rsid w:val="00687B63"/>
    <w:rsid w:val="006936A8"/>
    <w:rsid w:val="00696ABB"/>
    <w:rsid w:val="00697844"/>
    <w:rsid w:val="006B11A5"/>
    <w:rsid w:val="006B4F5F"/>
    <w:rsid w:val="006B7DB8"/>
    <w:rsid w:val="006B7F16"/>
    <w:rsid w:val="006D0A71"/>
    <w:rsid w:val="006D0DF4"/>
    <w:rsid w:val="006D15F3"/>
    <w:rsid w:val="006D1B0B"/>
    <w:rsid w:val="006D1D22"/>
    <w:rsid w:val="006D29FE"/>
    <w:rsid w:val="006E1D28"/>
    <w:rsid w:val="006F00FF"/>
    <w:rsid w:val="006F5929"/>
    <w:rsid w:val="00701165"/>
    <w:rsid w:val="00702772"/>
    <w:rsid w:val="00704201"/>
    <w:rsid w:val="0070569A"/>
    <w:rsid w:val="007129D1"/>
    <w:rsid w:val="00712BD8"/>
    <w:rsid w:val="007177FE"/>
    <w:rsid w:val="007253FB"/>
    <w:rsid w:val="00735269"/>
    <w:rsid w:val="00740AB2"/>
    <w:rsid w:val="00750EF7"/>
    <w:rsid w:val="00757F00"/>
    <w:rsid w:val="00760108"/>
    <w:rsid w:val="00761CEA"/>
    <w:rsid w:val="00765FB3"/>
    <w:rsid w:val="00771BB2"/>
    <w:rsid w:val="007744D5"/>
    <w:rsid w:val="0078148A"/>
    <w:rsid w:val="00782A59"/>
    <w:rsid w:val="00790F4C"/>
    <w:rsid w:val="0079453B"/>
    <w:rsid w:val="00796B54"/>
    <w:rsid w:val="00797DA6"/>
    <w:rsid w:val="007A5D7A"/>
    <w:rsid w:val="007C322C"/>
    <w:rsid w:val="007C3853"/>
    <w:rsid w:val="007C4944"/>
    <w:rsid w:val="007C7014"/>
    <w:rsid w:val="007C7F24"/>
    <w:rsid w:val="007D3E98"/>
    <w:rsid w:val="007D6200"/>
    <w:rsid w:val="007D7672"/>
    <w:rsid w:val="007D7C3D"/>
    <w:rsid w:val="007F1C45"/>
    <w:rsid w:val="007F3712"/>
    <w:rsid w:val="0080319A"/>
    <w:rsid w:val="008066B4"/>
    <w:rsid w:val="008066DB"/>
    <w:rsid w:val="008137E2"/>
    <w:rsid w:val="00813D15"/>
    <w:rsid w:val="00816A57"/>
    <w:rsid w:val="008174B7"/>
    <w:rsid w:val="00823DE5"/>
    <w:rsid w:val="008349BF"/>
    <w:rsid w:val="00843BBF"/>
    <w:rsid w:val="00851386"/>
    <w:rsid w:val="008670B2"/>
    <w:rsid w:val="00875228"/>
    <w:rsid w:val="008845AF"/>
    <w:rsid w:val="00884694"/>
    <w:rsid w:val="008A0BB8"/>
    <w:rsid w:val="008A13DA"/>
    <w:rsid w:val="008A7CD5"/>
    <w:rsid w:val="008B4788"/>
    <w:rsid w:val="008C2278"/>
    <w:rsid w:val="008D3CAF"/>
    <w:rsid w:val="008D49AE"/>
    <w:rsid w:val="008D545E"/>
    <w:rsid w:val="008E0BEC"/>
    <w:rsid w:val="008E1EEA"/>
    <w:rsid w:val="008E4A0E"/>
    <w:rsid w:val="008F1558"/>
    <w:rsid w:val="008F1E8F"/>
    <w:rsid w:val="008F471B"/>
    <w:rsid w:val="008F4A0A"/>
    <w:rsid w:val="00902626"/>
    <w:rsid w:val="0090324A"/>
    <w:rsid w:val="009045C0"/>
    <w:rsid w:val="00904B8E"/>
    <w:rsid w:val="0091705A"/>
    <w:rsid w:val="00920316"/>
    <w:rsid w:val="00925466"/>
    <w:rsid w:val="00925AC8"/>
    <w:rsid w:val="00925CA2"/>
    <w:rsid w:val="0093345F"/>
    <w:rsid w:val="009356AB"/>
    <w:rsid w:val="009603D1"/>
    <w:rsid w:val="00963D5D"/>
    <w:rsid w:val="0096522B"/>
    <w:rsid w:val="00971906"/>
    <w:rsid w:val="00973532"/>
    <w:rsid w:val="0097356A"/>
    <w:rsid w:val="00983C00"/>
    <w:rsid w:val="00994725"/>
    <w:rsid w:val="0099773B"/>
    <w:rsid w:val="009A20DD"/>
    <w:rsid w:val="009A7ABF"/>
    <w:rsid w:val="009B0DF0"/>
    <w:rsid w:val="009C0055"/>
    <w:rsid w:val="009C0CFE"/>
    <w:rsid w:val="009C2665"/>
    <w:rsid w:val="009C4BF2"/>
    <w:rsid w:val="009C4E2C"/>
    <w:rsid w:val="009C5E90"/>
    <w:rsid w:val="009C7512"/>
    <w:rsid w:val="009D5E1C"/>
    <w:rsid w:val="009E2588"/>
    <w:rsid w:val="009E2EC6"/>
    <w:rsid w:val="009E59E3"/>
    <w:rsid w:val="009E6746"/>
    <w:rsid w:val="009E7136"/>
    <w:rsid w:val="009E7526"/>
    <w:rsid w:val="009F0D2E"/>
    <w:rsid w:val="009F414A"/>
    <w:rsid w:val="009F55F2"/>
    <w:rsid w:val="009F748B"/>
    <w:rsid w:val="00A00817"/>
    <w:rsid w:val="00A01369"/>
    <w:rsid w:val="00A13D8A"/>
    <w:rsid w:val="00A167A9"/>
    <w:rsid w:val="00A20E0C"/>
    <w:rsid w:val="00A3218E"/>
    <w:rsid w:val="00A362D1"/>
    <w:rsid w:val="00A3719F"/>
    <w:rsid w:val="00A37A22"/>
    <w:rsid w:val="00A435DC"/>
    <w:rsid w:val="00A43C84"/>
    <w:rsid w:val="00A440DF"/>
    <w:rsid w:val="00A44516"/>
    <w:rsid w:val="00A4723E"/>
    <w:rsid w:val="00A5003D"/>
    <w:rsid w:val="00A5155A"/>
    <w:rsid w:val="00A6200A"/>
    <w:rsid w:val="00A74CBB"/>
    <w:rsid w:val="00A812A9"/>
    <w:rsid w:val="00A91391"/>
    <w:rsid w:val="00A94AD1"/>
    <w:rsid w:val="00A95367"/>
    <w:rsid w:val="00A9629A"/>
    <w:rsid w:val="00AA0007"/>
    <w:rsid w:val="00AA1CFE"/>
    <w:rsid w:val="00AA2D24"/>
    <w:rsid w:val="00AA4A04"/>
    <w:rsid w:val="00AA550A"/>
    <w:rsid w:val="00AA629C"/>
    <w:rsid w:val="00AB20E8"/>
    <w:rsid w:val="00AB2668"/>
    <w:rsid w:val="00AB3B4C"/>
    <w:rsid w:val="00AB3BA9"/>
    <w:rsid w:val="00AC5A43"/>
    <w:rsid w:val="00AE032F"/>
    <w:rsid w:val="00AE1F3E"/>
    <w:rsid w:val="00AF074B"/>
    <w:rsid w:val="00AF56F2"/>
    <w:rsid w:val="00B05752"/>
    <w:rsid w:val="00B06DD8"/>
    <w:rsid w:val="00B0737A"/>
    <w:rsid w:val="00B076CE"/>
    <w:rsid w:val="00B07736"/>
    <w:rsid w:val="00B11CD6"/>
    <w:rsid w:val="00B128FE"/>
    <w:rsid w:val="00B15767"/>
    <w:rsid w:val="00B2172F"/>
    <w:rsid w:val="00B43B67"/>
    <w:rsid w:val="00B5209B"/>
    <w:rsid w:val="00B567D5"/>
    <w:rsid w:val="00B668D8"/>
    <w:rsid w:val="00B7353A"/>
    <w:rsid w:val="00B75407"/>
    <w:rsid w:val="00B807AC"/>
    <w:rsid w:val="00B82528"/>
    <w:rsid w:val="00B87998"/>
    <w:rsid w:val="00B917BB"/>
    <w:rsid w:val="00B95FDF"/>
    <w:rsid w:val="00B96986"/>
    <w:rsid w:val="00BA0696"/>
    <w:rsid w:val="00BA64E1"/>
    <w:rsid w:val="00BB011A"/>
    <w:rsid w:val="00BB32A8"/>
    <w:rsid w:val="00BB4F8C"/>
    <w:rsid w:val="00BB5B28"/>
    <w:rsid w:val="00BC3429"/>
    <w:rsid w:val="00BC5B5E"/>
    <w:rsid w:val="00BC5CB7"/>
    <w:rsid w:val="00BD5375"/>
    <w:rsid w:val="00BD5BE7"/>
    <w:rsid w:val="00BD7636"/>
    <w:rsid w:val="00BE2542"/>
    <w:rsid w:val="00BE3D36"/>
    <w:rsid w:val="00BF2B95"/>
    <w:rsid w:val="00BF482B"/>
    <w:rsid w:val="00BF68A0"/>
    <w:rsid w:val="00C04471"/>
    <w:rsid w:val="00C046AC"/>
    <w:rsid w:val="00C17409"/>
    <w:rsid w:val="00C218B6"/>
    <w:rsid w:val="00C23311"/>
    <w:rsid w:val="00C343CE"/>
    <w:rsid w:val="00C42697"/>
    <w:rsid w:val="00C42DA4"/>
    <w:rsid w:val="00C46EAC"/>
    <w:rsid w:val="00C4747A"/>
    <w:rsid w:val="00C549FC"/>
    <w:rsid w:val="00C62F60"/>
    <w:rsid w:val="00C63ADD"/>
    <w:rsid w:val="00C6501D"/>
    <w:rsid w:val="00C70393"/>
    <w:rsid w:val="00C74B4E"/>
    <w:rsid w:val="00C858B8"/>
    <w:rsid w:val="00C9372C"/>
    <w:rsid w:val="00CA611C"/>
    <w:rsid w:val="00CB1404"/>
    <w:rsid w:val="00CB2D24"/>
    <w:rsid w:val="00CC493F"/>
    <w:rsid w:val="00CC660A"/>
    <w:rsid w:val="00CC70A2"/>
    <w:rsid w:val="00CD01B7"/>
    <w:rsid w:val="00CD0ADA"/>
    <w:rsid w:val="00CD0C78"/>
    <w:rsid w:val="00CD397F"/>
    <w:rsid w:val="00CE4D23"/>
    <w:rsid w:val="00CF0D84"/>
    <w:rsid w:val="00CF1389"/>
    <w:rsid w:val="00CF23CB"/>
    <w:rsid w:val="00D01949"/>
    <w:rsid w:val="00D01DFF"/>
    <w:rsid w:val="00D06501"/>
    <w:rsid w:val="00D12B73"/>
    <w:rsid w:val="00D153B4"/>
    <w:rsid w:val="00D22C4A"/>
    <w:rsid w:val="00D25B52"/>
    <w:rsid w:val="00D266D9"/>
    <w:rsid w:val="00D3192F"/>
    <w:rsid w:val="00D379A3"/>
    <w:rsid w:val="00D520F1"/>
    <w:rsid w:val="00D52F0E"/>
    <w:rsid w:val="00D56B23"/>
    <w:rsid w:val="00D60B8B"/>
    <w:rsid w:val="00D64605"/>
    <w:rsid w:val="00D6646E"/>
    <w:rsid w:val="00D81C82"/>
    <w:rsid w:val="00D87731"/>
    <w:rsid w:val="00D90D46"/>
    <w:rsid w:val="00D92AE7"/>
    <w:rsid w:val="00D9609F"/>
    <w:rsid w:val="00DA0AFF"/>
    <w:rsid w:val="00DA5CF9"/>
    <w:rsid w:val="00DB1E8B"/>
    <w:rsid w:val="00DC0C62"/>
    <w:rsid w:val="00DC2943"/>
    <w:rsid w:val="00DC4185"/>
    <w:rsid w:val="00DC606C"/>
    <w:rsid w:val="00DD1F63"/>
    <w:rsid w:val="00DD216B"/>
    <w:rsid w:val="00DD3AF2"/>
    <w:rsid w:val="00DD3BB0"/>
    <w:rsid w:val="00DD6795"/>
    <w:rsid w:val="00DE01B0"/>
    <w:rsid w:val="00DE2A37"/>
    <w:rsid w:val="00DF677D"/>
    <w:rsid w:val="00E02F71"/>
    <w:rsid w:val="00E0341E"/>
    <w:rsid w:val="00E0349D"/>
    <w:rsid w:val="00E04301"/>
    <w:rsid w:val="00E0437D"/>
    <w:rsid w:val="00E07C1B"/>
    <w:rsid w:val="00E11343"/>
    <w:rsid w:val="00E139EB"/>
    <w:rsid w:val="00E22CE9"/>
    <w:rsid w:val="00E25EC7"/>
    <w:rsid w:val="00E34031"/>
    <w:rsid w:val="00E41806"/>
    <w:rsid w:val="00E63FF2"/>
    <w:rsid w:val="00E73C20"/>
    <w:rsid w:val="00E74A42"/>
    <w:rsid w:val="00E751CF"/>
    <w:rsid w:val="00E771D2"/>
    <w:rsid w:val="00E80682"/>
    <w:rsid w:val="00E83CE7"/>
    <w:rsid w:val="00E9192A"/>
    <w:rsid w:val="00E94BEC"/>
    <w:rsid w:val="00EA5B86"/>
    <w:rsid w:val="00EA69EB"/>
    <w:rsid w:val="00EB2A81"/>
    <w:rsid w:val="00EB4D45"/>
    <w:rsid w:val="00EB582D"/>
    <w:rsid w:val="00EB7E5C"/>
    <w:rsid w:val="00EC2325"/>
    <w:rsid w:val="00EC261E"/>
    <w:rsid w:val="00EC5B2A"/>
    <w:rsid w:val="00EC699D"/>
    <w:rsid w:val="00EC709B"/>
    <w:rsid w:val="00ED207D"/>
    <w:rsid w:val="00ED57DC"/>
    <w:rsid w:val="00ED5EE1"/>
    <w:rsid w:val="00EE14B6"/>
    <w:rsid w:val="00EE36B2"/>
    <w:rsid w:val="00EF4756"/>
    <w:rsid w:val="00EF7251"/>
    <w:rsid w:val="00F03E44"/>
    <w:rsid w:val="00F046AA"/>
    <w:rsid w:val="00F126F9"/>
    <w:rsid w:val="00F13CC5"/>
    <w:rsid w:val="00F220E8"/>
    <w:rsid w:val="00F266EE"/>
    <w:rsid w:val="00F301BA"/>
    <w:rsid w:val="00F354AE"/>
    <w:rsid w:val="00F354FE"/>
    <w:rsid w:val="00F36A2E"/>
    <w:rsid w:val="00F41DEA"/>
    <w:rsid w:val="00F42E89"/>
    <w:rsid w:val="00F42F5C"/>
    <w:rsid w:val="00F45BB0"/>
    <w:rsid w:val="00F45D4B"/>
    <w:rsid w:val="00F469E3"/>
    <w:rsid w:val="00F546CD"/>
    <w:rsid w:val="00F5627D"/>
    <w:rsid w:val="00F57C7A"/>
    <w:rsid w:val="00F62DFA"/>
    <w:rsid w:val="00F7091E"/>
    <w:rsid w:val="00F743FC"/>
    <w:rsid w:val="00F761C9"/>
    <w:rsid w:val="00F77055"/>
    <w:rsid w:val="00F82E4A"/>
    <w:rsid w:val="00F8383A"/>
    <w:rsid w:val="00F86AB1"/>
    <w:rsid w:val="00F92BA8"/>
    <w:rsid w:val="00F930F9"/>
    <w:rsid w:val="00F95896"/>
    <w:rsid w:val="00F96A73"/>
    <w:rsid w:val="00FA3C4C"/>
    <w:rsid w:val="00FA4D8B"/>
    <w:rsid w:val="00FA5287"/>
    <w:rsid w:val="00FA64D8"/>
    <w:rsid w:val="00FA75C1"/>
    <w:rsid w:val="00FB05C5"/>
    <w:rsid w:val="00FB09DE"/>
    <w:rsid w:val="00FB39EA"/>
    <w:rsid w:val="00FB41F2"/>
    <w:rsid w:val="00FB75DD"/>
    <w:rsid w:val="00FC53C0"/>
    <w:rsid w:val="00FD07BA"/>
    <w:rsid w:val="00FD68EE"/>
    <w:rsid w:val="00FE105D"/>
    <w:rsid w:val="00FE4AD4"/>
    <w:rsid w:val="00FE7706"/>
    <w:rsid w:val="00FF4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F03502"/>
  <w15:docId w15:val="{1583F0A1-3EC9-4C85-BE11-6440B6C1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1B7"/>
    <w:rPr>
      <w:sz w:val="20"/>
      <w:szCs w:val="20"/>
      <w:lang w:eastAsia="en-US"/>
    </w:rPr>
  </w:style>
  <w:style w:type="paragraph" w:styleId="Heading1">
    <w:name w:val="heading 1"/>
    <w:basedOn w:val="Normal"/>
    <w:next w:val="Normal"/>
    <w:link w:val="Heading1Char"/>
    <w:uiPriority w:val="99"/>
    <w:qFormat/>
    <w:rsid w:val="004840B3"/>
    <w:pPr>
      <w:keepNext/>
      <w:jc w:val="center"/>
      <w:outlineLvl w:val="0"/>
    </w:pPr>
    <w:rPr>
      <w:b/>
      <w:sz w:val="30"/>
    </w:rPr>
  </w:style>
  <w:style w:type="paragraph" w:styleId="Heading2">
    <w:name w:val="heading 2"/>
    <w:basedOn w:val="Normal"/>
    <w:next w:val="Normal"/>
    <w:link w:val="Heading2Char"/>
    <w:uiPriority w:val="99"/>
    <w:qFormat/>
    <w:rsid w:val="004840B3"/>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408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F4085"/>
    <w:rPr>
      <w:rFonts w:ascii="Cambria" w:hAnsi="Cambria" w:cs="Times New Roman"/>
      <w:b/>
      <w:bCs/>
      <w:i/>
      <w:iCs/>
      <w:sz w:val="28"/>
      <w:szCs w:val="28"/>
      <w:lang w:eastAsia="en-US"/>
    </w:rPr>
  </w:style>
  <w:style w:type="paragraph" w:styleId="Header">
    <w:name w:val="header"/>
    <w:basedOn w:val="Normal"/>
    <w:link w:val="HeaderChar"/>
    <w:uiPriority w:val="99"/>
    <w:rsid w:val="004840B3"/>
    <w:pPr>
      <w:tabs>
        <w:tab w:val="center" w:pos="4153"/>
        <w:tab w:val="right" w:pos="8306"/>
      </w:tabs>
    </w:pPr>
    <w:rPr>
      <w:sz w:val="24"/>
    </w:rPr>
  </w:style>
  <w:style w:type="character" w:customStyle="1" w:styleId="HeaderChar">
    <w:name w:val="Header Char"/>
    <w:basedOn w:val="DefaultParagraphFont"/>
    <w:link w:val="Header"/>
    <w:uiPriority w:val="99"/>
    <w:semiHidden/>
    <w:locked/>
    <w:rsid w:val="005F4085"/>
    <w:rPr>
      <w:rFonts w:cs="Times New Roman"/>
      <w:sz w:val="20"/>
      <w:szCs w:val="20"/>
      <w:lang w:eastAsia="en-US"/>
    </w:rPr>
  </w:style>
  <w:style w:type="paragraph" w:styleId="Footer">
    <w:name w:val="footer"/>
    <w:basedOn w:val="Normal"/>
    <w:link w:val="FooterChar"/>
    <w:uiPriority w:val="99"/>
    <w:rsid w:val="004840B3"/>
    <w:pPr>
      <w:tabs>
        <w:tab w:val="center" w:pos="4153"/>
        <w:tab w:val="right" w:pos="8306"/>
      </w:tabs>
    </w:pPr>
    <w:rPr>
      <w:sz w:val="24"/>
    </w:rPr>
  </w:style>
  <w:style w:type="character" w:customStyle="1" w:styleId="FooterChar">
    <w:name w:val="Footer Char"/>
    <w:basedOn w:val="DefaultParagraphFont"/>
    <w:link w:val="Footer"/>
    <w:uiPriority w:val="99"/>
    <w:locked/>
    <w:rsid w:val="005F4085"/>
    <w:rPr>
      <w:rFonts w:cs="Times New Roman"/>
      <w:sz w:val="20"/>
      <w:szCs w:val="20"/>
      <w:lang w:eastAsia="en-US"/>
    </w:rPr>
  </w:style>
  <w:style w:type="character" w:styleId="PageNumber">
    <w:name w:val="page number"/>
    <w:basedOn w:val="DefaultParagraphFont"/>
    <w:uiPriority w:val="99"/>
    <w:rsid w:val="004840B3"/>
    <w:rPr>
      <w:rFonts w:cs="Times New Roman"/>
    </w:rPr>
  </w:style>
  <w:style w:type="paragraph" w:styleId="BodyText">
    <w:name w:val="Body Text"/>
    <w:basedOn w:val="Normal"/>
    <w:link w:val="BodyTextChar"/>
    <w:uiPriority w:val="99"/>
    <w:rsid w:val="004840B3"/>
    <w:pPr>
      <w:spacing w:line="360" w:lineRule="auto"/>
      <w:ind w:firstLine="1298"/>
    </w:pPr>
    <w:rPr>
      <w:sz w:val="24"/>
    </w:rPr>
  </w:style>
  <w:style w:type="character" w:customStyle="1" w:styleId="BodyTextChar">
    <w:name w:val="Body Text Char"/>
    <w:basedOn w:val="DefaultParagraphFont"/>
    <w:link w:val="BodyText"/>
    <w:uiPriority w:val="99"/>
    <w:semiHidden/>
    <w:locked/>
    <w:rsid w:val="005F4085"/>
    <w:rPr>
      <w:rFonts w:cs="Times New Roman"/>
      <w:sz w:val="20"/>
      <w:szCs w:val="20"/>
      <w:lang w:eastAsia="en-US"/>
    </w:rPr>
  </w:style>
  <w:style w:type="character" w:styleId="Hyperlink">
    <w:name w:val="Hyperlink"/>
    <w:basedOn w:val="DefaultParagraphFont"/>
    <w:uiPriority w:val="99"/>
    <w:rsid w:val="004840B3"/>
    <w:rPr>
      <w:rFonts w:cs="Times New Roman"/>
      <w:color w:val="0000FF"/>
      <w:u w:val="single"/>
    </w:rPr>
  </w:style>
  <w:style w:type="character" w:styleId="FollowedHyperlink">
    <w:name w:val="FollowedHyperlink"/>
    <w:basedOn w:val="DefaultParagraphFont"/>
    <w:uiPriority w:val="99"/>
    <w:rsid w:val="004840B3"/>
    <w:rPr>
      <w:rFonts w:cs="Times New Roman"/>
      <w:color w:val="800080"/>
      <w:u w:val="single"/>
    </w:rPr>
  </w:style>
  <w:style w:type="table" w:styleId="TableGrid">
    <w:name w:val="Table Grid"/>
    <w:basedOn w:val="TableNormal"/>
    <w:uiPriority w:val="99"/>
    <w:rsid w:val="000612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811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4085"/>
    <w:rPr>
      <w:rFonts w:cs="Times New Roman"/>
      <w:sz w:val="2"/>
      <w:lang w:eastAsia="en-US"/>
    </w:rPr>
  </w:style>
  <w:style w:type="paragraph" w:customStyle="1" w:styleId="ISTATYMAS">
    <w:name w:val="ISTATYMAS"/>
    <w:uiPriority w:val="99"/>
    <w:rsid w:val="00273B2D"/>
    <w:pPr>
      <w:jc w:val="center"/>
    </w:pPr>
    <w:rPr>
      <w:rFonts w:ascii="TimesLT" w:hAnsi="TimesLT"/>
      <w:sz w:val="20"/>
      <w:szCs w:val="20"/>
      <w:lang w:val="en-US" w:eastAsia="en-US"/>
    </w:rPr>
  </w:style>
  <w:style w:type="paragraph" w:styleId="ListParagraph">
    <w:name w:val="List Paragraph"/>
    <w:basedOn w:val="Normal"/>
    <w:uiPriority w:val="34"/>
    <w:qFormat/>
    <w:rsid w:val="00607CF8"/>
    <w:pPr>
      <w:ind w:left="720"/>
      <w:contextualSpacing/>
    </w:pPr>
  </w:style>
  <w:style w:type="character" w:styleId="CommentReference">
    <w:name w:val="annotation reference"/>
    <w:basedOn w:val="DefaultParagraphFont"/>
    <w:uiPriority w:val="99"/>
    <w:semiHidden/>
    <w:unhideWhenUsed/>
    <w:rsid w:val="00A440DF"/>
    <w:rPr>
      <w:sz w:val="16"/>
      <w:szCs w:val="16"/>
    </w:rPr>
  </w:style>
  <w:style w:type="paragraph" w:styleId="CommentText">
    <w:name w:val="annotation text"/>
    <w:basedOn w:val="Normal"/>
    <w:link w:val="CommentTextChar"/>
    <w:uiPriority w:val="99"/>
    <w:semiHidden/>
    <w:unhideWhenUsed/>
    <w:rsid w:val="00A440DF"/>
  </w:style>
  <w:style w:type="character" w:customStyle="1" w:styleId="CommentTextChar">
    <w:name w:val="Comment Text Char"/>
    <w:basedOn w:val="DefaultParagraphFont"/>
    <w:link w:val="CommentText"/>
    <w:uiPriority w:val="99"/>
    <w:semiHidden/>
    <w:rsid w:val="00A440DF"/>
    <w:rPr>
      <w:sz w:val="20"/>
      <w:szCs w:val="20"/>
      <w:lang w:eastAsia="en-US"/>
    </w:rPr>
  </w:style>
  <w:style w:type="paragraph" w:styleId="CommentSubject">
    <w:name w:val="annotation subject"/>
    <w:basedOn w:val="CommentText"/>
    <w:next w:val="CommentText"/>
    <w:link w:val="CommentSubjectChar"/>
    <w:uiPriority w:val="99"/>
    <w:semiHidden/>
    <w:unhideWhenUsed/>
    <w:rsid w:val="00A440DF"/>
    <w:rPr>
      <w:b/>
      <w:bCs/>
    </w:rPr>
  </w:style>
  <w:style w:type="character" w:customStyle="1" w:styleId="CommentSubjectChar">
    <w:name w:val="Comment Subject Char"/>
    <w:basedOn w:val="CommentTextChar"/>
    <w:link w:val="CommentSubject"/>
    <w:uiPriority w:val="99"/>
    <w:semiHidden/>
    <w:rsid w:val="00A440D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074081">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mailto:urm@urm.lt" TargetMode="External"
                 Type="http://schemas.openxmlformats.org/officeDocument/2006/relationships/hyperlink"/>
   <Relationship Id="rId9" Target="http://www.urm.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C:/Users/inmilt/Documents/URM%20bendras%20(Lietuvoje).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URM bendras (Lietuvoje)</Template>
  <TotalTime>115</TotalTime>
  <Pages>3</Pages>
  <Words>1237</Words>
  <Characters>7051</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Užsienio reikalų ministerija</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2021-02-12T07:08:00Z</dcterms:created>
  <dc:creator>Daina MACIJAUSKAITĖ</dc:creator>
  <cp:lastModifiedBy>Ieva KIRKAITĖ</cp:lastModifiedBy>
  <cp:lastPrinted>2021-02-22T13:00:00Z</cp:lastPrinted>
  <dcterms:modified xsi:type="dcterms:W3CDTF">2021-02-22T14:23:00Z</dcterms:modified>
  <cp:revision>10</cp:revision>
</cp:coreProperties>
</file>