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F6FB1" w14:textId="32162520" w:rsidR="00C56C1D" w:rsidRPr="0008734C" w:rsidRDefault="008106A0" w:rsidP="008106A0">
      <w:pPr>
        <w:jc w:val="center"/>
        <w:rPr>
          <w:b/>
          <w:bCs/>
          <w:color w:val="000000"/>
          <w:szCs w:val="24"/>
          <w:bdr w:val="none" w:sz="0" w:space="0" w:color="auto" w:frame="1"/>
          <w:lang w:eastAsia="lt-LT"/>
        </w:rPr>
      </w:pPr>
      <w:r w:rsidRPr="0008734C">
        <w:rPr>
          <w:b/>
          <w:bCs/>
          <w:color w:val="000000"/>
          <w:szCs w:val="24"/>
          <w:bdr w:val="none" w:sz="0" w:space="0" w:color="auto" w:frame="1"/>
          <w:lang w:eastAsia="lt-LT"/>
        </w:rPr>
        <w:t xml:space="preserve">2021 M. GRUODŽIO 14 D. BENDRŲJŲ </w:t>
      </w:r>
      <w:r w:rsidR="00C56C1D" w:rsidRPr="0008734C">
        <w:rPr>
          <w:b/>
          <w:bCs/>
          <w:color w:val="000000"/>
          <w:szCs w:val="24"/>
          <w:bdr w:val="none" w:sz="0" w:space="0" w:color="auto" w:frame="1"/>
          <w:lang w:eastAsia="lt-LT"/>
        </w:rPr>
        <w:t>REIKALŲ TARYBA</w:t>
      </w:r>
      <w:r w:rsidRPr="0008734C">
        <w:rPr>
          <w:b/>
          <w:bCs/>
          <w:color w:val="000000"/>
          <w:szCs w:val="24"/>
          <w:bdr w:val="none" w:sz="0" w:space="0" w:color="auto" w:frame="1"/>
          <w:lang w:eastAsia="lt-LT"/>
        </w:rPr>
        <w:t>: LIETUVOS POZICIJOS</w:t>
      </w:r>
      <w:r w:rsidR="00C56C1D" w:rsidRPr="0008734C">
        <w:rPr>
          <w:b/>
          <w:bCs/>
          <w:color w:val="000000"/>
          <w:szCs w:val="24"/>
          <w:bdr w:val="none" w:sz="0" w:space="0" w:color="auto" w:frame="1"/>
          <w:lang w:eastAsia="lt-LT"/>
        </w:rPr>
        <w:t xml:space="preserve"> </w:t>
      </w:r>
    </w:p>
    <w:p w14:paraId="6D25FE94" w14:textId="77777777" w:rsidR="00C56C1D" w:rsidRPr="0008734C" w:rsidRDefault="00C56C1D" w:rsidP="00AA610F">
      <w:pPr>
        <w:jc w:val="both"/>
        <w:rPr>
          <w:szCs w:val="24"/>
          <w:bdr w:val="none" w:sz="0" w:space="0" w:color="auto" w:frame="1"/>
          <w:lang w:eastAsia="lt-LT"/>
        </w:rPr>
      </w:pPr>
    </w:p>
    <w:p w14:paraId="65A477CA" w14:textId="7499FAB2" w:rsidR="00C56C1D" w:rsidRPr="0008734C" w:rsidRDefault="00C56C1D" w:rsidP="00AA610F">
      <w:pPr>
        <w:ind w:firstLine="851"/>
        <w:jc w:val="both"/>
        <w:rPr>
          <w:szCs w:val="24"/>
        </w:rPr>
      </w:pPr>
      <w:r w:rsidRPr="0008734C">
        <w:rPr>
          <w:szCs w:val="24"/>
          <w:bdr w:val="none" w:sz="0" w:space="0" w:color="auto" w:frame="1"/>
          <w:lang w:eastAsia="lt-LT"/>
        </w:rPr>
        <w:t>Gruodžio 14 d. Bendrųjų reikalų taryboje</w:t>
      </w:r>
      <w:r w:rsidR="00DD44A1" w:rsidRPr="0008734C">
        <w:rPr>
          <w:szCs w:val="24"/>
          <w:bdr w:val="none" w:sz="0" w:space="0" w:color="auto" w:frame="1"/>
          <w:lang w:eastAsia="lt-LT"/>
        </w:rPr>
        <w:t xml:space="preserve"> (BRT)</w:t>
      </w:r>
      <w:r w:rsidRPr="0008734C">
        <w:rPr>
          <w:szCs w:val="24"/>
          <w:bdr w:val="none" w:sz="0" w:space="0" w:color="auto" w:frame="1"/>
          <w:lang w:eastAsia="lt-LT"/>
        </w:rPr>
        <w:t xml:space="preserve"> bus tęsiamas pasirengimas gruodžio 16-17 d. Europos vadovų tarybai – ministrai diskutuos dėl EVT išvadų</w:t>
      </w:r>
      <w:r w:rsidR="002945D2" w:rsidRPr="0008734C">
        <w:rPr>
          <w:szCs w:val="24"/>
          <w:bdr w:val="none" w:sz="0" w:space="0" w:color="auto" w:frame="1"/>
          <w:lang w:eastAsia="lt-LT"/>
        </w:rPr>
        <w:t xml:space="preserve"> projekto</w:t>
      </w:r>
      <w:r w:rsidRPr="0008734C">
        <w:rPr>
          <w:szCs w:val="24"/>
          <w:bdr w:val="none" w:sz="0" w:space="0" w:color="auto" w:frame="1"/>
          <w:lang w:eastAsia="lt-LT"/>
        </w:rPr>
        <w:t xml:space="preserve">. BRT metu taip pat bus tęsiamos 7 straipsnio procedūros Lenkijai ir Vengrijai – vyks abiejų valstybių klausymai dėl esamos padėties teisinės valstybės </w:t>
      </w:r>
      <w:r w:rsidR="00DD0542" w:rsidRPr="0008734C">
        <w:rPr>
          <w:szCs w:val="24"/>
          <w:bdr w:val="none" w:sz="0" w:space="0" w:color="auto" w:frame="1"/>
          <w:lang w:eastAsia="lt-LT"/>
        </w:rPr>
        <w:t xml:space="preserve">ir sąjungos vertybių </w:t>
      </w:r>
      <w:r w:rsidRPr="0008734C">
        <w:rPr>
          <w:szCs w:val="24"/>
          <w:bdr w:val="none" w:sz="0" w:space="0" w:color="auto" w:frame="1"/>
          <w:lang w:eastAsia="lt-LT"/>
        </w:rPr>
        <w:t>princip</w:t>
      </w:r>
      <w:r w:rsidR="00DD0542" w:rsidRPr="0008734C">
        <w:rPr>
          <w:szCs w:val="24"/>
          <w:bdr w:val="none" w:sz="0" w:space="0" w:color="auto" w:frame="1"/>
          <w:lang w:eastAsia="lt-LT"/>
        </w:rPr>
        <w:t>ų</w:t>
      </w:r>
      <w:r w:rsidRPr="0008734C">
        <w:rPr>
          <w:szCs w:val="24"/>
          <w:bdr w:val="none" w:sz="0" w:space="0" w:color="auto" w:frame="1"/>
          <w:lang w:eastAsia="lt-LT"/>
        </w:rPr>
        <w:t xml:space="preserve"> laikymosi srityse. </w:t>
      </w:r>
      <w:r w:rsidR="00DD0542" w:rsidRPr="0008734C">
        <w:rPr>
          <w:szCs w:val="24"/>
          <w:bdr w:val="none" w:sz="0" w:space="0" w:color="auto" w:frame="1"/>
          <w:lang w:eastAsia="lt-LT"/>
        </w:rPr>
        <w:t xml:space="preserve">ES </w:t>
      </w:r>
      <w:r w:rsidRPr="0008734C">
        <w:rPr>
          <w:szCs w:val="24"/>
          <w:bdr w:val="none" w:sz="0" w:space="0" w:color="auto" w:frame="1"/>
          <w:lang w:eastAsia="lt-LT"/>
        </w:rPr>
        <w:t xml:space="preserve">Tarybai pirmininkaujanti </w:t>
      </w:r>
      <w:r w:rsidRPr="0008734C">
        <w:rPr>
          <w:color w:val="000000"/>
          <w:szCs w:val="24"/>
          <w:bdr w:val="none" w:sz="0" w:space="0" w:color="auto" w:frame="1"/>
          <w:lang w:eastAsia="lt-LT"/>
        </w:rPr>
        <w:t>Slovėnija pristatys naujausią informaciją apie Konferenciją dėl Europos ateities</w:t>
      </w:r>
      <w:r w:rsidR="00DD0542" w:rsidRPr="0008734C">
        <w:rPr>
          <w:color w:val="000000"/>
          <w:szCs w:val="24"/>
          <w:bdr w:val="none" w:sz="0" w:space="0" w:color="auto" w:frame="1"/>
          <w:lang w:eastAsia="lt-LT"/>
        </w:rPr>
        <w:t>. K</w:t>
      </w:r>
      <w:r w:rsidRPr="0008734C">
        <w:rPr>
          <w:color w:val="000000"/>
          <w:szCs w:val="24"/>
          <w:bdr w:val="none" w:sz="0" w:space="0" w:color="auto" w:frame="1"/>
          <w:lang w:eastAsia="lt-LT"/>
        </w:rPr>
        <w:t xml:space="preserve">artu su kitą pusmetį </w:t>
      </w:r>
      <w:r w:rsidR="00DD0542" w:rsidRPr="0008734C">
        <w:rPr>
          <w:color w:val="000000"/>
          <w:szCs w:val="24"/>
          <w:bdr w:val="none" w:sz="0" w:space="0" w:color="auto" w:frame="1"/>
          <w:lang w:eastAsia="lt-LT"/>
        </w:rPr>
        <w:t xml:space="preserve">ES </w:t>
      </w:r>
      <w:r w:rsidRPr="0008734C">
        <w:rPr>
          <w:color w:val="000000"/>
          <w:szCs w:val="24"/>
          <w:bdr w:val="none" w:sz="0" w:space="0" w:color="auto" w:frame="1"/>
          <w:lang w:eastAsia="lt-LT"/>
        </w:rPr>
        <w:t>Tarybai pirmininkausiančia Prancūzija</w:t>
      </w:r>
      <w:r w:rsidR="00DD0542" w:rsidRPr="0008734C">
        <w:rPr>
          <w:color w:val="000000"/>
          <w:szCs w:val="24"/>
          <w:bdr w:val="none" w:sz="0" w:space="0" w:color="auto" w:frame="1"/>
          <w:lang w:eastAsia="lt-LT"/>
        </w:rPr>
        <w:t xml:space="preserve">, Slovėnija </w:t>
      </w:r>
      <w:r w:rsidRPr="0008734C">
        <w:rPr>
          <w:color w:val="000000"/>
          <w:szCs w:val="24"/>
          <w:bdr w:val="none" w:sz="0" w:space="0" w:color="auto" w:frame="1"/>
          <w:lang w:eastAsia="lt-LT"/>
        </w:rPr>
        <w:t xml:space="preserve">pristatys 2022 m. Europos semestro veiksmų gaires. BRT taip pat planuojama patvirtinti </w:t>
      </w:r>
      <w:r w:rsidR="00DD0542" w:rsidRPr="0008734C">
        <w:rPr>
          <w:color w:val="000000"/>
          <w:szCs w:val="24"/>
          <w:bdr w:val="none" w:sz="0" w:space="0" w:color="auto" w:frame="1"/>
          <w:lang w:eastAsia="lt-LT"/>
        </w:rPr>
        <w:t xml:space="preserve">ES </w:t>
      </w:r>
      <w:r w:rsidRPr="0008734C">
        <w:rPr>
          <w:color w:val="000000"/>
          <w:szCs w:val="24"/>
          <w:bdr w:val="none" w:sz="0" w:space="0" w:color="auto" w:frame="1"/>
          <w:lang w:eastAsia="lt-LT"/>
        </w:rPr>
        <w:t xml:space="preserve">Tarybos aštuoniolikos mėnesių programą bei bendrą </w:t>
      </w:r>
      <w:r w:rsidR="00DD0542" w:rsidRPr="0008734C">
        <w:rPr>
          <w:color w:val="000000"/>
          <w:szCs w:val="24"/>
          <w:bdr w:val="none" w:sz="0" w:space="0" w:color="auto" w:frame="1"/>
          <w:lang w:eastAsia="lt-LT"/>
        </w:rPr>
        <w:t xml:space="preserve">ES Tarybos, Europos Komisijos ir Europos Parlamento </w:t>
      </w:r>
      <w:r w:rsidRPr="0008734C">
        <w:rPr>
          <w:color w:val="000000"/>
          <w:szCs w:val="24"/>
          <w:bdr w:val="none" w:sz="0" w:space="0" w:color="auto" w:frame="1"/>
          <w:lang w:eastAsia="lt-LT"/>
        </w:rPr>
        <w:t xml:space="preserve">deklaraciją dėl 2022 m. ES teisėkūros prioritetų. Taip pat numatoma tvirtinti Tarybos išvadas dėl plėtros ir stabilizacijos bei asociacijos proceso. </w:t>
      </w:r>
      <w:r w:rsidR="00DD0542" w:rsidRPr="0008734C">
        <w:rPr>
          <w:color w:val="000000"/>
          <w:szCs w:val="24"/>
          <w:bdr w:val="none" w:sz="0" w:space="0" w:color="auto" w:frame="1"/>
          <w:lang w:eastAsia="lt-LT"/>
        </w:rPr>
        <w:t>BRT</w:t>
      </w:r>
      <w:r w:rsidRPr="0008734C">
        <w:rPr>
          <w:color w:val="000000"/>
          <w:szCs w:val="24"/>
          <w:bdr w:val="none" w:sz="0" w:space="0" w:color="auto" w:frame="1"/>
          <w:lang w:eastAsia="lt-LT"/>
        </w:rPr>
        <w:t xml:space="preserve"> metu ES pagrindinių teisių agentūra pristatys </w:t>
      </w:r>
      <w:r w:rsidR="00DD0542" w:rsidRPr="0008734C">
        <w:rPr>
          <w:szCs w:val="24"/>
        </w:rPr>
        <w:t xml:space="preserve">ataskaitą </w:t>
      </w:r>
      <w:r w:rsidRPr="0008734C">
        <w:rPr>
          <w:szCs w:val="24"/>
        </w:rPr>
        <w:t>„Antisemitizmas: 2010–2020</w:t>
      </w:r>
      <w:r w:rsidR="00DD0542" w:rsidRPr="0008734C">
        <w:rPr>
          <w:szCs w:val="24"/>
        </w:rPr>
        <w:t xml:space="preserve"> </w:t>
      </w:r>
      <w:r w:rsidRPr="0008734C">
        <w:rPr>
          <w:szCs w:val="24"/>
        </w:rPr>
        <w:t>m. Europos Sąjungoje užfiksuotų antisemitinio pobūdžio incidentų apžvalga“</w:t>
      </w:r>
      <w:r w:rsidR="00DD0542" w:rsidRPr="0008734C">
        <w:rPr>
          <w:szCs w:val="24"/>
        </w:rPr>
        <w:t>.</w:t>
      </w:r>
    </w:p>
    <w:p w14:paraId="71945C51" w14:textId="77777777" w:rsidR="00402281" w:rsidRPr="0008734C" w:rsidRDefault="00402281" w:rsidP="00AA610F">
      <w:pPr>
        <w:ind w:firstLine="851"/>
        <w:jc w:val="both"/>
        <w:rPr>
          <w:szCs w:val="24"/>
        </w:rPr>
      </w:pPr>
    </w:p>
    <w:tbl>
      <w:tblPr>
        <w:tblStyle w:val="TableGrid"/>
        <w:tblW w:w="0" w:type="auto"/>
        <w:tblInd w:w="-147" w:type="dxa"/>
        <w:tblLook w:val="04A0" w:firstRow="1" w:lastRow="0" w:firstColumn="1" w:lastColumn="0" w:noHBand="0" w:noVBand="1"/>
      </w:tblPr>
      <w:tblGrid>
        <w:gridCol w:w="9775"/>
      </w:tblGrid>
      <w:tr w:rsidR="00AD30AB" w:rsidRPr="0008734C" w14:paraId="1BC1DAE1" w14:textId="77777777" w:rsidTr="00871D70">
        <w:trPr>
          <w:trHeight w:val="4144"/>
        </w:trPr>
        <w:tc>
          <w:tcPr>
            <w:tcW w:w="9775" w:type="dxa"/>
          </w:tcPr>
          <w:p w14:paraId="63A68AC2" w14:textId="77777777" w:rsidR="00AD30AB" w:rsidRPr="0008734C" w:rsidRDefault="00AD30AB" w:rsidP="00AA610F">
            <w:pPr>
              <w:pStyle w:val="Default"/>
              <w:jc w:val="both"/>
              <w:rPr>
                <w:b/>
              </w:rPr>
            </w:pPr>
            <w:r w:rsidRPr="0008734C">
              <w:rPr>
                <w:b/>
              </w:rPr>
              <w:t>Išvados dėl plėtros ir stabilizacijos bei asociacijos proceso</w:t>
            </w:r>
          </w:p>
          <w:p w14:paraId="07260DB8" w14:textId="77777777" w:rsidR="00AD30AB" w:rsidRPr="0008734C" w:rsidRDefault="00AD30AB" w:rsidP="00AA610F">
            <w:pPr>
              <w:jc w:val="both"/>
              <w:rPr>
                <w:b/>
                <w:i/>
                <w:iCs/>
                <w:szCs w:val="24"/>
              </w:rPr>
            </w:pPr>
            <w:r w:rsidRPr="0008734C">
              <w:rPr>
                <w:b/>
                <w:i/>
                <w:iCs/>
                <w:szCs w:val="24"/>
              </w:rPr>
              <w:t>Patvirtinimas</w:t>
            </w:r>
          </w:p>
          <w:p w14:paraId="59E90C22" w14:textId="77777777" w:rsidR="00C56C1D" w:rsidRPr="0008734C" w:rsidRDefault="00C56C1D" w:rsidP="00AA610F">
            <w:pPr>
              <w:jc w:val="both"/>
              <w:rPr>
                <w:b/>
                <w:i/>
                <w:iCs/>
                <w:szCs w:val="24"/>
              </w:rPr>
            </w:pPr>
          </w:p>
          <w:p w14:paraId="5C834858" w14:textId="3A1A5D30" w:rsidR="00AD30AB" w:rsidRPr="0008734C" w:rsidRDefault="00AD30AB" w:rsidP="00CD4DC4">
            <w:pPr>
              <w:jc w:val="both"/>
              <w:rPr>
                <w:szCs w:val="24"/>
              </w:rPr>
            </w:pPr>
            <w:r w:rsidRPr="0008734C">
              <w:rPr>
                <w:b/>
                <w:bCs/>
                <w:szCs w:val="24"/>
                <w:u w:val="single"/>
              </w:rPr>
              <w:t>Klausimo esmė</w:t>
            </w:r>
            <w:r w:rsidRPr="0008734C">
              <w:rPr>
                <w:b/>
                <w:bCs/>
                <w:szCs w:val="24"/>
              </w:rPr>
              <w:t xml:space="preserve">. </w:t>
            </w:r>
            <w:r w:rsidRPr="0008734C">
              <w:rPr>
                <w:szCs w:val="24"/>
              </w:rPr>
              <w:t>Praėjusiame B</w:t>
            </w:r>
            <w:r w:rsidR="00DD0542" w:rsidRPr="0008734C">
              <w:rPr>
                <w:szCs w:val="24"/>
              </w:rPr>
              <w:t xml:space="preserve">RT </w:t>
            </w:r>
            <w:r w:rsidRPr="0008734C">
              <w:rPr>
                <w:szCs w:val="24"/>
              </w:rPr>
              <w:t>posėdyje (lapkričio 23 d.) ES plėtros</w:t>
            </w:r>
            <w:r w:rsidR="002764AF" w:rsidRPr="0008734C">
              <w:rPr>
                <w:szCs w:val="24"/>
              </w:rPr>
              <w:t xml:space="preserve"> į</w:t>
            </w:r>
            <w:r w:rsidRPr="0008734C">
              <w:rPr>
                <w:szCs w:val="24"/>
              </w:rPr>
              <w:t xml:space="preserve"> Vakarų Balkan</w:t>
            </w:r>
            <w:r w:rsidR="002764AF" w:rsidRPr="0008734C">
              <w:rPr>
                <w:szCs w:val="24"/>
              </w:rPr>
              <w:t>us</w:t>
            </w:r>
            <w:r w:rsidRPr="0008734C">
              <w:rPr>
                <w:szCs w:val="24"/>
              </w:rPr>
              <w:t xml:space="preserve"> tema vykusioje  diskusijoje Bulgarija ragino pradėti ES plėtros derybas su Albanija, derybų kontekste atskiriant ją nuo Šiaurės Makedonijos. Lietuvos pozicija lieka nuosekli – Bulgarijos keliami klausimai Šiaurės Makedonijai yra dvišalio pobūdžio ir neturi stabdyti ES plėtros – Tarpvyriausybinės konferencijos su abiem kandidatėmis (Albanija ir Šiaurės Makedonija) turi būti pradėtos kartu ir kuo skubiau. Tarybos pritarimui teikiamas išvadų </w:t>
            </w:r>
            <w:r w:rsidR="002764AF" w:rsidRPr="0008734C">
              <w:rPr>
                <w:szCs w:val="24"/>
              </w:rPr>
              <w:t>projektas</w:t>
            </w:r>
            <w:r w:rsidR="008558B1" w:rsidRPr="0008734C">
              <w:rPr>
                <w:szCs w:val="24"/>
              </w:rPr>
              <w:t>, kuriame atspindima ES pozicija pradėti derybas su abejomis valstybėmis kartu,</w:t>
            </w:r>
            <w:r w:rsidRPr="0008734C">
              <w:rPr>
                <w:szCs w:val="24"/>
              </w:rPr>
              <w:t xml:space="preserve"> parengtas </w:t>
            </w:r>
            <w:r w:rsidR="002764AF" w:rsidRPr="0008734C">
              <w:rPr>
                <w:szCs w:val="24"/>
              </w:rPr>
              <w:t xml:space="preserve">ES Tarybai </w:t>
            </w:r>
            <w:r w:rsidRPr="0008734C">
              <w:rPr>
                <w:szCs w:val="24"/>
              </w:rPr>
              <w:t xml:space="preserve">pirmininkaujančios </w:t>
            </w:r>
            <w:r w:rsidR="002764AF" w:rsidRPr="0008734C">
              <w:rPr>
                <w:szCs w:val="24"/>
              </w:rPr>
              <w:t xml:space="preserve">valstybės narės </w:t>
            </w:r>
            <w:r w:rsidRPr="0008734C">
              <w:rPr>
                <w:szCs w:val="24"/>
              </w:rPr>
              <w:t xml:space="preserve">siūlymu po diskusijų </w:t>
            </w:r>
            <w:r w:rsidR="002764AF" w:rsidRPr="0008734C">
              <w:rPr>
                <w:szCs w:val="24"/>
              </w:rPr>
              <w:t>atitinkamuose ES Tarybos formatuose</w:t>
            </w:r>
            <w:r w:rsidRPr="0008734C">
              <w:rPr>
                <w:szCs w:val="24"/>
              </w:rPr>
              <w:t xml:space="preserve"> ir atsižvelgiant į valstybių narių pozicijas. </w:t>
            </w:r>
          </w:p>
          <w:p w14:paraId="337B4990" w14:textId="0E048410" w:rsidR="00AD30AB" w:rsidRPr="0008734C" w:rsidRDefault="00AD30AB" w:rsidP="00CD4DC4">
            <w:pPr>
              <w:jc w:val="both"/>
              <w:rPr>
                <w:b/>
                <w:szCs w:val="24"/>
              </w:rPr>
            </w:pPr>
            <w:r w:rsidRPr="0008734C">
              <w:rPr>
                <w:b/>
                <w:szCs w:val="24"/>
                <w:u w:val="single"/>
              </w:rPr>
              <w:t>Lietuvos pozicija</w:t>
            </w:r>
            <w:r w:rsidRPr="0008734C">
              <w:rPr>
                <w:b/>
                <w:szCs w:val="24"/>
              </w:rPr>
              <w:t>.</w:t>
            </w:r>
            <w:r w:rsidRPr="0008734C">
              <w:rPr>
                <w:szCs w:val="24"/>
              </w:rPr>
              <w:t xml:space="preserve"> </w:t>
            </w:r>
            <w:r w:rsidR="002764AF" w:rsidRPr="0008734C">
              <w:rPr>
                <w:szCs w:val="24"/>
              </w:rPr>
              <w:t xml:space="preserve">Pritariame esamam Tarybos išvadų projektui. </w:t>
            </w:r>
            <w:r w:rsidRPr="0008734C">
              <w:rPr>
                <w:szCs w:val="24"/>
              </w:rPr>
              <w:t xml:space="preserve">Lietuvos vertinimu, Tarybos išvadų tekstas yra subalansuotas, </w:t>
            </w:r>
            <w:r w:rsidR="002764AF" w:rsidRPr="0008734C">
              <w:rPr>
                <w:szCs w:val="24"/>
              </w:rPr>
              <w:t>parengtas</w:t>
            </w:r>
            <w:r w:rsidRPr="0008734C">
              <w:rPr>
                <w:szCs w:val="24"/>
              </w:rPr>
              <w:t xml:space="preserve"> </w:t>
            </w:r>
            <w:proofErr w:type="spellStart"/>
            <w:r w:rsidRPr="0008734C">
              <w:rPr>
                <w:szCs w:val="24"/>
              </w:rPr>
              <w:t>Brdo</w:t>
            </w:r>
            <w:proofErr w:type="spellEnd"/>
            <w:r w:rsidRPr="0008734C">
              <w:rPr>
                <w:szCs w:val="24"/>
              </w:rPr>
              <w:t xml:space="preserve"> deklaracijos ir Europos Komisijos metininių ataskaitų pagrindu. </w:t>
            </w:r>
          </w:p>
        </w:tc>
      </w:tr>
    </w:tbl>
    <w:p w14:paraId="76F69ABD" w14:textId="77777777" w:rsidR="00AD30AB" w:rsidRPr="0008734C" w:rsidRDefault="00AD30AB" w:rsidP="00AA610F">
      <w:pPr>
        <w:pStyle w:val="Default"/>
      </w:pPr>
    </w:p>
    <w:tbl>
      <w:tblPr>
        <w:tblStyle w:val="TableGrid"/>
        <w:tblW w:w="0" w:type="auto"/>
        <w:tblInd w:w="-147" w:type="dxa"/>
        <w:tblLook w:val="04A0" w:firstRow="1" w:lastRow="0" w:firstColumn="1" w:lastColumn="0" w:noHBand="0" w:noVBand="1"/>
      </w:tblPr>
      <w:tblGrid>
        <w:gridCol w:w="9775"/>
      </w:tblGrid>
      <w:tr w:rsidR="005E781F" w:rsidRPr="0008734C" w14:paraId="3B7BC487" w14:textId="77777777" w:rsidTr="005E781F">
        <w:tc>
          <w:tcPr>
            <w:tcW w:w="9775" w:type="dxa"/>
            <w:tcBorders>
              <w:top w:val="single" w:sz="4" w:space="0" w:color="auto"/>
              <w:left w:val="single" w:sz="4" w:space="0" w:color="auto"/>
              <w:bottom w:val="nil"/>
              <w:right w:val="single" w:sz="4" w:space="0" w:color="auto"/>
            </w:tcBorders>
          </w:tcPr>
          <w:p w14:paraId="42546A38" w14:textId="77777777" w:rsidR="005E781F" w:rsidRPr="0008734C" w:rsidRDefault="005E781F" w:rsidP="004027BD">
            <w:pPr>
              <w:pStyle w:val="Default"/>
              <w:rPr>
                <w:b/>
              </w:rPr>
            </w:pPr>
            <w:r w:rsidRPr="0008734C">
              <w:rPr>
                <w:b/>
              </w:rPr>
              <w:t>Pasirengimas 2021 m. gruodžio 16–17 d. Europos Vadovų Tarybos susitikimui:</w:t>
            </w:r>
          </w:p>
        </w:tc>
      </w:tr>
      <w:tr w:rsidR="005E781F" w:rsidRPr="0008734C" w14:paraId="30E62270" w14:textId="77777777" w:rsidTr="005E781F">
        <w:tc>
          <w:tcPr>
            <w:tcW w:w="9775" w:type="dxa"/>
            <w:tcBorders>
              <w:top w:val="nil"/>
              <w:left w:val="single" w:sz="4" w:space="0" w:color="auto"/>
              <w:bottom w:val="nil"/>
              <w:right w:val="single" w:sz="4" w:space="0" w:color="auto"/>
            </w:tcBorders>
          </w:tcPr>
          <w:p w14:paraId="162F553F" w14:textId="77777777" w:rsidR="005E781F" w:rsidRPr="0008734C" w:rsidRDefault="005E781F" w:rsidP="004027BD">
            <w:pPr>
              <w:pStyle w:val="Default"/>
              <w:rPr>
                <w:b/>
              </w:rPr>
            </w:pPr>
            <w:r w:rsidRPr="0008734C">
              <w:rPr>
                <w:b/>
              </w:rPr>
              <w:t>išvados</w:t>
            </w:r>
          </w:p>
        </w:tc>
      </w:tr>
      <w:tr w:rsidR="005E781F" w:rsidRPr="0008734C" w14:paraId="007FE97A" w14:textId="77777777" w:rsidTr="005E781F">
        <w:tc>
          <w:tcPr>
            <w:tcW w:w="9775" w:type="dxa"/>
            <w:tcBorders>
              <w:top w:val="nil"/>
              <w:left w:val="single" w:sz="4" w:space="0" w:color="auto"/>
              <w:bottom w:val="nil"/>
              <w:right w:val="single" w:sz="4" w:space="0" w:color="auto"/>
            </w:tcBorders>
          </w:tcPr>
          <w:p w14:paraId="07C3E048" w14:textId="77777777" w:rsidR="005E781F" w:rsidRPr="0008734C" w:rsidRDefault="005E781F" w:rsidP="004027BD">
            <w:pPr>
              <w:rPr>
                <w:b/>
                <w:i/>
                <w:iCs/>
                <w:szCs w:val="24"/>
              </w:rPr>
            </w:pPr>
            <w:r w:rsidRPr="0008734C">
              <w:rPr>
                <w:b/>
                <w:i/>
                <w:iCs/>
                <w:szCs w:val="24"/>
              </w:rPr>
              <w:t>Pasikeitimas nuomonėmis</w:t>
            </w:r>
          </w:p>
        </w:tc>
      </w:tr>
      <w:tr w:rsidR="005E781F" w:rsidRPr="0008734C" w14:paraId="362D85CC" w14:textId="77777777" w:rsidTr="005E781F">
        <w:tc>
          <w:tcPr>
            <w:tcW w:w="9775" w:type="dxa"/>
            <w:tcBorders>
              <w:top w:val="nil"/>
              <w:left w:val="single" w:sz="4" w:space="0" w:color="auto"/>
              <w:bottom w:val="nil"/>
              <w:right w:val="single" w:sz="4" w:space="0" w:color="auto"/>
            </w:tcBorders>
          </w:tcPr>
          <w:p w14:paraId="462C8D17" w14:textId="77777777" w:rsidR="005E781F" w:rsidRPr="0008734C" w:rsidRDefault="005E781F" w:rsidP="004027BD">
            <w:pPr>
              <w:rPr>
                <w:b/>
                <w:i/>
                <w:iCs/>
                <w:szCs w:val="24"/>
              </w:rPr>
            </w:pPr>
          </w:p>
        </w:tc>
      </w:tr>
      <w:tr w:rsidR="005E781F" w:rsidRPr="0008734C" w14:paraId="49212678" w14:textId="77777777" w:rsidTr="005E781F">
        <w:tc>
          <w:tcPr>
            <w:tcW w:w="9775" w:type="dxa"/>
            <w:tcBorders>
              <w:top w:val="nil"/>
              <w:left w:val="single" w:sz="4" w:space="0" w:color="auto"/>
              <w:bottom w:val="nil"/>
              <w:right w:val="single" w:sz="4" w:space="0" w:color="auto"/>
            </w:tcBorders>
          </w:tcPr>
          <w:p w14:paraId="0B72AB45" w14:textId="77777777" w:rsidR="005E781F" w:rsidRPr="0008734C" w:rsidRDefault="005E781F" w:rsidP="004027BD">
            <w:pPr>
              <w:jc w:val="both"/>
              <w:rPr>
                <w:b/>
                <w:szCs w:val="24"/>
              </w:rPr>
            </w:pPr>
            <w:r w:rsidRPr="0008734C">
              <w:rPr>
                <w:b/>
                <w:szCs w:val="24"/>
              </w:rPr>
              <w:t>1. COVID-19 pandemijos koordinavimas</w:t>
            </w:r>
          </w:p>
        </w:tc>
      </w:tr>
      <w:tr w:rsidR="005E781F" w:rsidRPr="0008734C" w14:paraId="48F7D47E" w14:textId="77777777" w:rsidTr="005E781F">
        <w:tc>
          <w:tcPr>
            <w:tcW w:w="9775" w:type="dxa"/>
            <w:tcBorders>
              <w:top w:val="nil"/>
              <w:left w:val="single" w:sz="4" w:space="0" w:color="auto"/>
              <w:bottom w:val="nil"/>
              <w:right w:val="single" w:sz="4" w:space="0" w:color="auto"/>
            </w:tcBorders>
          </w:tcPr>
          <w:p w14:paraId="17CDB079" w14:textId="77777777" w:rsidR="005E781F" w:rsidRPr="0008734C" w:rsidRDefault="005E781F" w:rsidP="004027BD">
            <w:pPr>
              <w:jc w:val="both"/>
              <w:rPr>
                <w:szCs w:val="24"/>
              </w:rPr>
            </w:pPr>
            <w:r w:rsidRPr="0008734C">
              <w:rPr>
                <w:szCs w:val="24"/>
              </w:rPr>
              <w:t>Klausimas dėl koordinuoto ES atsako į COVID-19 pandemiją EVT aptariamas reguliariai. Atsižvelgiant į sparčiai besikeičiančią epidemiologinę ir skiepijimo situaciją, vadovai aptars tolesnius bendro atsako į pandemiją žingsnius – naujos nerimą keliančios viruso atmainos (</w:t>
            </w:r>
            <w:proofErr w:type="spellStart"/>
            <w:r w:rsidRPr="0008734C">
              <w:rPr>
                <w:szCs w:val="24"/>
              </w:rPr>
              <w:t>Omikron</w:t>
            </w:r>
            <w:proofErr w:type="spellEnd"/>
            <w:r w:rsidRPr="0008734C">
              <w:rPr>
                <w:szCs w:val="24"/>
              </w:rPr>
              <w:t xml:space="preserve">) valdymo, koordinuotų sprendimų dėl naujų ribojimų įvedimo, skiepijimo spartinimo, kovos su abejojimu vakcina ir dezinformacija, dalinimosi vakcina su trečiosiomis šalimis ir kitus klausimus. Gruodžio 1 d. EK pateikė komunikatą dėl suderinto ES požiūrio į tolesnį pandemijos valdymą, kuriame ne tik aptariami jau sukurti kovos su pandemija įrankiai, bet ir pabrėžiama tolesnio skiepijimo, aktyvesnės </w:t>
            </w:r>
            <w:proofErr w:type="spellStart"/>
            <w:r w:rsidRPr="0008734C">
              <w:rPr>
                <w:szCs w:val="24"/>
              </w:rPr>
              <w:t>sekoskaitos</w:t>
            </w:r>
            <w:proofErr w:type="spellEnd"/>
            <w:r w:rsidRPr="0008734C">
              <w:rPr>
                <w:szCs w:val="24"/>
              </w:rPr>
              <w:t xml:space="preserve">, tvirtesnio globalaus atsako ir komunikacijos apie priimamus sprendimus svarba. </w:t>
            </w:r>
          </w:p>
        </w:tc>
      </w:tr>
      <w:tr w:rsidR="005E781F" w:rsidRPr="0008734C" w14:paraId="1B3BA80D" w14:textId="77777777" w:rsidTr="005E781F">
        <w:tc>
          <w:tcPr>
            <w:tcW w:w="9775" w:type="dxa"/>
            <w:tcBorders>
              <w:top w:val="nil"/>
              <w:left w:val="single" w:sz="4" w:space="0" w:color="auto"/>
              <w:bottom w:val="nil"/>
              <w:right w:val="single" w:sz="4" w:space="0" w:color="auto"/>
            </w:tcBorders>
          </w:tcPr>
          <w:p w14:paraId="669FCB00" w14:textId="77777777" w:rsidR="005E781F" w:rsidRPr="0008734C" w:rsidRDefault="005E781F" w:rsidP="004027BD">
            <w:pPr>
              <w:jc w:val="both"/>
              <w:rPr>
                <w:szCs w:val="24"/>
              </w:rPr>
            </w:pPr>
            <w:r w:rsidRPr="0008734C">
              <w:rPr>
                <w:szCs w:val="24"/>
              </w:rPr>
              <w:t xml:space="preserve">Jeigu Taryba sutars dėl atnaujintų rekomendacijų dėl koordinuoto požiūrio į judėjimo ES viduje ribojimus ir dėl nebūtinų kelionių iš trečiųjų šalių, EVT aptartų ir šį klausimą (tikėtina, kad diskusijos Taryboje dėl šių klausimų sulėtės dėl atsiradusios naujos </w:t>
            </w:r>
            <w:proofErr w:type="spellStart"/>
            <w:r w:rsidRPr="0008734C">
              <w:rPr>
                <w:szCs w:val="24"/>
              </w:rPr>
              <w:t>Omikron</w:t>
            </w:r>
            <w:proofErr w:type="spellEnd"/>
            <w:r w:rsidRPr="0008734C">
              <w:rPr>
                <w:szCs w:val="24"/>
              </w:rPr>
              <w:t xml:space="preserve"> viruso atmainos).  </w:t>
            </w:r>
          </w:p>
        </w:tc>
      </w:tr>
      <w:tr w:rsidR="005E781F" w:rsidRPr="0008734C" w14:paraId="64B5407C" w14:textId="77777777" w:rsidTr="005E781F">
        <w:tc>
          <w:tcPr>
            <w:tcW w:w="9775" w:type="dxa"/>
            <w:tcBorders>
              <w:top w:val="nil"/>
              <w:left w:val="single" w:sz="4" w:space="0" w:color="auto"/>
              <w:bottom w:val="nil"/>
              <w:right w:val="single" w:sz="4" w:space="0" w:color="auto"/>
            </w:tcBorders>
          </w:tcPr>
          <w:p w14:paraId="5AAAC786" w14:textId="77777777" w:rsidR="005E781F" w:rsidRPr="0008734C" w:rsidRDefault="005E781F" w:rsidP="004027BD">
            <w:pPr>
              <w:jc w:val="both"/>
              <w:rPr>
                <w:b/>
                <w:szCs w:val="24"/>
              </w:rPr>
            </w:pPr>
            <w:r w:rsidRPr="0008734C">
              <w:rPr>
                <w:b/>
                <w:szCs w:val="24"/>
              </w:rPr>
              <w:t xml:space="preserve">Lietuvos pozicija. </w:t>
            </w:r>
            <w:r w:rsidRPr="0008734C">
              <w:rPr>
                <w:szCs w:val="24"/>
              </w:rPr>
              <w:t xml:space="preserve">Lietuva nuosekliai pabrėžia būtinybę užtikrinti stiprų ir koordinuotą ES atsaką į COVID-19 pandemiją. Teigiamai vertiname koordinuotus sprendimus dėl naujos viruso atmainos </w:t>
            </w:r>
            <w:proofErr w:type="spellStart"/>
            <w:r w:rsidRPr="0008734C">
              <w:rPr>
                <w:szCs w:val="24"/>
              </w:rPr>
              <w:t>Omikron</w:t>
            </w:r>
            <w:proofErr w:type="spellEnd"/>
            <w:r w:rsidRPr="0008734C">
              <w:rPr>
                <w:szCs w:val="24"/>
              </w:rPr>
              <w:t xml:space="preserve"> valdymo. Pažymime, kad įvesti nauji ribojimai turi būti laikini, nesutrikdyti Bendrosios </w:t>
            </w:r>
            <w:r w:rsidRPr="0008734C">
              <w:rPr>
                <w:szCs w:val="24"/>
              </w:rPr>
              <w:lastRenderedPageBreak/>
              <w:t>rinkos veikimo ir kiek galima mažiau paveikti prekių, paslaugų ir piliečių judėjimą ES viduje. Lietuva remia bendrų taisyklių ir gairių sukūrimą reaguojant į ateities krizes, kad būtų užtikrintas efektyvus ir lankstus atsakas, didinantis Bendrosios rinkos atsparumą. </w:t>
            </w:r>
          </w:p>
        </w:tc>
      </w:tr>
      <w:tr w:rsidR="005E781F" w:rsidRPr="0008734C" w14:paraId="46655F22" w14:textId="77777777" w:rsidTr="005E781F">
        <w:tc>
          <w:tcPr>
            <w:tcW w:w="9775" w:type="dxa"/>
            <w:tcBorders>
              <w:top w:val="nil"/>
              <w:left w:val="single" w:sz="4" w:space="0" w:color="auto"/>
              <w:bottom w:val="nil"/>
              <w:right w:val="single" w:sz="4" w:space="0" w:color="auto"/>
            </w:tcBorders>
          </w:tcPr>
          <w:p w14:paraId="1877C8F7" w14:textId="77777777" w:rsidR="005E781F" w:rsidRPr="0008734C" w:rsidRDefault="005E781F" w:rsidP="004027BD">
            <w:pPr>
              <w:pStyle w:val="NormalWeb"/>
              <w:spacing w:before="0" w:beforeAutospacing="0" w:after="0" w:afterAutospacing="0"/>
              <w:jc w:val="both"/>
              <w:rPr>
                <w:rStyle w:val="Emphasis"/>
                <w:lang w:val="lt-LT"/>
              </w:rPr>
            </w:pPr>
            <w:r w:rsidRPr="0008734C">
              <w:rPr>
                <w:lang w:val="lt-LT"/>
              </w:rPr>
              <w:lastRenderedPageBreak/>
              <w:t>Pažymime tolesnio skiepijimo svarbą, įskaitant ir stiprinamąją doze. Šioje srityje labai svarbu bendromis komunikacinėmis pastangomis mažinti abejojimą vakcina ir kovoti su dezinformacija apie vakcinos saugumą ir veiksmingumą. Pabrėžiame tolesnio dalijimosi vakcina su trečiosiomis šalimis svarbą. Lietuva aktyviai prisideda prie „ES komandos“ globalaus solidarumo pastangų. Dėl Rekomendacijų dėl nebūtinų kelionių iš trečiųjų šalių ir dėl judėjimo ES viduje ribojimų – palaikome būtinybę atnaujinti šias rekomendacijas, atsižvelgiant į vis didesnę pasiskiepijusių gyventojų dalį ir aktyvesnį ES skaitmeninio COVID pažymėjimo naudojimą. Pritariame, kad kelionių ribojimai būtų siejami ne su teritorija, iš kur keliautojas atvyksta, bet su tuo, ar asmuo pasiskiepijęs/persirgęs. Taip pat remiame pastangas sutarti dėl vienodos ES skaitmeninio COVID pažymėjimo galiojimo trukmės. Svarbu, kad rekomendacijose išliktų galimybė įvesti griežtesnius ribojimus ypatingai skubiais atvejais (</w:t>
            </w:r>
            <w:proofErr w:type="spellStart"/>
            <w:r w:rsidRPr="0008734C">
              <w:rPr>
                <w:rStyle w:val="Emphasis"/>
                <w:lang w:val="lt-LT"/>
              </w:rPr>
              <w:t>emergency</w:t>
            </w:r>
            <w:proofErr w:type="spellEnd"/>
            <w:r w:rsidRPr="0008734C">
              <w:rPr>
                <w:rStyle w:val="Emphasis"/>
                <w:lang w:val="lt-LT"/>
              </w:rPr>
              <w:t xml:space="preserve"> </w:t>
            </w:r>
            <w:proofErr w:type="spellStart"/>
            <w:r w:rsidRPr="0008734C">
              <w:rPr>
                <w:rStyle w:val="Emphasis"/>
                <w:lang w:val="lt-LT"/>
              </w:rPr>
              <w:t>brake</w:t>
            </w:r>
            <w:proofErr w:type="spellEnd"/>
            <w:r w:rsidRPr="0008734C">
              <w:rPr>
                <w:rStyle w:val="Emphasis"/>
                <w:lang w:val="lt-LT"/>
              </w:rPr>
              <w:t xml:space="preserve">). </w:t>
            </w:r>
          </w:p>
        </w:tc>
      </w:tr>
      <w:tr w:rsidR="005E781F" w:rsidRPr="0008734C" w14:paraId="15FB0499" w14:textId="77777777" w:rsidTr="005E781F">
        <w:tc>
          <w:tcPr>
            <w:tcW w:w="9775" w:type="dxa"/>
            <w:tcBorders>
              <w:top w:val="nil"/>
              <w:left w:val="single" w:sz="4" w:space="0" w:color="auto"/>
              <w:bottom w:val="nil"/>
              <w:right w:val="single" w:sz="4" w:space="0" w:color="auto"/>
            </w:tcBorders>
          </w:tcPr>
          <w:p w14:paraId="39FF660E" w14:textId="77777777" w:rsidR="005E781F" w:rsidRPr="0008734C" w:rsidRDefault="005E781F" w:rsidP="004027BD">
            <w:pPr>
              <w:rPr>
                <w:szCs w:val="24"/>
              </w:rPr>
            </w:pPr>
          </w:p>
        </w:tc>
      </w:tr>
      <w:tr w:rsidR="005E781F" w:rsidRPr="0008734C" w14:paraId="54E48499" w14:textId="77777777" w:rsidTr="005E781F">
        <w:tc>
          <w:tcPr>
            <w:tcW w:w="9775" w:type="dxa"/>
            <w:tcBorders>
              <w:top w:val="nil"/>
              <w:left w:val="single" w:sz="4" w:space="0" w:color="auto"/>
              <w:bottom w:val="nil"/>
              <w:right w:val="single" w:sz="4" w:space="0" w:color="auto"/>
            </w:tcBorders>
          </w:tcPr>
          <w:p w14:paraId="59EC2F6E" w14:textId="77777777" w:rsidR="005E781F" w:rsidRPr="0008734C" w:rsidRDefault="005E781F" w:rsidP="004027BD">
            <w:pPr>
              <w:jc w:val="both"/>
              <w:rPr>
                <w:b/>
                <w:szCs w:val="24"/>
              </w:rPr>
            </w:pPr>
            <w:r w:rsidRPr="0008734C">
              <w:rPr>
                <w:b/>
                <w:szCs w:val="24"/>
              </w:rPr>
              <w:t>2. Krizių valdymas ir atsparumas</w:t>
            </w:r>
          </w:p>
        </w:tc>
      </w:tr>
      <w:tr w:rsidR="005E781F" w:rsidRPr="0008734C" w14:paraId="2088A445" w14:textId="77777777" w:rsidTr="005E781F">
        <w:tc>
          <w:tcPr>
            <w:tcW w:w="9775" w:type="dxa"/>
            <w:tcBorders>
              <w:top w:val="nil"/>
              <w:left w:val="single" w:sz="4" w:space="0" w:color="auto"/>
              <w:bottom w:val="nil"/>
              <w:right w:val="single" w:sz="4" w:space="0" w:color="auto"/>
            </w:tcBorders>
          </w:tcPr>
          <w:p w14:paraId="5DBFC22A" w14:textId="77777777" w:rsidR="005E781F" w:rsidRPr="0008734C" w:rsidRDefault="005E781F" w:rsidP="004027BD">
            <w:pPr>
              <w:jc w:val="both"/>
              <w:rPr>
                <w:szCs w:val="24"/>
              </w:rPr>
            </w:pPr>
            <w:r w:rsidRPr="0008734C">
              <w:rPr>
                <w:szCs w:val="24"/>
              </w:rPr>
              <w:t xml:space="preserve">EVT pirmininkas </w:t>
            </w:r>
            <w:r w:rsidRPr="0008734C">
              <w:rPr>
                <w:color w:val="000000"/>
                <w:szCs w:val="24"/>
              </w:rPr>
              <w:t>neplanuoja detalios vadovų diskusijos, o tik trumpą apsikeitimą nuomonėmis ir išvadas.</w:t>
            </w:r>
            <w:r w:rsidRPr="0008734C">
              <w:rPr>
                <w:szCs w:val="24"/>
              </w:rPr>
              <w:t xml:space="preserve"> Numatoma akcentuoti valdymo ir atsparumo stiprinimą, visaapimantį požiūrį į grėsmes (</w:t>
            </w:r>
            <w:proofErr w:type="spellStart"/>
            <w:r w:rsidRPr="0008734C">
              <w:rPr>
                <w:i/>
                <w:szCs w:val="24"/>
              </w:rPr>
              <w:t>all</w:t>
            </w:r>
            <w:proofErr w:type="spellEnd"/>
            <w:r w:rsidRPr="0008734C">
              <w:rPr>
                <w:i/>
                <w:szCs w:val="24"/>
              </w:rPr>
              <w:t xml:space="preserve"> </w:t>
            </w:r>
            <w:proofErr w:type="spellStart"/>
            <w:r w:rsidRPr="0008734C">
              <w:rPr>
                <w:i/>
                <w:szCs w:val="24"/>
              </w:rPr>
              <w:t>hazards</w:t>
            </w:r>
            <w:proofErr w:type="spellEnd"/>
            <w:r w:rsidRPr="0008734C">
              <w:rPr>
                <w:i/>
                <w:szCs w:val="24"/>
              </w:rPr>
              <w:t xml:space="preserve"> </w:t>
            </w:r>
            <w:proofErr w:type="spellStart"/>
            <w:r w:rsidRPr="0008734C">
              <w:rPr>
                <w:i/>
                <w:szCs w:val="24"/>
              </w:rPr>
              <w:t>approach</w:t>
            </w:r>
            <w:proofErr w:type="spellEnd"/>
            <w:r w:rsidRPr="0008734C">
              <w:rPr>
                <w:szCs w:val="24"/>
              </w:rPr>
              <w:t xml:space="preserve">), skirti dėmesį sritims, kuriose esama atsparumo spragų. Numatoma, kad EVT patvirtins š. m. lapkričio 23 d. priimtas Tarybos išvadas dėl </w:t>
            </w:r>
            <w:r w:rsidRPr="0008734C">
              <w:rPr>
                <w:rStyle w:val="y2iqfc"/>
                <w:szCs w:val="24"/>
              </w:rPr>
              <w:t xml:space="preserve">pasirengimo, reagavimo ir atsparumo </w:t>
            </w:r>
            <w:proofErr w:type="spellStart"/>
            <w:r w:rsidRPr="0008734C">
              <w:rPr>
                <w:rStyle w:val="y2iqfc"/>
                <w:szCs w:val="24"/>
              </w:rPr>
              <w:t>pajėgumų</w:t>
            </w:r>
            <w:proofErr w:type="spellEnd"/>
            <w:r w:rsidRPr="0008734C">
              <w:rPr>
                <w:rStyle w:val="y2iqfc"/>
                <w:szCs w:val="24"/>
              </w:rPr>
              <w:t xml:space="preserve"> gerinimo rengiantis būsimoms krizėms</w:t>
            </w:r>
            <w:r w:rsidRPr="0008734C">
              <w:rPr>
                <w:szCs w:val="24"/>
              </w:rPr>
              <w:t xml:space="preserve">. </w:t>
            </w:r>
          </w:p>
        </w:tc>
      </w:tr>
      <w:tr w:rsidR="005E781F" w:rsidRPr="0008734C" w14:paraId="283076F6" w14:textId="77777777" w:rsidTr="005E781F">
        <w:tc>
          <w:tcPr>
            <w:tcW w:w="9775" w:type="dxa"/>
            <w:tcBorders>
              <w:top w:val="nil"/>
              <w:left w:val="single" w:sz="4" w:space="0" w:color="auto"/>
              <w:bottom w:val="nil"/>
              <w:right w:val="single" w:sz="4" w:space="0" w:color="auto"/>
            </w:tcBorders>
          </w:tcPr>
          <w:p w14:paraId="3512AAD5" w14:textId="77777777" w:rsidR="005E781F" w:rsidRPr="0008734C" w:rsidRDefault="005E781F" w:rsidP="004027BD">
            <w:pPr>
              <w:jc w:val="both"/>
              <w:rPr>
                <w:b/>
                <w:szCs w:val="24"/>
              </w:rPr>
            </w:pPr>
            <w:r w:rsidRPr="0008734C">
              <w:rPr>
                <w:b/>
                <w:szCs w:val="24"/>
              </w:rPr>
              <w:t xml:space="preserve">Lietuvos pozicija. </w:t>
            </w:r>
            <w:r w:rsidRPr="0008734C">
              <w:rPr>
                <w:szCs w:val="24"/>
              </w:rPr>
              <w:t>Lietuva nuosekliai pabrėžia būtinybę užtikrinti stiprų ir koordinuotą ES atsaką į vykstančias (COVID-19 pandemija, hibridinė ataka prie ES išorinės sienos su Baltarusija) ir būsimas krizes. Tai būtina visuose šio proceso etapuose, įskaitant ir išmoktas pamokas bei ES atsparumo didinimą.</w:t>
            </w:r>
          </w:p>
        </w:tc>
      </w:tr>
      <w:tr w:rsidR="005E781F" w:rsidRPr="0008734C" w14:paraId="38DB4D92" w14:textId="77777777" w:rsidTr="005E781F">
        <w:tc>
          <w:tcPr>
            <w:tcW w:w="9775" w:type="dxa"/>
            <w:tcBorders>
              <w:top w:val="nil"/>
              <w:left w:val="single" w:sz="4" w:space="0" w:color="auto"/>
              <w:bottom w:val="nil"/>
              <w:right w:val="single" w:sz="4" w:space="0" w:color="auto"/>
            </w:tcBorders>
          </w:tcPr>
          <w:p w14:paraId="66507D14" w14:textId="77777777" w:rsidR="005E781F" w:rsidRPr="0008734C" w:rsidRDefault="005E781F" w:rsidP="004027BD">
            <w:pPr>
              <w:rPr>
                <w:szCs w:val="24"/>
              </w:rPr>
            </w:pPr>
            <w:r w:rsidRPr="0008734C">
              <w:rPr>
                <w:szCs w:val="24"/>
              </w:rPr>
              <w:t xml:space="preserve">Remiame bendras pastangas stiprinti ES atsparumą, kuris turi būti visaapimantis (sveikatos, socialinė, ekonominė, užsienio politikos ir kitos sritys). ES būtina veiksminga krizių valdymo, stebėsenos, ankstyvojo įspėjimo ir prevencijos sistemos. Ypač svarbu stiprinti ES atsaką į hibridines grėsmes, tokias kaip neteisėtos migracijos </w:t>
            </w:r>
            <w:proofErr w:type="spellStart"/>
            <w:r w:rsidRPr="0008734C">
              <w:rPr>
                <w:szCs w:val="24"/>
              </w:rPr>
              <w:t>instrumentalizavimas</w:t>
            </w:r>
            <w:proofErr w:type="spellEnd"/>
            <w:r w:rsidRPr="0008734C">
              <w:rPr>
                <w:szCs w:val="24"/>
              </w:rPr>
              <w:t xml:space="preserve"> politiniais tikslais. Pažymime bendrų veiksmų kovoje su dezinformacija svarbą, taip pat būtinybę krizių metu užtikrinti sklandų Bendrosios rinkos funkcionavimą.</w:t>
            </w:r>
          </w:p>
        </w:tc>
      </w:tr>
      <w:tr w:rsidR="005E781F" w:rsidRPr="0008734C" w14:paraId="1B03AC59" w14:textId="77777777" w:rsidTr="005E781F">
        <w:tc>
          <w:tcPr>
            <w:tcW w:w="9775" w:type="dxa"/>
            <w:tcBorders>
              <w:top w:val="nil"/>
              <w:left w:val="single" w:sz="4" w:space="0" w:color="auto"/>
              <w:bottom w:val="nil"/>
              <w:right w:val="single" w:sz="4" w:space="0" w:color="auto"/>
            </w:tcBorders>
          </w:tcPr>
          <w:p w14:paraId="503BA3B1" w14:textId="77777777" w:rsidR="005E781F" w:rsidRPr="0008734C" w:rsidRDefault="005E781F" w:rsidP="004027BD">
            <w:pPr>
              <w:jc w:val="both"/>
              <w:rPr>
                <w:b/>
                <w:szCs w:val="24"/>
              </w:rPr>
            </w:pPr>
          </w:p>
        </w:tc>
      </w:tr>
      <w:tr w:rsidR="005E781F" w:rsidRPr="0008734C" w14:paraId="11EEDB33" w14:textId="77777777" w:rsidTr="005E781F">
        <w:tc>
          <w:tcPr>
            <w:tcW w:w="9775" w:type="dxa"/>
            <w:tcBorders>
              <w:top w:val="nil"/>
              <w:left w:val="single" w:sz="4" w:space="0" w:color="auto"/>
              <w:bottom w:val="nil"/>
              <w:right w:val="single" w:sz="4" w:space="0" w:color="auto"/>
            </w:tcBorders>
          </w:tcPr>
          <w:p w14:paraId="76F78D26" w14:textId="77777777" w:rsidR="005E781F" w:rsidRPr="0008734C" w:rsidRDefault="005E781F" w:rsidP="004027BD">
            <w:pPr>
              <w:jc w:val="both"/>
              <w:rPr>
                <w:b/>
                <w:szCs w:val="24"/>
              </w:rPr>
            </w:pPr>
            <w:r w:rsidRPr="0008734C">
              <w:rPr>
                <w:b/>
                <w:szCs w:val="24"/>
              </w:rPr>
              <w:t>3. Kylančios energijos kainos</w:t>
            </w:r>
          </w:p>
        </w:tc>
      </w:tr>
      <w:tr w:rsidR="005E781F" w:rsidRPr="0008734C" w14:paraId="4A604484" w14:textId="77777777" w:rsidTr="005E781F">
        <w:tc>
          <w:tcPr>
            <w:tcW w:w="9775" w:type="dxa"/>
            <w:tcBorders>
              <w:top w:val="nil"/>
              <w:left w:val="single" w:sz="4" w:space="0" w:color="auto"/>
              <w:bottom w:val="nil"/>
              <w:right w:val="single" w:sz="4" w:space="0" w:color="auto"/>
            </w:tcBorders>
          </w:tcPr>
          <w:p w14:paraId="135BF8B0" w14:textId="77777777" w:rsidR="005E781F" w:rsidRPr="0008734C" w:rsidRDefault="005E781F" w:rsidP="004027BD">
            <w:pPr>
              <w:pStyle w:val="Heading1"/>
              <w:spacing w:before="0" w:beforeAutospacing="0" w:after="0" w:afterAutospacing="0"/>
              <w:outlineLvl w:val="0"/>
              <w:rPr>
                <w:b w:val="0"/>
                <w:sz w:val="24"/>
                <w:szCs w:val="24"/>
              </w:rPr>
            </w:pPr>
            <w:r w:rsidRPr="0008734C">
              <w:rPr>
                <w:b w:val="0"/>
                <w:sz w:val="24"/>
                <w:szCs w:val="24"/>
              </w:rPr>
              <w:t xml:space="preserve">Parengtos pirminės Energetikos reguliavimo institucijų bendradarbiavimo agentūros (ACER) bei Europos vertybinių popierių ir rinkų institucijos (ESMA) ataskaitos, įvyko ministrų diskusija 2021 m. gruodžio 2 d. ES Energetikos taryboje. Tikimasi, kad iki gruodžio EVT Komisija </w:t>
            </w:r>
            <w:r w:rsidRPr="0008734C">
              <w:rPr>
                <w:b w:val="0"/>
                <w:color w:val="000000"/>
                <w:sz w:val="24"/>
                <w:szCs w:val="24"/>
              </w:rPr>
              <w:t>pateiks daugiau informacijos ir pirmąją ataskaitų apžvalgą su paaiškinimais</w:t>
            </w:r>
            <w:r w:rsidRPr="0008734C">
              <w:rPr>
                <w:b w:val="0"/>
                <w:sz w:val="24"/>
                <w:szCs w:val="24"/>
              </w:rPr>
              <w:t xml:space="preserve">. </w:t>
            </w:r>
          </w:p>
        </w:tc>
      </w:tr>
      <w:tr w:rsidR="005E781F" w:rsidRPr="0008734C" w14:paraId="7F9E7678" w14:textId="77777777" w:rsidTr="005E781F">
        <w:tc>
          <w:tcPr>
            <w:tcW w:w="9775" w:type="dxa"/>
            <w:tcBorders>
              <w:top w:val="nil"/>
              <w:left w:val="single" w:sz="4" w:space="0" w:color="auto"/>
              <w:bottom w:val="nil"/>
              <w:right w:val="single" w:sz="4" w:space="0" w:color="auto"/>
            </w:tcBorders>
          </w:tcPr>
          <w:p w14:paraId="6A3147DA" w14:textId="77777777" w:rsidR="005E781F" w:rsidRPr="0008734C" w:rsidRDefault="005E781F" w:rsidP="004027BD">
            <w:pPr>
              <w:jc w:val="both"/>
              <w:rPr>
                <w:szCs w:val="24"/>
              </w:rPr>
            </w:pPr>
            <w:r w:rsidRPr="0008734C">
              <w:rPr>
                <w:szCs w:val="24"/>
              </w:rPr>
              <w:t xml:space="preserve">Pirminėje ACER ataskaitoje pagrindine energijos kainų augimo priežastimi įvardinta sukilusi gamtinių dujų kaina, kurią lėmė išaugusi suskystintų gamtinių dujų paklausa Azijoje. Kiti veiksniai - oro sąlygos ir apyvartinių taršos leidimų kainų išaugimas. Rinkos integracija įvardinta kaip teigiamas dalykas, leidžiantis optimizuoti kainos </w:t>
            </w:r>
            <w:proofErr w:type="spellStart"/>
            <w:r w:rsidRPr="0008734C">
              <w:rPr>
                <w:szCs w:val="24"/>
              </w:rPr>
              <w:t>svyravimus</w:t>
            </w:r>
            <w:proofErr w:type="spellEnd"/>
            <w:r w:rsidRPr="0008734C">
              <w:rPr>
                <w:szCs w:val="24"/>
              </w:rPr>
              <w:t xml:space="preserve"> bei gerinti konkurenciją. Kainų sumažėjimas (normalizavimasis) prognozuojamas po žiemos (šildymo sezono) pabaigos. Galutinę ACER ataskaitą tikimasi paskelbti 2022 m. balandžio mėn. Galutinio (bendro) ACER įvertinimo tikslas – išnagrinėti dabartinės didmeninės elektros energijos rinkos struktūros veikimą, įvertinti šios struktūros </w:t>
            </w:r>
            <w:proofErr w:type="spellStart"/>
            <w:r w:rsidRPr="0008734C">
              <w:rPr>
                <w:szCs w:val="24"/>
              </w:rPr>
              <w:t>privalumus</w:t>
            </w:r>
            <w:proofErr w:type="spellEnd"/>
            <w:r w:rsidRPr="0008734C">
              <w:rPr>
                <w:szCs w:val="24"/>
              </w:rPr>
              <w:t xml:space="preserve"> bei trūkumus ir, jeigu būtų aktualu, pasiūlyti, kaip būtų galima šią struktūrą pakoreguoti ir (arba) kokiomis priemonėmis ją papildyti. Taip pat numatoma nagrinėti rinkos signalų įtaką planuojant investicijas, siekiant Žaliojo kurso tikslų, ar šiuo metu numatytos priemonės pakankamos ateityje apsisaugoti nuo kainų šuolių, ar galutiniai vartotojai yra pakankamai apsaugoti nuo kainų šuolių padarinių. </w:t>
            </w:r>
          </w:p>
        </w:tc>
      </w:tr>
      <w:tr w:rsidR="005E781F" w:rsidRPr="0008734C" w14:paraId="49093AED" w14:textId="77777777" w:rsidTr="005E781F">
        <w:tc>
          <w:tcPr>
            <w:tcW w:w="9775" w:type="dxa"/>
            <w:tcBorders>
              <w:top w:val="nil"/>
              <w:left w:val="single" w:sz="4" w:space="0" w:color="auto"/>
              <w:bottom w:val="nil"/>
              <w:right w:val="single" w:sz="4" w:space="0" w:color="auto"/>
            </w:tcBorders>
          </w:tcPr>
          <w:p w14:paraId="7D33D898" w14:textId="77777777" w:rsidR="005E781F" w:rsidRPr="0008734C" w:rsidRDefault="005E781F" w:rsidP="004027BD">
            <w:pPr>
              <w:jc w:val="both"/>
              <w:rPr>
                <w:b/>
                <w:szCs w:val="24"/>
              </w:rPr>
            </w:pPr>
            <w:r w:rsidRPr="0008734C">
              <w:rPr>
                <w:b/>
                <w:szCs w:val="24"/>
              </w:rPr>
              <w:lastRenderedPageBreak/>
              <w:t xml:space="preserve">Lietuvos pozicija. </w:t>
            </w:r>
            <w:r w:rsidRPr="0008734C">
              <w:rPr>
                <w:szCs w:val="24"/>
              </w:rPr>
              <w:t xml:space="preserve">Lietuva dėkoja Europos Komisijai ir ACER ir ESMA už pastangas ieškoti priemonių, kurios padėtų sumažinti augančių energijos kainų poveikį ES verslui ir vartotojams. Labai svarbu, kad galutinės ACER ir ESMA ataskaitos tinkamai įgyvendintų spalio 22 d. EVT išvadose iškeltus uždavinius. </w:t>
            </w:r>
          </w:p>
        </w:tc>
      </w:tr>
      <w:tr w:rsidR="005E781F" w:rsidRPr="0008734C" w14:paraId="1700231B" w14:textId="77777777" w:rsidTr="005E781F">
        <w:tc>
          <w:tcPr>
            <w:tcW w:w="9775" w:type="dxa"/>
            <w:tcBorders>
              <w:top w:val="nil"/>
              <w:left w:val="single" w:sz="4" w:space="0" w:color="auto"/>
              <w:bottom w:val="nil"/>
              <w:right w:val="single" w:sz="4" w:space="0" w:color="auto"/>
            </w:tcBorders>
          </w:tcPr>
          <w:p w14:paraId="02266BBF" w14:textId="77777777" w:rsidR="005E781F" w:rsidRPr="0008734C" w:rsidRDefault="005E781F" w:rsidP="004027BD">
            <w:pPr>
              <w:pStyle w:val="NormalWeb"/>
              <w:spacing w:before="0" w:beforeAutospacing="0" w:after="0" w:afterAutospacing="0"/>
              <w:jc w:val="both"/>
              <w:rPr>
                <w:lang w:val="lt-LT"/>
              </w:rPr>
            </w:pPr>
            <w:r w:rsidRPr="0008734C">
              <w:rPr>
                <w:lang w:val="lt-LT"/>
              </w:rPr>
              <w:t xml:space="preserve">Pritariame, kad tolesnė ES vidaus energijos rinkos integracija yra geriausias ilgalaikis sprendimas ir ši kryptis turi būti išlaikyta, kartu ieškant lanksčių sprendimų energijos kainų šuoliams suvaldyti. Tikimės, kad galutinė ACER ataskaita pateiks tiek išsamią galimybių analizę, tiek pasiūlymus dėl konkrečių naujų priemonių, kaip suvaldyti energijos kainų </w:t>
            </w:r>
            <w:proofErr w:type="spellStart"/>
            <w:r w:rsidRPr="0008734C">
              <w:rPr>
                <w:lang w:val="lt-LT"/>
              </w:rPr>
              <w:t>svyravimus</w:t>
            </w:r>
            <w:proofErr w:type="spellEnd"/>
            <w:r w:rsidRPr="0008734C">
              <w:rPr>
                <w:lang w:val="lt-LT"/>
              </w:rPr>
              <w:t>, taip užtikrinant ES verslo globalų konkurencingumą ir sukuriant palankias sąlygas žaliajam energetikos perėjimui. Taip pat tikimės, kad ACER ir ESMA ataskaitos išsklaidys visas abejones dėl galimų manipuliacijų rinkose arba pasiūlys tinkamus reguliacinius sprendimus siekiant ateityje užtikrinti skaidrumą ir didesnį energijos kainų nuspėjamumą.</w:t>
            </w:r>
          </w:p>
        </w:tc>
      </w:tr>
      <w:tr w:rsidR="005E781F" w:rsidRPr="0008734C" w14:paraId="327F76F0" w14:textId="77777777" w:rsidTr="005E781F">
        <w:tc>
          <w:tcPr>
            <w:tcW w:w="9775" w:type="dxa"/>
            <w:tcBorders>
              <w:top w:val="nil"/>
              <w:left w:val="single" w:sz="4" w:space="0" w:color="auto"/>
              <w:bottom w:val="nil"/>
              <w:right w:val="single" w:sz="4" w:space="0" w:color="auto"/>
            </w:tcBorders>
          </w:tcPr>
          <w:p w14:paraId="7B4F766F" w14:textId="77777777" w:rsidR="005E781F" w:rsidRPr="0008734C" w:rsidRDefault="005E781F" w:rsidP="004027BD">
            <w:pPr>
              <w:rPr>
                <w:szCs w:val="24"/>
              </w:rPr>
            </w:pPr>
          </w:p>
        </w:tc>
      </w:tr>
      <w:tr w:rsidR="005E781F" w:rsidRPr="0008734C" w14:paraId="025B0FBD" w14:textId="77777777" w:rsidTr="005E781F">
        <w:tc>
          <w:tcPr>
            <w:tcW w:w="9775" w:type="dxa"/>
            <w:tcBorders>
              <w:top w:val="nil"/>
              <w:left w:val="single" w:sz="4" w:space="0" w:color="auto"/>
              <w:bottom w:val="nil"/>
              <w:right w:val="single" w:sz="4" w:space="0" w:color="auto"/>
            </w:tcBorders>
          </w:tcPr>
          <w:p w14:paraId="5F029D58" w14:textId="77777777" w:rsidR="005E781F" w:rsidRPr="0008734C" w:rsidRDefault="005E781F" w:rsidP="004027BD">
            <w:pPr>
              <w:jc w:val="both"/>
              <w:rPr>
                <w:b/>
                <w:szCs w:val="24"/>
              </w:rPr>
            </w:pPr>
            <w:r w:rsidRPr="0008734C">
              <w:rPr>
                <w:b/>
                <w:szCs w:val="24"/>
              </w:rPr>
              <w:t>4. Saugumas ir gynyba</w:t>
            </w:r>
          </w:p>
        </w:tc>
      </w:tr>
      <w:tr w:rsidR="005E781F" w:rsidRPr="0008734C" w14:paraId="56632EE3" w14:textId="77777777" w:rsidTr="005E781F">
        <w:tc>
          <w:tcPr>
            <w:tcW w:w="9775" w:type="dxa"/>
            <w:tcBorders>
              <w:top w:val="nil"/>
              <w:left w:val="single" w:sz="4" w:space="0" w:color="auto"/>
              <w:bottom w:val="nil"/>
              <w:right w:val="single" w:sz="4" w:space="0" w:color="auto"/>
            </w:tcBorders>
          </w:tcPr>
          <w:p w14:paraId="7A77862C" w14:textId="77777777" w:rsidR="005E781F" w:rsidRPr="0008734C" w:rsidRDefault="005E781F" w:rsidP="004027BD">
            <w:pPr>
              <w:jc w:val="both"/>
              <w:rPr>
                <w:szCs w:val="24"/>
              </w:rPr>
            </w:pPr>
            <w:r w:rsidRPr="0008734C">
              <w:rPr>
                <w:szCs w:val="24"/>
              </w:rPr>
              <w:t>EVT pirmininkas planuoja, kad EVT metu vadovai nubrėš gaires dėl ES „Strateginio kompaso“ (SK) bei aptars ES ir NATO bendros deklaracijos parengimą.</w:t>
            </w:r>
          </w:p>
        </w:tc>
      </w:tr>
      <w:tr w:rsidR="005E781F" w:rsidRPr="0008734C" w14:paraId="4E52CCBB" w14:textId="77777777" w:rsidTr="005E781F">
        <w:tc>
          <w:tcPr>
            <w:tcW w:w="9775" w:type="dxa"/>
            <w:tcBorders>
              <w:top w:val="nil"/>
              <w:left w:val="single" w:sz="4" w:space="0" w:color="auto"/>
              <w:bottom w:val="nil"/>
              <w:right w:val="single" w:sz="4" w:space="0" w:color="auto"/>
            </w:tcBorders>
          </w:tcPr>
          <w:p w14:paraId="360A9069" w14:textId="77777777" w:rsidR="005E781F" w:rsidRPr="0008734C" w:rsidRDefault="005E781F" w:rsidP="004027BD">
            <w:pPr>
              <w:jc w:val="both"/>
              <w:rPr>
                <w:color w:val="000000"/>
                <w:szCs w:val="24"/>
              </w:rPr>
            </w:pPr>
            <w:r w:rsidRPr="0008734C">
              <w:rPr>
                <w:szCs w:val="24"/>
              </w:rPr>
              <w:t>„</w:t>
            </w:r>
            <w:r w:rsidRPr="0008734C">
              <w:rPr>
                <w:color w:val="000000"/>
                <w:szCs w:val="24"/>
              </w:rPr>
              <w:t xml:space="preserve">Strateginis kompasas“ buvo pristatytas ir aptartas lapkričio mėn. įvykusiuose </w:t>
            </w:r>
            <w:proofErr w:type="spellStart"/>
            <w:r w:rsidRPr="0008734C">
              <w:rPr>
                <w:color w:val="000000"/>
                <w:szCs w:val="24"/>
              </w:rPr>
              <w:t>Coreper</w:t>
            </w:r>
            <w:proofErr w:type="spellEnd"/>
            <w:r w:rsidRPr="0008734C">
              <w:rPr>
                <w:color w:val="000000"/>
                <w:szCs w:val="24"/>
              </w:rPr>
              <w:t xml:space="preserve"> bei Gynybos ministrų posėdžiuose</w:t>
            </w:r>
            <w:r w:rsidRPr="0008734C">
              <w:rPr>
                <w:szCs w:val="24"/>
              </w:rPr>
              <w:t xml:space="preserve">. </w:t>
            </w:r>
            <w:r w:rsidRPr="0008734C">
              <w:rPr>
                <w:color w:val="000000"/>
                <w:szCs w:val="24"/>
              </w:rPr>
              <w:t xml:space="preserve">Atsižvelgiant į diskusijų techniniame ir politiniame lygyje rezultatus, 2022 m. sausio mėn. bus pateikta atnaujintas SK projektas. Galutinį dokumentą numatoma patvirtinti 2022 m. kovo mėn. EVT. </w:t>
            </w:r>
          </w:p>
        </w:tc>
      </w:tr>
      <w:tr w:rsidR="005E781F" w:rsidRPr="0008734C" w14:paraId="6108C694" w14:textId="77777777" w:rsidTr="005E781F">
        <w:tc>
          <w:tcPr>
            <w:tcW w:w="9775" w:type="dxa"/>
            <w:tcBorders>
              <w:top w:val="nil"/>
              <w:left w:val="single" w:sz="4" w:space="0" w:color="auto"/>
              <w:bottom w:val="nil"/>
              <w:right w:val="single" w:sz="4" w:space="0" w:color="auto"/>
            </w:tcBorders>
          </w:tcPr>
          <w:p w14:paraId="598511CD" w14:textId="77777777" w:rsidR="005E781F" w:rsidRPr="0008734C" w:rsidRDefault="005E781F" w:rsidP="004027BD">
            <w:pPr>
              <w:jc w:val="both"/>
              <w:rPr>
                <w:szCs w:val="24"/>
              </w:rPr>
            </w:pPr>
            <w:r w:rsidRPr="0008734C">
              <w:rPr>
                <w:color w:val="000000"/>
                <w:szCs w:val="24"/>
              </w:rPr>
              <w:t>EVT posėdyje taip pat vyks apsikeitimas nuomonėmis dėl ES ir NATO bendradarbiavimo. Šiuo metu rengiama nauja ES ir NATO deklaracija, tikimasi, kad jos projektas bus pateiktas artimiausiu metu.</w:t>
            </w:r>
          </w:p>
        </w:tc>
      </w:tr>
      <w:tr w:rsidR="005E781F" w:rsidRPr="0008734C" w14:paraId="104EF215" w14:textId="77777777" w:rsidTr="005E781F">
        <w:tc>
          <w:tcPr>
            <w:tcW w:w="9775" w:type="dxa"/>
            <w:tcBorders>
              <w:top w:val="nil"/>
              <w:left w:val="single" w:sz="4" w:space="0" w:color="auto"/>
              <w:bottom w:val="nil"/>
              <w:right w:val="single" w:sz="4" w:space="0" w:color="auto"/>
            </w:tcBorders>
          </w:tcPr>
          <w:p w14:paraId="28B70531" w14:textId="77777777" w:rsidR="005E781F" w:rsidRPr="0008734C" w:rsidRDefault="005E781F" w:rsidP="004027BD">
            <w:pPr>
              <w:jc w:val="both"/>
              <w:rPr>
                <w:b/>
                <w:szCs w:val="24"/>
              </w:rPr>
            </w:pPr>
            <w:r w:rsidRPr="0008734C">
              <w:rPr>
                <w:b/>
                <w:szCs w:val="24"/>
              </w:rPr>
              <w:t xml:space="preserve">Lietuvos pozicija. </w:t>
            </w:r>
            <w:r w:rsidRPr="0008734C">
              <w:rPr>
                <w:szCs w:val="24"/>
              </w:rPr>
              <w:t xml:space="preserve">ES „Strateginis kompasas“ turi remtis 2020 m. atlikta grėsmių analize, atliepti ir aiškiai įvardinti grėsmes ir iššūkius kylančius iš Rusijos ir Kinijos. Taip pat svarbu, kad dokumente būtų atsižvelgiama į tokius iššūkius kaip hibridinės grėsmės, apimant kibernetinius išpuolius ir migracijos </w:t>
            </w:r>
            <w:proofErr w:type="spellStart"/>
            <w:r w:rsidRPr="0008734C">
              <w:rPr>
                <w:szCs w:val="24"/>
              </w:rPr>
              <w:t>instrumentalizavimą</w:t>
            </w:r>
            <w:proofErr w:type="spellEnd"/>
            <w:r w:rsidRPr="0008734C">
              <w:rPr>
                <w:szCs w:val="24"/>
              </w:rPr>
              <w:t>. SK tikslas nėra ES gynybos sąjungos steigimas ar ES strateginės autonomijos saugumo ir gynybos srityje apibrėžimas. Dėl šių idėjų ir koncepcijų yra daug kartų diskutuota, tačiau bendro sutarimo tarp valstybių narių nėra, todėl vengiame šių sąvokų naudojimo. Papildomumas ir suderinamumas su NATO – svarbiausias SK aspektas. Mūsų/ES gynybą užtikrina transatlantinis ryšys ir įsipareigojimai kolektyvinei gynybai NATO. Saugumo ir gynybos srityje pastangų ir resursų dubliavimas žalingas abiem organizacijoms, todėl to turi būti išvengta. Vystydami ES saugumo ir gynybos iniciatyvas turime išlikti atviri ir užtikrinti, kad nebūtų ribojamas bendradarbiavimas su strateginiais partneriais, ypač JAV ir Jungtine Karalyste. Taip pat siekiame stiprinti saugumo ir gynybos bendradarbiavimą su Rytų Partnerystės šalimis.</w:t>
            </w:r>
          </w:p>
        </w:tc>
      </w:tr>
      <w:tr w:rsidR="005E781F" w:rsidRPr="0008734C" w14:paraId="726349CD" w14:textId="77777777" w:rsidTr="005E781F">
        <w:tc>
          <w:tcPr>
            <w:tcW w:w="9775" w:type="dxa"/>
            <w:tcBorders>
              <w:top w:val="nil"/>
              <w:left w:val="single" w:sz="4" w:space="0" w:color="auto"/>
              <w:bottom w:val="nil"/>
              <w:right w:val="single" w:sz="4" w:space="0" w:color="auto"/>
            </w:tcBorders>
          </w:tcPr>
          <w:p w14:paraId="3FA9DBD5" w14:textId="77777777" w:rsidR="005E781F" w:rsidRPr="0008734C" w:rsidRDefault="005E781F" w:rsidP="004027BD">
            <w:pPr>
              <w:pStyle w:val="NormalWeb"/>
              <w:spacing w:before="0" w:beforeAutospacing="0" w:after="0" w:afterAutospacing="0"/>
              <w:jc w:val="both"/>
              <w:rPr>
                <w:lang w:val="lt-LT"/>
              </w:rPr>
            </w:pPr>
            <w:r w:rsidRPr="0008734C">
              <w:rPr>
                <w:lang w:val="lt-LT"/>
              </w:rPr>
              <w:t xml:space="preserve">Labai svarbu, kad bendra ES ir NATO deklaracija būtų patvirtinta iki šių metų pabaigos arba ne vėliau nei bus patvirtintas „Strateginis kompasas“ (2022 m. kovo mėn.). ES ir NATO deklaracija suteiktų bendrą strateginį požiūrį ir prisidėtų prie šiuo metu abejose organizacijose vykstančių strateginių peržiūros procesų suderinamumo. Svarbu, kad NATO strateginė koncepcija ir ES SK neprieštarautų vienas kitam. </w:t>
            </w:r>
          </w:p>
        </w:tc>
      </w:tr>
      <w:tr w:rsidR="005E781F" w:rsidRPr="0008734C" w14:paraId="088B861E" w14:textId="77777777" w:rsidTr="005E781F">
        <w:tc>
          <w:tcPr>
            <w:tcW w:w="9775" w:type="dxa"/>
            <w:tcBorders>
              <w:top w:val="nil"/>
              <w:left w:val="single" w:sz="4" w:space="0" w:color="auto"/>
              <w:bottom w:val="nil"/>
              <w:right w:val="single" w:sz="4" w:space="0" w:color="auto"/>
            </w:tcBorders>
          </w:tcPr>
          <w:p w14:paraId="66132BFD" w14:textId="77777777" w:rsidR="005E781F" w:rsidRPr="0008734C" w:rsidRDefault="005E781F" w:rsidP="004027BD">
            <w:pPr>
              <w:rPr>
                <w:szCs w:val="24"/>
              </w:rPr>
            </w:pPr>
          </w:p>
        </w:tc>
      </w:tr>
      <w:tr w:rsidR="005E781F" w:rsidRPr="0008734C" w14:paraId="32401205" w14:textId="77777777" w:rsidTr="005E781F">
        <w:tc>
          <w:tcPr>
            <w:tcW w:w="9775" w:type="dxa"/>
            <w:tcBorders>
              <w:top w:val="nil"/>
              <w:left w:val="single" w:sz="4" w:space="0" w:color="auto"/>
              <w:bottom w:val="nil"/>
              <w:right w:val="single" w:sz="4" w:space="0" w:color="auto"/>
            </w:tcBorders>
          </w:tcPr>
          <w:p w14:paraId="6BA4F461" w14:textId="77777777" w:rsidR="005E781F" w:rsidRPr="0008734C" w:rsidRDefault="005E781F" w:rsidP="004027BD">
            <w:pPr>
              <w:jc w:val="both"/>
              <w:rPr>
                <w:b/>
                <w:szCs w:val="24"/>
              </w:rPr>
            </w:pPr>
            <w:r w:rsidRPr="0008734C">
              <w:rPr>
                <w:b/>
                <w:szCs w:val="24"/>
              </w:rPr>
              <w:t>5. Išoriniai migracijos aspektai</w:t>
            </w:r>
          </w:p>
        </w:tc>
      </w:tr>
      <w:tr w:rsidR="005E781F" w:rsidRPr="0008734C" w14:paraId="1F6B237D" w14:textId="77777777" w:rsidTr="005E781F">
        <w:tc>
          <w:tcPr>
            <w:tcW w:w="9775" w:type="dxa"/>
            <w:tcBorders>
              <w:top w:val="nil"/>
              <w:left w:val="single" w:sz="4" w:space="0" w:color="auto"/>
              <w:bottom w:val="nil"/>
              <w:right w:val="single" w:sz="4" w:space="0" w:color="auto"/>
            </w:tcBorders>
          </w:tcPr>
          <w:p w14:paraId="5F000921" w14:textId="77777777" w:rsidR="005E781F" w:rsidRPr="0008734C" w:rsidRDefault="005E781F" w:rsidP="004027BD">
            <w:pPr>
              <w:jc w:val="both"/>
              <w:rPr>
                <w:color w:val="1F497D"/>
                <w:szCs w:val="24"/>
              </w:rPr>
            </w:pPr>
            <w:r w:rsidRPr="0008734C">
              <w:rPr>
                <w:szCs w:val="24"/>
              </w:rPr>
              <w:t>EVT planuojama aptarti 2021 m. birželio EVT priimtų išvadų dėl išorinių migracijos aspektų įgyvendinimą. Birželio mėn. EVT buvo pavedusi Europos Komisijai ir Vyriausiajam įgaliotiniui sustiprinti konkrečius veiksmus dirbant su migrantų kilmės ir tranzito šalimus, įskaitant finansinę paramą bei veiksmų planų  prioritetinėms migrantų kilmės šalims parengimą. Komisija taip pat buvo paraginta 10 proc. Kaimynystės, vystomojo bendradarbiavimo ir tarptautinio bendradarbiavimo instrumento (NDICI) lėšų, o taip pat kitus finansinius šaltinius, panaudoti su migracija susijusiems veiksmams.</w:t>
            </w:r>
          </w:p>
        </w:tc>
      </w:tr>
      <w:tr w:rsidR="005E781F" w:rsidRPr="0008734C" w14:paraId="00FA461B" w14:textId="77777777" w:rsidTr="005E781F">
        <w:tc>
          <w:tcPr>
            <w:tcW w:w="9775" w:type="dxa"/>
            <w:tcBorders>
              <w:top w:val="nil"/>
              <w:left w:val="single" w:sz="4" w:space="0" w:color="auto"/>
              <w:bottom w:val="nil"/>
              <w:right w:val="single" w:sz="4" w:space="0" w:color="auto"/>
            </w:tcBorders>
          </w:tcPr>
          <w:p w14:paraId="6C3D267C" w14:textId="77777777" w:rsidR="005E781F" w:rsidRPr="0008734C" w:rsidRDefault="005E781F" w:rsidP="004027BD">
            <w:pPr>
              <w:jc w:val="both"/>
              <w:rPr>
                <w:b/>
                <w:szCs w:val="24"/>
              </w:rPr>
            </w:pPr>
            <w:r w:rsidRPr="0008734C">
              <w:rPr>
                <w:b/>
                <w:szCs w:val="24"/>
              </w:rPr>
              <w:lastRenderedPageBreak/>
              <w:t xml:space="preserve">Lietuvos pozicija. </w:t>
            </w:r>
            <w:r w:rsidRPr="0008734C">
              <w:rPr>
                <w:szCs w:val="24"/>
              </w:rPr>
              <w:t xml:space="preserve">Pritariame siūlymui EVT aptarti birželio mėn. priimtų išvadų dėl išorinių migracijos aspektų įgyvendinimą. Dabartinė situacija ES pasienyje su Baltarusija parodė, kaip svarbu užtikrinti efektyvų ES institucijų ir valstybių narių darbą su neteisėtų migrantų kilmės ir tranzito šalimis, daugiau dėmesio skirti savanoriškam ir priverstiniam migrantų grąžinimui į kilmės šalis, taip pat tolesniam darbui siekiant užtikrinti veiksmingą readmisijos susitarimų sudarymą ir įgyvendinimą. Migracijos klausimams spręsti skiriant lėšas iš Kaimynystės, vystomojo bendradarbiavimo ir tarptautinio bendradarbiavimo instrumento (NDICI) lėšas, taip pat kitų ES finansinių šaltinių, būtina išlaikyti geografinį balansą. Turime užtikrinti tolygų finansavimą visiems regionams/prioritetinėms valstybėms. Dėkojame Komisijai, EIVT, ES Tarybai pirmininkaujančiai Slovėnijai už parengtus Veiksmų planus, skirtus prioritetinėms trečiosioms valstybėms, kaip numatyta 2021 m. birželio EVT išvadose. Akcentuojame būtinybę veiksmų planuose numatyti pakankamai lėšų šalims, kurios yra susijusios su šiuo metu vykstančia hibridine ataka prie ES rytinės sienos – Irakui ir Afganistanui. Veiksmų plane Irakui numatyti tikslai (tokie kaip neterminuotas skrydžių į Minską stabdymas, informacinių kampanijų vykdymas, siekiant didinti Irako piliečių informuotumą, apsaugant juos nuo grėsmės tapti migrantų kontrabandininkų aukomis, tikslas siekti nesavanoriškų grąžinimų į Iraką įgyvendinimo ir kt.) turi būti paremti pakankamais finansiniais resursais. Tuomet jie tiesiogiai prisidės prie migracijos krizės rytiniame ES pasienyje sprendimo. Veiksmų plane Afganistanui numatyti tikslai (siekis užtikrinti pakankamą humanitarinę pagalbą afganams, stiprinti bendradarbiavimą Centrinės Azijos valstybėmis, taip didinant bendrą stabilumą regione) padės užkirsti galimų naujų migracijos srautų atsiradimą bei apsaugos afganus nuo galimo jų </w:t>
            </w:r>
            <w:proofErr w:type="spellStart"/>
            <w:r w:rsidRPr="0008734C">
              <w:rPr>
                <w:szCs w:val="24"/>
              </w:rPr>
              <w:t>instrumentalizavimo</w:t>
            </w:r>
            <w:proofErr w:type="spellEnd"/>
            <w:r w:rsidRPr="0008734C">
              <w:rPr>
                <w:szCs w:val="24"/>
              </w:rPr>
              <w:t xml:space="preserve"> tebevykstančios hibridinės atakos prieš ES kontekste.</w:t>
            </w:r>
          </w:p>
        </w:tc>
      </w:tr>
      <w:tr w:rsidR="005E781F" w:rsidRPr="0008734C" w14:paraId="31799266" w14:textId="77777777" w:rsidTr="005E781F">
        <w:tc>
          <w:tcPr>
            <w:tcW w:w="9775" w:type="dxa"/>
            <w:tcBorders>
              <w:top w:val="nil"/>
              <w:left w:val="single" w:sz="4" w:space="0" w:color="auto"/>
              <w:bottom w:val="nil"/>
              <w:right w:val="single" w:sz="4" w:space="0" w:color="auto"/>
            </w:tcBorders>
          </w:tcPr>
          <w:p w14:paraId="1C603262" w14:textId="77777777" w:rsidR="005E781F" w:rsidRPr="0008734C" w:rsidRDefault="005E781F" w:rsidP="004027BD">
            <w:pPr>
              <w:jc w:val="both"/>
              <w:rPr>
                <w:szCs w:val="24"/>
              </w:rPr>
            </w:pPr>
            <w:r w:rsidRPr="0008734C">
              <w:rPr>
                <w:szCs w:val="24"/>
              </w:rPr>
              <w:t>Daugiau dėmesio turi būti skiriama strateginei komunikacijai. Vertiname Komisijos ir EIVT Strateginės komunikacijos padalinių pastangas ir raginame imtis dar didesnio vaidmens kovojant su dezinformacija. Svarbu aktyviai bendradarbiauti su socialinės žiniasklaidos platformomis, kad būtų sunku skleisti informaciją apie būdus, kaip nelegaliems migrantams pasiekti ES sienas.</w:t>
            </w:r>
          </w:p>
        </w:tc>
      </w:tr>
      <w:tr w:rsidR="005E781F" w:rsidRPr="0008734C" w14:paraId="2898AFF7" w14:textId="77777777" w:rsidTr="005E781F">
        <w:tc>
          <w:tcPr>
            <w:tcW w:w="9775" w:type="dxa"/>
            <w:tcBorders>
              <w:top w:val="nil"/>
              <w:left w:val="single" w:sz="4" w:space="0" w:color="auto"/>
              <w:bottom w:val="nil"/>
              <w:right w:val="single" w:sz="4" w:space="0" w:color="auto"/>
            </w:tcBorders>
          </w:tcPr>
          <w:p w14:paraId="1FF22C42" w14:textId="77777777" w:rsidR="005E781F" w:rsidRPr="0008734C" w:rsidRDefault="005E781F" w:rsidP="004027BD">
            <w:pPr>
              <w:jc w:val="both"/>
              <w:rPr>
                <w:b/>
                <w:szCs w:val="24"/>
              </w:rPr>
            </w:pPr>
          </w:p>
        </w:tc>
      </w:tr>
      <w:tr w:rsidR="005E781F" w:rsidRPr="0008734C" w14:paraId="09B15A5A" w14:textId="77777777" w:rsidTr="005E781F">
        <w:tc>
          <w:tcPr>
            <w:tcW w:w="9775" w:type="dxa"/>
            <w:tcBorders>
              <w:top w:val="nil"/>
              <w:left w:val="single" w:sz="4" w:space="0" w:color="auto"/>
              <w:bottom w:val="nil"/>
              <w:right w:val="single" w:sz="4" w:space="0" w:color="auto"/>
            </w:tcBorders>
          </w:tcPr>
          <w:p w14:paraId="04A3599C" w14:textId="77777777" w:rsidR="005E781F" w:rsidRPr="0008734C" w:rsidRDefault="005E781F" w:rsidP="004027BD">
            <w:pPr>
              <w:jc w:val="both"/>
              <w:rPr>
                <w:b/>
                <w:szCs w:val="24"/>
              </w:rPr>
            </w:pPr>
            <w:r w:rsidRPr="0008734C">
              <w:rPr>
                <w:b/>
                <w:szCs w:val="24"/>
              </w:rPr>
              <w:t>6. Išoriniai santykiai</w:t>
            </w:r>
          </w:p>
        </w:tc>
      </w:tr>
      <w:tr w:rsidR="005E781F" w:rsidRPr="0008734C" w14:paraId="0AC8784F" w14:textId="77777777" w:rsidTr="005E781F">
        <w:tc>
          <w:tcPr>
            <w:tcW w:w="9775" w:type="dxa"/>
            <w:tcBorders>
              <w:top w:val="nil"/>
              <w:left w:val="single" w:sz="4" w:space="0" w:color="auto"/>
              <w:bottom w:val="nil"/>
              <w:right w:val="single" w:sz="4" w:space="0" w:color="auto"/>
            </w:tcBorders>
          </w:tcPr>
          <w:p w14:paraId="73E3F204" w14:textId="77777777" w:rsidR="005E781F" w:rsidRPr="0008734C" w:rsidRDefault="005E781F" w:rsidP="004027BD">
            <w:pPr>
              <w:jc w:val="both"/>
              <w:rPr>
                <w:b/>
                <w:szCs w:val="24"/>
              </w:rPr>
            </w:pPr>
            <w:r w:rsidRPr="0008734C">
              <w:rPr>
                <w:color w:val="000000"/>
                <w:szCs w:val="24"/>
              </w:rPr>
              <w:t xml:space="preserve">EVT aptars Baltarusijos klausimą bei diskutuos apie Rusijos keliamas grėsmes </w:t>
            </w:r>
            <w:r w:rsidRPr="0008734C">
              <w:rPr>
                <w:szCs w:val="24"/>
              </w:rPr>
              <w:t xml:space="preserve">prie Ukrainos sienos. Taip pat bus aptartas </w:t>
            </w:r>
            <w:r w:rsidRPr="0008734C">
              <w:rPr>
                <w:color w:val="000000"/>
                <w:szCs w:val="24"/>
              </w:rPr>
              <w:t xml:space="preserve">pasiruošimas 2022 m. vasario 17-18 d. vyksiančiam ES ir Afrikos Sąjungos (AS) aukščiausiojo lygio susitikimui, kuriam bus parengta bendra ES ir AS deklaracija. </w:t>
            </w:r>
            <w:r w:rsidRPr="0008734C">
              <w:rPr>
                <w:szCs w:val="24"/>
              </w:rPr>
              <w:t xml:space="preserve">Numatyta galimybė apsikeisti nuomonėmis dėl situacijos Etiopijoje. </w:t>
            </w:r>
          </w:p>
        </w:tc>
      </w:tr>
      <w:tr w:rsidR="005E781F" w:rsidRPr="0008734C" w14:paraId="1624B948" w14:textId="77777777" w:rsidTr="005E781F">
        <w:tc>
          <w:tcPr>
            <w:tcW w:w="9775" w:type="dxa"/>
            <w:tcBorders>
              <w:top w:val="nil"/>
              <w:left w:val="single" w:sz="4" w:space="0" w:color="auto"/>
              <w:bottom w:val="nil"/>
              <w:right w:val="single" w:sz="4" w:space="0" w:color="auto"/>
            </w:tcBorders>
          </w:tcPr>
          <w:p w14:paraId="47BC1955" w14:textId="77777777" w:rsidR="005E781F" w:rsidRPr="0008734C" w:rsidRDefault="005E781F" w:rsidP="004027BD">
            <w:pPr>
              <w:jc w:val="both"/>
              <w:rPr>
                <w:b/>
                <w:szCs w:val="24"/>
              </w:rPr>
            </w:pPr>
            <w:r w:rsidRPr="0008734C">
              <w:rPr>
                <w:b/>
                <w:szCs w:val="24"/>
              </w:rPr>
              <w:t xml:space="preserve">Lietuvos pozicija. </w:t>
            </w:r>
            <w:r w:rsidRPr="0008734C">
              <w:rPr>
                <w:szCs w:val="24"/>
              </w:rPr>
              <w:t>Baltarusijos klausimu Lietuva ragina veikti dviem kryptimis  – tiek dėl situacijos Baltarusijos pasienyje su Lietuva, Latvija ir Lenkija, tiek dėl žmogaus teisių ir pilietinės visuomenės padėties Baltarusijoje. Politiniai kaliniai turi būti paleisti bei paskelbti nauji rinkimai, dalyvaujant tarptautiniams stebėtojams. Hibridinė ataka nesibaigia, todėl reikia pradėti svarstyti 6-ąjį sankcijų Baltarusijai paketą ir sektorines sankcijas. Lietuva taip pat ragina nepamiršti Astravo atominės elektrinės klausimo, kurį Baltarusijos režimas ateityje gali panaudoti didinant hibridines grėsmes.</w:t>
            </w:r>
          </w:p>
        </w:tc>
      </w:tr>
      <w:tr w:rsidR="005E781F" w:rsidRPr="0008734C" w14:paraId="7977168D" w14:textId="77777777" w:rsidTr="005E781F">
        <w:tc>
          <w:tcPr>
            <w:tcW w:w="9775" w:type="dxa"/>
            <w:tcBorders>
              <w:top w:val="nil"/>
              <w:left w:val="single" w:sz="4" w:space="0" w:color="auto"/>
              <w:bottom w:val="nil"/>
              <w:right w:val="single" w:sz="4" w:space="0" w:color="auto"/>
            </w:tcBorders>
          </w:tcPr>
          <w:p w14:paraId="19E4CC1C" w14:textId="77777777" w:rsidR="005E781F" w:rsidRPr="0008734C" w:rsidRDefault="005E781F" w:rsidP="004027BD">
            <w:pPr>
              <w:jc w:val="both"/>
              <w:rPr>
                <w:szCs w:val="24"/>
              </w:rPr>
            </w:pPr>
            <w:r w:rsidRPr="0008734C">
              <w:rPr>
                <w:szCs w:val="24"/>
              </w:rPr>
              <w:t xml:space="preserve">Lietuva atkreipia dėmesį į didelį susirūpinimą keliančią situacija prie Ukrainos sienų dėl Rusijos telkiamų karinių pajėgų. Šiame kontekste ES turi aiškiai ir nedviprasmiškai pabrėžti savo paramą Ukrainos suverenitetui ir teritoriniam vientisumui, tuo pačiu visokeriopai remiant Ukrainos gebėjimą didinti savo atsparumą. </w:t>
            </w:r>
          </w:p>
        </w:tc>
      </w:tr>
      <w:tr w:rsidR="005E781F" w:rsidRPr="0008734C" w14:paraId="3813CDC8" w14:textId="77777777" w:rsidTr="005E781F">
        <w:tc>
          <w:tcPr>
            <w:tcW w:w="9775" w:type="dxa"/>
            <w:tcBorders>
              <w:top w:val="nil"/>
              <w:left w:val="single" w:sz="4" w:space="0" w:color="auto"/>
              <w:bottom w:val="nil"/>
              <w:right w:val="single" w:sz="4" w:space="0" w:color="auto"/>
            </w:tcBorders>
          </w:tcPr>
          <w:p w14:paraId="68A90AE4" w14:textId="77777777" w:rsidR="005E781F" w:rsidRPr="0008734C" w:rsidRDefault="005E781F" w:rsidP="004027BD">
            <w:pPr>
              <w:jc w:val="both"/>
              <w:rPr>
                <w:szCs w:val="24"/>
              </w:rPr>
            </w:pPr>
            <w:r w:rsidRPr="0008734C">
              <w:rPr>
                <w:szCs w:val="24"/>
              </w:rPr>
              <w:t>Lietuva remia ES ir Afrikos Sąjungos aukščiausiojo lygio susitikimą, tikisi, kad jo metu pavyks toliau kurti lygiavertę partnerystę, pagrįstą bendrais tikslais ir abipusiais prioritetais (tokiais kaip žaliasis perėjimas ir prieiga prie energijos, skaitmeninimas, tvarus augimas ir jaunimo užimtumas.</w:t>
            </w:r>
          </w:p>
        </w:tc>
      </w:tr>
      <w:tr w:rsidR="005E781F" w:rsidRPr="0008734C" w14:paraId="6B77930F" w14:textId="77777777" w:rsidTr="005E781F">
        <w:tc>
          <w:tcPr>
            <w:tcW w:w="9775" w:type="dxa"/>
            <w:tcBorders>
              <w:top w:val="nil"/>
              <w:left w:val="single" w:sz="4" w:space="0" w:color="auto"/>
              <w:bottom w:val="nil"/>
              <w:right w:val="single" w:sz="4" w:space="0" w:color="auto"/>
            </w:tcBorders>
          </w:tcPr>
          <w:p w14:paraId="6ACA3C48" w14:textId="77777777" w:rsidR="005E781F" w:rsidRPr="0008734C" w:rsidRDefault="005E781F" w:rsidP="004027BD">
            <w:pPr>
              <w:jc w:val="both"/>
              <w:rPr>
                <w:b/>
                <w:szCs w:val="24"/>
              </w:rPr>
            </w:pPr>
          </w:p>
        </w:tc>
      </w:tr>
      <w:tr w:rsidR="005E781F" w:rsidRPr="0008734C" w14:paraId="074833DE" w14:textId="77777777" w:rsidTr="005E781F">
        <w:tc>
          <w:tcPr>
            <w:tcW w:w="9775" w:type="dxa"/>
            <w:tcBorders>
              <w:top w:val="nil"/>
              <w:left w:val="single" w:sz="4" w:space="0" w:color="auto"/>
              <w:bottom w:val="nil"/>
              <w:right w:val="single" w:sz="4" w:space="0" w:color="auto"/>
            </w:tcBorders>
          </w:tcPr>
          <w:p w14:paraId="65519EDB" w14:textId="77777777" w:rsidR="005E781F" w:rsidRPr="0008734C" w:rsidRDefault="005E781F" w:rsidP="004027BD">
            <w:pPr>
              <w:jc w:val="both"/>
              <w:rPr>
                <w:b/>
                <w:szCs w:val="24"/>
              </w:rPr>
            </w:pPr>
            <w:r w:rsidRPr="0008734C">
              <w:rPr>
                <w:b/>
                <w:szCs w:val="24"/>
              </w:rPr>
              <w:t>Euro zonos aukščiausiojo lygio susitikimas</w:t>
            </w:r>
          </w:p>
        </w:tc>
      </w:tr>
      <w:tr w:rsidR="005E781F" w:rsidRPr="0008734C" w14:paraId="61E2C9AA" w14:textId="77777777" w:rsidTr="005E781F">
        <w:tc>
          <w:tcPr>
            <w:tcW w:w="9775" w:type="dxa"/>
            <w:tcBorders>
              <w:top w:val="nil"/>
              <w:left w:val="single" w:sz="4" w:space="0" w:color="auto"/>
              <w:bottom w:val="nil"/>
              <w:right w:val="single" w:sz="4" w:space="0" w:color="auto"/>
            </w:tcBorders>
          </w:tcPr>
          <w:p w14:paraId="77FA8C3C" w14:textId="77777777" w:rsidR="005E781F" w:rsidRPr="0008734C" w:rsidRDefault="005E781F" w:rsidP="004027BD">
            <w:pPr>
              <w:jc w:val="both"/>
              <w:rPr>
                <w:szCs w:val="24"/>
              </w:rPr>
            </w:pPr>
            <w:r w:rsidRPr="0008734C">
              <w:rPr>
                <w:szCs w:val="24"/>
              </w:rPr>
              <w:t xml:space="preserve">Euro zonos aukščiausiojo lygio susitikimo darbotvarkėje numatyti trys klausimai: ekonominės situacijos aptarimas, Bankų sąjungos pažangos aptarimas bei Kapitalo rinkų sąjunga. </w:t>
            </w:r>
          </w:p>
        </w:tc>
      </w:tr>
      <w:tr w:rsidR="005E781F" w:rsidRPr="0008734C" w14:paraId="69F06A94" w14:textId="77777777" w:rsidTr="005E781F">
        <w:tc>
          <w:tcPr>
            <w:tcW w:w="9775" w:type="dxa"/>
            <w:tcBorders>
              <w:top w:val="nil"/>
              <w:left w:val="single" w:sz="4" w:space="0" w:color="auto"/>
              <w:bottom w:val="nil"/>
              <w:right w:val="single" w:sz="4" w:space="0" w:color="auto"/>
            </w:tcBorders>
          </w:tcPr>
          <w:p w14:paraId="545F5FF0" w14:textId="77777777" w:rsidR="005E781F" w:rsidRPr="0008734C" w:rsidRDefault="005E781F" w:rsidP="004027BD">
            <w:pPr>
              <w:jc w:val="both"/>
              <w:rPr>
                <w:szCs w:val="24"/>
              </w:rPr>
            </w:pPr>
            <w:r w:rsidRPr="0008734C">
              <w:rPr>
                <w:szCs w:val="24"/>
              </w:rPr>
              <w:t xml:space="preserve">Pirmuoju klausimu planuojamas ECB prezidentės </w:t>
            </w:r>
            <w:proofErr w:type="spellStart"/>
            <w:r w:rsidRPr="0008734C">
              <w:rPr>
                <w:szCs w:val="24"/>
              </w:rPr>
              <w:t>Ch</w:t>
            </w:r>
            <w:proofErr w:type="spellEnd"/>
            <w:r w:rsidRPr="0008734C">
              <w:rPr>
                <w:szCs w:val="24"/>
              </w:rPr>
              <w:t xml:space="preserve">. </w:t>
            </w:r>
            <w:proofErr w:type="spellStart"/>
            <w:r w:rsidRPr="0008734C">
              <w:rPr>
                <w:szCs w:val="24"/>
              </w:rPr>
              <w:t>Lagarde</w:t>
            </w:r>
            <w:proofErr w:type="spellEnd"/>
            <w:r w:rsidRPr="0008734C">
              <w:rPr>
                <w:szCs w:val="24"/>
              </w:rPr>
              <w:t xml:space="preserve"> pristatymas apie ekonominę situaciją euro zonoje. Dėl Bankų sąjungos pažangos - Slovėnijos pirmininkavimo metu šis klausimas buvo </w:t>
            </w:r>
            <w:r w:rsidRPr="0008734C">
              <w:rPr>
                <w:szCs w:val="24"/>
              </w:rPr>
              <w:lastRenderedPageBreak/>
              <w:t>aptariamas Tarybos aukšto lygio darbo grupėje, sutelkiant dėmesį krizių valdymo ir indėlių draudimo elementus. Kapitalo rinkų sąjungos klausimu bus pristatyta pasiekta pažanga šioje srityje, įskaitant š. m. lapkričio 25 d. Europos Komisijos paskelbtą teisinių pasiūlymų paketą, kuriuo siekiama pagerinti įmonių galimybes pritraukti kapitalo visoje ES ir užtikrinti, kad piliečiams būtų prieinami geriausi taupymo ir investavimo sandoriai. Vadovų diskusijos šiuo klausimu nesitikima.  </w:t>
            </w:r>
          </w:p>
        </w:tc>
      </w:tr>
      <w:tr w:rsidR="005E781F" w:rsidRPr="0008734C" w14:paraId="6E933275" w14:textId="77777777" w:rsidTr="005E781F">
        <w:tc>
          <w:tcPr>
            <w:tcW w:w="9775" w:type="dxa"/>
            <w:tcBorders>
              <w:top w:val="nil"/>
              <w:left w:val="single" w:sz="4" w:space="0" w:color="auto"/>
              <w:bottom w:val="nil"/>
              <w:right w:val="single" w:sz="4" w:space="0" w:color="auto"/>
            </w:tcBorders>
          </w:tcPr>
          <w:p w14:paraId="47359B4A" w14:textId="77777777" w:rsidR="005E781F" w:rsidRPr="0008734C" w:rsidRDefault="005E781F" w:rsidP="004027BD">
            <w:pPr>
              <w:jc w:val="both"/>
              <w:rPr>
                <w:b/>
                <w:szCs w:val="24"/>
              </w:rPr>
            </w:pPr>
            <w:r w:rsidRPr="0008734C">
              <w:rPr>
                <w:b/>
                <w:szCs w:val="24"/>
              </w:rPr>
              <w:lastRenderedPageBreak/>
              <w:t xml:space="preserve">Lietuvos pozicija. </w:t>
            </w:r>
            <w:r w:rsidRPr="0008734C">
              <w:rPr>
                <w:szCs w:val="24"/>
              </w:rPr>
              <w:t>Lietuvos laikosi pozicijos, kad  Kapitalo rinkų sąjunga padės sustiprinti Europos finansų sistemą, paskatins ekonomikos plėtrą bei didins ES konkurencingumą globaliu mastu. Ypač palaikome siekį padidinti smulkių ir vidutinių įmonių prieigą prie visos ES kapitalo rinkų ir paskatinti ilgalaikes institucinių investuotojų (draudimo įmonių ir bankų) investicijas į ES įmones.</w:t>
            </w:r>
          </w:p>
        </w:tc>
      </w:tr>
      <w:tr w:rsidR="005E781F" w:rsidRPr="0008734C" w14:paraId="46D4F38E" w14:textId="77777777" w:rsidTr="005E781F">
        <w:tc>
          <w:tcPr>
            <w:tcW w:w="9775" w:type="dxa"/>
            <w:tcBorders>
              <w:top w:val="nil"/>
              <w:left w:val="single" w:sz="4" w:space="0" w:color="auto"/>
              <w:bottom w:val="single" w:sz="4" w:space="0" w:color="auto"/>
              <w:right w:val="single" w:sz="4" w:space="0" w:color="auto"/>
            </w:tcBorders>
          </w:tcPr>
          <w:p w14:paraId="2003A4C6" w14:textId="77777777" w:rsidR="005E781F" w:rsidRPr="0008734C" w:rsidRDefault="005E781F" w:rsidP="004027BD">
            <w:pPr>
              <w:rPr>
                <w:szCs w:val="24"/>
              </w:rPr>
            </w:pPr>
            <w:r w:rsidRPr="0008734C">
              <w:rPr>
                <w:szCs w:val="24"/>
              </w:rPr>
              <w:t>Lietuva taip pat nuosekliai laikosi pozicijos, kad Bankų sąjunga nebus užbaigta, kol neturėsime III Bankų sąjungos ramsčio – Europos indėlių draudimo sistemos (EDIS). Komisijos pirminis pasiūlymas dėl EDIS turėtų būti tikslas, prie kurio reikia siekti mažais, bet užtikrintas žingsniais.</w:t>
            </w:r>
          </w:p>
        </w:tc>
      </w:tr>
      <w:tr w:rsidR="005E781F" w:rsidRPr="0008734C" w14:paraId="06729DD1" w14:textId="77777777" w:rsidTr="005E781F">
        <w:tc>
          <w:tcPr>
            <w:tcW w:w="9775" w:type="dxa"/>
            <w:tcBorders>
              <w:top w:val="single" w:sz="4" w:space="0" w:color="auto"/>
              <w:left w:val="nil"/>
              <w:bottom w:val="single" w:sz="4" w:space="0" w:color="auto"/>
              <w:right w:val="nil"/>
            </w:tcBorders>
          </w:tcPr>
          <w:p w14:paraId="2EF19F22" w14:textId="77777777" w:rsidR="005E781F" w:rsidRPr="0008734C" w:rsidRDefault="005E781F" w:rsidP="004027BD">
            <w:pPr>
              <w:rPr>
                <w:szCs w:val="24"/>
              </w:rPr>
            </w:pPr>
          </w:p>
        </w:tc>
      </w:tr>
      <w:tr w:rsidR="005E781F" w:rsidRPr="0008734C" w14:paraId="2C450E3B" w14:textId="77777777" w:rsidTr="005E781F">
        <w:tc>
          <w:tcPr>
            <w:tcW w:w="9775" w:type="dxa"/>
            <w:tcBorders>
              <w:top w:val="single" w:sz="4" w:space="0" w:color="auto"/>
              <w:left w:val="single" w:sz="4" w:space="0" w:color="auto"/>
              <w:bottom w:val="single" w:sz="4" w:space="0" w:color="auto"/>
              <w:right w:val="single" w:sz="4" w:space="0" w:color="auto"/>
            </w:tcBorders>
          </w:tcPr>
          <w:p w14:paraId="71024EF6" w14:textId="77777777" w:rsidR="005E781F" w:rsidRPr="0008734C" w:rsidRDefault="005E781F" w:rsidP="005E781F">
            <w:pPr>
              <w:pStyle w:val="Default"/>
              <w:rPr>
                <w:b/>
              </w:rPr>
            </w:pPr>
            <w:r w:rsidRPr="0008734C">
              <w:rPr>
                <w:b/>
              </w:rPr>
              <w:t>Konferencija dėl Europos ateities</w:t>
            </w:r>
          </w:p>
          <w:p w14:paraId="009C269C" w14:textId="77777777" w:rsidR="005E781F" w:rsidRPr="0008734C" w:rsidRDefault="005E781F" w:rsidP="005E781F">
            <w:pPr>
              <w:rPr>
                <w:b/>
                <w:i/>
                <w:iCs/>
                <w:szCs w:val="24"/>
              </w:rPr>
            </w:pPr>
            <w:r w:rsidRPr="0008734C">
              <w:rPr>
                <w:b/>
                <w:i/>
                <w:iCs/>
                <w:szCs w:val="24"/>
              </w:rPr>
              <w:t>Pirmininkaujančios valstybės narės informacija</w:t>
            </w:r>
          </w:p>
          <w:p w14:paraId="0181F03D" w14:textId="77777777" w:rsidR="005E781F" w:rsidRPr="0008734C" w:rsidRDefault="005E781F" w:rsidP="005E781F">
            <w:pPr>
              <w:rPr>
                <w:b/>
                <w:i/>
                <w:iCs/>
                <w:szCs w:val="24"/>
              </w:rPr>
            </w:pPr>
          </w:p>
          <w:p w14:paraId="70EA0529" w14:textId="77777777" w:rsidR="005E781F" w:rsidRPr="0008734C" w:rsidRDefault="005E781F" w:rsidP="005E781F">
            <w:pPr>
              <w:pStyle w:val="NormalWeb"/>
              <w:spacing w:before="0" w:beforeAutospacing="0" w:after="0" w:afterAutospacing="0"/>
              <w:jc w:val="both"/>
              <w:rPr>
                <w:lang w:val="lt-LT"/>
              </w:rPr>
            </w:pPr>
            <w:r w:rsidRPr="0008734C">
              <w:rPr>
                <w:b/>
                <w:u w:val="single"/>
                <w:lang w:val="lt-LT"/>
              </w:rPr>
              <w:t>Klausimo esmė.</w:t>
            </w:r>
            <w:r w:rsidRPr="0008734C">
              <w:rPr>
                <w:b/>
                <w:lang w:val="lt-LT"/>
              </w:rPr>
              <w:t xml:space="preserve"> </w:t>
            </w:r>
            <w:r w:rsidRPr="0008734C">
              <w:rPr>
                <w:lang w:val="lt-LT"/>
              </w:rPr>
              <w:t>ES tarybai pirmininkaujanti Slovėnija pateiks naujausią informaciją apie Konferenciją dėl Europos ateities.</w:t>
            </w:r>
            <w:r w:rsidRPr="0008734C">
              <w:rPr>
                <w:b/>
                <w:lang w:val="lt-LT"/>
              </w:rPr>
              <w:t xml:space="preserve"> </w:t>
            </w:r>
            <w:r w:rsidRPr="0008734C">
              <w:rPr>
                <w:lang w:val="lt-LT"/>
              </w:rPr>
              <w:t xml:space="preserve">Bus pasikeista nuomonėmis dėl spalio 22-23 d. vykusios Konferencijos plenarinės sesijos, darbo grupių veikimo principų bei aptarta kita plenarinė sesija, kuri dėl Covid-19 </w:t>
            </w:r>
            <w:proofErr w:type="spellStart"/>
            <w:r w:rsidRPr="0008734C">
              <w:rPr>
                <w:lang w:val="lt-LT"/>
              </w:rPr>
              <w:t>omicron</w:t>
            </w:r>
            <w:proofErr w:type="spellEnd"/>
            <w:r w:rsidRPr="0008734C">
              <w:rPr>
                <w:lang w:val="lt-LT"/>
              </w:rPr>
              <w:t xml:space="preserve"> atmainos nukelta iš gruodžio 18 d. į 2022 m. sausio mėn. </w:t>
            </w:r>
          </w:p>
          <w:p w14:paraId="5CD4F9A7" w14:textId="77777777" w:rsidR="005E781F" w:rsidRPr="0008734C" w:rsidRDefault="005E781F" w:rsidP="005E781F">
            <w:pPr>
              <w:pStyle w:val="NormalWeb"/>
              <w:spacing w:before="0" w:beforeAutospacing="0" w:after="0" w:afterAutospacing="0"/>
              <w:jc w:val="both"/>
              <w:rPr>
                <w:b/>
                <w:lang w:val="lt-LT"/>
              </w:rPr>
            </w:pPr>
            <w:r w:rsidRPr="0008734C">
              <w:rPr>
                <w:b/>
                <w:lang w:val="lt-LT"/>
              </w:rPr>
              <w:t>Svarbiausios naujienos:</w:t>
            </w:r>
          </w:p>
          <w:p w14:paraId="717A61A5" w14:textId="77777777" w:rsidR="005E781F" w:rsidRPr="0008734C" w:rsidRDefault="005E781F" w:rsidP="005E781F">
            <w:pPr>
              <w:pStyle w:val="NormalWeb"/>
              <w:spacing w:before="0" w:beforeAutospacing="0" w:after="0" w:afterAutospacing="0"/>
              <w:jc w:val="both"/>
              <w:rPr>
                <w:lang w:val="lt-LT"/>
              </w:rPr>
            </w:pPr>
            <w:r w:rsidRPr="0008734C">
              <w:rPr>
                <w:lang w:val="lt-LT"/>
              </w:rPr>
              <w:t xml:space="preserve">Spalio 22-23 d. įvyko plenarinė sesija. Šioje sesijoje ir jos darbo grupių posėdžiuose dalyvavo URM viceministras A. Pranckevičius ir VRM viceministras A. Abramavičius, Seimo nariai R. Morkūnaitė-Mikulėnienė, A. Lydeka ir L. Savickas, R. Miliūtė, europarlamentaras A. Kubilius bei URM deleguojamas nacionalinių renginių atstovas V. Mitkus. Plenarinėje sesijoje aptarti jau įvykusių Europos piliečių forumų ir nacionalinių renginių pirminiai rezultatai, Skaitmeninės platformos ataskaitos. Iš Lietuvos pusės Plenarinėje sesijoje pasisakė A. Pranckevičius, L. Savickas ir V. Mitkus. </w:t>
            </w:r>
          </w:p>
          <w:p w14:paraId="7F00D8F2" w14:textId="77777777" w:rsidR="005E781F" w:rsidRPr="0008734C" w:rsidRDefault="005E781F" w:rsidP="005E781F">
            <w:pPr>
              <w:pStyle w:val="NormalWeb"/>
              <w:spacing w:before="0" w:beforeAutospacing="0" w:after="0" w:afterAutospacing="0"/>
              <w:jc w:val="both"/>
              <w:rPr>
                <w:lang w:val="lt-LT"/>
              </w:rPr>
            </w:pPr>
            <w:r w:rsidRPr="0008734C">
              <w:rPr>
                <w:lang w:val="lt-LT"/>
              </w:rPr>
              <w:t>Gruodžio 17-18 d. turėjusi vykti plenarinė sesija nukelta į 2022 m. sausio mėn. Gruodžio 4 d. Dubline, Airijoje, turėjusi vykti pirmojo Europos piliečių forumo trečioji sesija ir gruodžio 10 d. Florencijoje turėjusi vykti antrojo Europos piliečių forumo trečioji sesija atšauktos, ieškoma kito laiko.</w:t>
            </w:r>
          </w:p>
          <w:p w14:paraId="5E8FAC3B" w14:textId="77777777" w:rsidR="005E781F" w:rsidRPr="0008734C" w:rsidRDefault="005E781F" w:rsidP="005E781F">
            <w:pPr>
              <w:shd w:val="clear" w:color="auto" w:fill="FFFFFF"/>
              <w:jc w:val="both"/>
              <w:rPr>
                <w:bCs/>
              </w:rPr>
            </w:pPr>
            <w:r w:rsidRPr="0008734C">
              <w:rPr>
                <w:szCs w:val="24"/>
                <w:lang w:eastAsia="lt-LT"/>
              </w:rPr>
              <w:t>Gruodžio 9 d. pasirodys trečioji tarpinė Skaitmeninėje platformoje pateiktų idėjų ataskaita.</w:t>
            </w:r>
          </w:p>
          <w:p w14:paraId="48CF3810" w14:textId="77777777" w:rsidR="005E781F" w:rsidRPr="0008734C" w:rsidRDefault="005E781F" w:rsidP="005E781F">
            <w:pPr>
              <w:rPr>
                <w:b/>
                <w:szCs w:val="24"/>
                <w:lang w:eastAsia="lt-LT"/>
              </w:rPr>
            </w:pPr>
          </w:p>
          <w:p w14:paraId="50A6957A" w14:textId="77777777" w:rsidR="005E781F" w:rsidRPr="0008734C" w:rsidRDefault="005E781F" w:rsidP="005E781F">
            <w:pPr>
              <w:jc w:val="both"/>
              <w:rPr>
                <w:szCs w:val="24"/>
                <w:lang w:eastAsia="lt-LT"/>
              </w:rPr>
            </w:pPr>
            <w:r w:rsidRPr="0008734C">
              <w:rPr>
                <w:b/>
                <w:szCs w:val="24"/>
                <w:u w:val="single"/>
                <w:lang w:eastAsia="lt-LT"/>
              </w:rPr>
              <w:t>Lietuvos pozicija</w:t>
            </w:r>
            <w:r w:rsidRPr="0008734C">
              <w:rPr>
                <w:b/>
                <w:szCs w:val="24"/>
                <w:lang w:eastAsia="lt-LT"/>
              </w:rPr>
              <w:t xml:space="preserve">. </w:t>
            </w:r>
            <w:r w:rsidRPr="0008734C">
              <w:rPr>
                <w:szCs w:val="24"/>
                <w:lang w:eastAsia="lt-LT"/>
              </w:rPr>
              <w:t xml:space="preserve">Remiame Konferencijos dėl Europos ateities iniciatyvą, kuri yra unikali platforma su Lietuvos ir visos ES piliečiais kalbėtis apie mūsų bendrą ateitį. Tikimės, kad ji prisidės prie ES vienybės stiprinimo. Nuosekliai akcentuojame, kad didžiausias dėmesys turėtų būti  kreipiamas į ES Strateginės darbotvarkės įgyvendinimą, atsigavimą po Covid-19 pandemijos, ES žaliąjį kursą ir </w:t>
            </w:r>
            <w:proofErr w:type="spellStart"/>
            <w:r w:rsidRPr="0008734C">
              <w:rPr>
                <w:szCs w:val="24"/>
                <w:lang w:eastAsia="lt-LT"/>
              </w:rPr>
              <w:t>skaitmenizacijos</w:t>
            </w:r>
            <w:proofErr w:type="spellEnd"/>
            <w:r w:rsidRPr="0008734C">
              <w:rPr>
                <w:szCs w:val="24"/>
                <w:lang w:eastAsia="lt-LT"/>
              </w:rPr>
              <w:t xml:space="preserve"> plėtrą bei jos keliamus iššūkius. Kartu pabrėžiame būtinybę stiprinti ES atsaką į migracinį spaudimą ir demokratijos, įskaitant teisės viršenybę, stiprinimą tiek ES viduje, tiek ir kaimynystėje bei pasaulyje. </w:t>
            </w:r>
          </w:p>
          <w:p w14:paraId="21C15718" w14:textId="77777777" w:rsidR="005E781F" w:rsidRPr="0008734C" w:rsidRDefault="005E781F" w:rsidP="005E781F">
            <w:pPr>
              <w:jc w:val="both"/>
              <w:rPr>
                <w:szCs w:val="24"/>
                <w:lang w:eastAsia="lt-LT"/>
              </w:rPr>
            </w:pPr>
            <w:r w:rsidRPr="0008734C">
              <w:rPr>
                <w:szCs w:val="24"/>
                <w:lang w:eastAsia="lt-LT"/>
              </w:rPr>
              <w:t xml:space="preserve">Sveikiname įvykusią Konferencijos plenarinę sesiją, kuri yra svarbi Konferencijos dalis, leidžianti sprendimų priėmėjams diskutuoti kartu su piliečiais. Svarbu, kad būsimoje plenarinėje sesijoje būtų skirtas dar didesnis dėmesys piliečių pasisakymams, jiems skirta daugiau laiko, o pats plenarinės sesijos formatas būtų interaktyvesnis ir leidžiantis užtikrinti produktyvų dialogą. </w:t>
            </w:r>
          </w:p>
          <w:p w14:paraId="1136EB2B" w14:textId="77777777" w:rsidR="005E781F" w:rsidRPr="0008734C" w:rsidRDefault="005E781F" w:rsidP="005E781F">
            <w:pPr>
              <w:jc w:val="both"/>
              <w:rPr>
                <w:szCs w:val="24"/>
                <w:lang w:eastAsia="lt-LT"/>
              </w:rPr>
            </w:pPr>
            <w:r w:rsidRPr="0008734C">
              <w:rPr>
                <w:szCs w:val="24"/>
                <w:lang w:eastAsia="lt-LT"/>
              </w:rPr>
              <w:t xml:space="preserve">Vertiname  Skaitmeninės platformos ataskaitas kaip naudingą apibendrinimą, kuris leidžia įvertinti piliečių lūkesčius. Svarbu, kad Lietuvai ypač svarbioje migracijos temoje užfiksuota aiški piliečių nuostata dėl migracijos politikos – piliečiai pasisako už bendrą ES migracijos politiką, jos stiprinimą bei geresnę ES išorės sienų apsaugą. </w:t>
            </w:r>
          </w:p>
          <w:p w14:paraId="2DB24D1D" w14:textId="26D5588E" w:rsidR="005E781F" w:rsidRPr="0008734C" w:rsidRDefault="005E781F" w:rsidP="008106A0">
            <w:pPr>
              <w:jc w:val="both"/>
              <w:rPr>
                <w:szCs w:val="24"/>
                <w:lang w:eastAsia="lt-LT"/>
              </w:rPr>
            </w:pPr>
            <w:r w:rsidRPr="0008734C">
              <w:rPr>
                <w:szCs w:val="24"/>
                <w:lang w:eastAsia="lt-LT"/>
              </w:rPr>
              <w:lastRenderedPageBreak/>
              <w:t xml:space="preserve">Nuosekliai nuo pat Konferencijos pradžios pasisakome už lanksčią ir paprastą Konferencijos struktūrą, vengiant sudėtingų institucinių sąrangų bei skiriant didžiausią dėmesį piliečių įtraukimui, todėl remiame nuostatą, kad planuojamos Konferencijos darbo grupės turi nedubliuoti Europos piliečių forumų. Darbo grupių paskirtis turi atitikti Konferencijos darbo taisyklėse numatytus principus, darbo grupės turi būti skirtos išsamesnėms piliečių diskusijoms, kurios yra pateikiamos skaitmeninėje platformoje ir Europos piliečių forumuose. Svarbu, kad Lietuvos atstovams nuo Vyriausybės pavyko užsitikrinti dalyvavimą svarbiose migracijos ir Europos demokratijos darbo grupėse. </w:t>
            </w:r>
          </w:p>
        </w:tc>
      </w:tr>
    </w:tbl>
    <w:p w14:paraId="56DE9304" w14:textId="77777777" w:rsidR="008106A0" w:rsidRPr="0008734C" w:rsidRDefault="008106A0"/>
    <w:tbl>
      <w:tblPr>
        <w:tblStyle w:val="TableGrid"/>
        <w:tblW w:w="0" w:type="auto"/>
        <w:tblInd w:w="-147" w:type="dxa"/>
        <w:tblLook w:val="04A0" w:firstRow="1" w:lastRow="0" w:firstColumn="1" w:lastColumn="0" w:noHBand="0" w:noVBand="1"/>
      </w:tblPr>
      <w:tblGrid>
        <w:gridCol w:w="9775"/>
      </w:tblGrid>
      <w:tr w:rsidR="005E781F" w:rsidRPr="0008734C" w14:paraId="52FEC308" w14:textId="77777777" w:rsidTr="008106A0">
        <w:trPr>
          <w:trHeight w:val="6374"/>
        </w:trPr>
        <w:tc>
          <w:tcPr>
            <w:tcW w:w="9775" w:type="dxa"/>
            <w:tcBorders>
              <w:top w:val="single" w:sz="4" w:space="0" w:color="auto"/>
              <w:left w:val="single" w:sz="4" w:space="0" w:color="auto"/>
              <w:bottom w:val="single" w:sz="4" w:space="0" w:color="auto"/>
              <w:right w:val="single" w:sz="4" w:space="0" w:color="auto"/>
            </w:tcBorders>
          </w:tcPr>
          <w:p w14:paraId="7C7419CD" w14:textId="19CC58C4" w:rsidR="005E781F" w:rsidRPr="0008734C" w:rsidRDefault="005E781F" w:rsidP="008106A0">
            <w:pPr>
              <w:pBdr>
                <w:left w:val="single" w:sz="4" w:space="4" w:color="auto"/>
                <w:right w:val="single" w:sz="4" w:space="4" w:color="auto"/>
              </w:pBdr>
              <w:jc w:val="both"/>
              <w:rPr>
                <w:b/>
                <w:szCs w:val="24"/>
              </w:rPr>
            </w:pPr>
            <w:r w:rsidRPr="0008734C">
              <w:rPr>
                <w:b/>
                <w:szCs w:val="24"/>
              </w:rPr>
              <w:t xml:space="preserve">Teisinė valstybė: Lenkija. Pagrįstas pasiūlymas pagal ES sutarties 7 straipsnio 1 dalį </w:t>
            </w:r>
            <w:r w:rsidRPr="0008734C">
              <w:rPr>
                <w:b/>
                <w:i/>
                <w:szCs w:val="24"/>
              </w:rPr>
              <w:t>Dabartinė padėtis</w:t>
            </w:r>
          </w:p>
          <w:p w14:paraId="4F760F53" w14:textId="77777777" w:rsidR="008106A0" w:rsidRPr="0008734C" w:rsidRDefault="008106A0" w:rsidP="008106A0">
            <w:pPr>
              <w:pBdr>
                <w:left w:val="single" w:sz="4" w:space="4" w:color="auto"/>
                <w:right w:val="single" w:sz="4" w:space="4" w:color="auto"/>
              </w:pBdr>
              <w:ind w:firstLine="567"/>
              <w:jc w:val="both"/>
              <w:rPr>
                <w:b/>
                <w:szCs w:val="24"/>
                <w:u w:val="single"/>
              </w:rPr>
            </w:pPr>
          </w:p>
          <w:p w14:paraId="0D0EC762" w14:textId="77777777" w:rsidR="005E781F" w:rsidRPr="0008734C" w:rsidRDefault="005E781F" w:rsidP="008106A0">
            <w:pPr>
              <w:pBdr>
                <w:left w:val="single" w:sz="4" w:space="4" w:color="auto"/>
                <w:right w:val="single" w:sz="4" w:space="4" w:color="auto"/>
              </w:pBdr>
              <w:jc w:val="both"/>
              <w:rPr>
                <w:bCs/>
                <w:iCs/>
                <w:szCs w:val="24"/>
              </w:rPr>
            </w:pPr>
            <w:r w:rsidRPr="0008734C">
              <w:rPr>
                <w:b/>
                <w:szCs w:val="24"/>
                <w:u w:val="single"/>
              </w:rPr>
              <w:t>Klausimo esmė</w:t>
            </w:r>
            <w:r w:rsidRPr="0008734C">
              <w:rPr>
                <w:b/>
                <w:szCs w:val="24"/>
              </w:rPr>
              <w:t>.</w:t>
            </w:r>
            <w:r w:rsidRPr="0008734C">
              <w:rPr>
                <w:szCs w:val="24"/>
              </w:rPr>
              <w:t xml:space="preserve"> BRT posėdyje vyks penkti oficialūs Lenkijos klausymai teisinės valstybės klausimu. </w:t>
            </w:r>
            <w:r w:rsidRPr="0008734C">
              <w:rPr>
                <w:bCs/>
                <w:iCs/>
                <w:szCs w:val="24"/>
              </w:rPr>
              <w:t>Iki šiol įvykę Lenkijos klausymai: 2018 birželio 26 d., rugsėjo 18 d. ir gruodžio 11 d.), 2021 birželio 22 d.</w:t>
            </w:r>
            <w:r w:rsidRPr="0008734C">
              <w:rPr>
                <w:szCs w:val="24"/>
              </w:rPr>
              <w:t xml:space="preserve">. ES Sutarties 7 str. procedūra prieš Lenkiją EK pradėta 2017 m. gruodį dėl Lenkijos vykdomos teisinės sistemos reformos, didinančios teisminės valdžios priklausomumą nuo politinės valdžios. Šią procedūrą inicijavo Europos Komisija. Komisijos teigimu, 2016-2018 m. vykdyti dvišaliai kontaktai tarp Komisijos ir Lenkijos neatnešė lauktų rezultatų dėl teisinės valstybės principo laikymosi Lenkijoje. Todėl Komisija, siekdama užtikrinti šio principo laikymąsi visoje ES, Tarybai pateikė pasiūlymą inicijuoti 7 str. procedūrą. Klausymai (angl. </w:t>
            </w:r>
            <w:proofErr w:type="spellStart"/>
            <w:r w:rsidRPr="0008734C">
              <w:rPr>
                <w:i/>
                <w:szCs w:val="24"/>
              </w:rPr>
              <w:t>hearing</w:t>
            </w:r>
            <w:proofErr w:type="spellEnd"/>
            <w:r w:rsidRPr="0008734C">
              <w:rPr>
                <w:i/>
                <w:szCs w:val="24"/>
              </w:rPr>
              <w:t>)</w:t>
            </w:r>
            <w:r w:rsidRPr="0008734C">
              <w:rPr>
                <w:szCs w:val="24"/>
              </w:rPr>
              <w:t xml:space="preserve"> – būtinas 7 (1) str. procedūros etapas: p</w:t>
            </w:r>
            <w:r w:rsidRPr="0008734C">
              <w:rPr>
                <w:bCs/>
                <w:iCs/>
                <w:szCs w:val="24"/>
              </w:rPr>
              <w:t>rieš priimdama sprendimą,</w:t>
            </w:r>
            <w:r w:rsidRPr="0008734C">
              <w:rPr>
                <w:szCs w:val="24"/>
              </w:rPr>
              <w:t xml:space="preserve"> kad iškilo pavojus, jog valstybė narė gali šiurkščiai pažeisti 2 str. nurodytas vertybes,</w:t>
            </w:r>
            <w:r w:rsidRPr="0008734C">
              <w:rPr>
                <w:bCs/>
                <w:iCs/>
                <w:szCs w:val="24"/>
              </w:rPr>
              <w:t xml:space="preserve"> Taryba </w:t>
            </w:r>
            <w:r w:rsidRPr="0008734C">
              <w:rPr>
                <w:bCs/>
                <w:i/>
                <w:iCs/>
                <w:szCs w:val="24"/>
              </w:rPr>
              <w:t>išklauso</w:t>
            </w:r>
            <w:r w:rsidRPr="0008734C">
              <w:rPr>
                <w:bCs/>
                <w:iCs/>
                <w:szCs w:val="24"/>
              </w:rPr>
              <w:t xml:space="preserve"> tą valstybę narę ir gali teikti jai rekomendacijas.  Klausymų metu Europos Komisija pristato nuo praėjusių klausimų valstybėje narėje įvykusius įvykius bei procesus, kurie tiesiogiai prisideda prie teisinės valstybės principo laikymosi. Po to suteikiamas žodis valstybei </w:t>
            </w:r>
            <w:proofErr w:type="spellStart"/>
            <w:r w:rsidRPr="0008734C">
              <w:rPr>
                <w:bCs/>
                <w:iCs/>
                <w:szCs w:val="24"/>
              </w:rPr>
              <w:t>nariei</w:t>
            </w:r>
            <w:proofErr w:type="spellEnd"/>
            <w:r w:rsidRPr="0008734C">
              <w:rPr>
                <w:bCs/>
                <w:iCs/>
                <w:szCs w:val="24"/>
              </w:rPr>
              <w:t xml:space="preserve">, prieš kurią yra pradėta 7 str. procedūra. Po to valstybės narės turi galimybę pateikti klausimų ir komentarų. Diskusiją apibendrina ES Tarybai pirmininkaujanti valstybė narė. </w:t>
            </w:r>
          </w:p>
          <w:p w14:paraId="0B03C276" w14:textId="77777777" w:rsidR="005E781F" w:rsidRPr="0008734C" w:rsidRDefault="005E781F" w:rsidP="008106A0">
            <w:pPr>
              <w:pBdr>
                <w:left w:val="single" w:sz="4" w:space="4" w:color="auto"/>
                <w:right w:val="single" w:sz="4" w:space="4" w:color="auto"/>
              </w:pBdr>
              <w:jc w:val="both"/>
              <w:rPr>
                <w:bCs/>
                <w:iCs/>
                <w:szCs w:val="24"/>
              </w:rPr>
            </w:pPr>
            <w:r w:rsidRPr="0008734C">
              <w:rPr>
                <w:bCs/>
                <w:iCs/>
                <w:szCs w:val="24"/>
              </w:rPr>
              <w:t>Inicijuodama šią procedūrą prieš Lenkiją, Komisija</w:t>
            </w:r>
            <w:r w:rsidRPr="0008734C">
              <w:rPr>
                <w:szCs w:val="24"/>
              </w:rPr>
              <w:t xml:space="preserve"> pabrėžė būtinybę Lenkijai atkurti</w:t>
            </w:r>
            <w:r w:rsidRPr="0008734C">
              <w:rPr>
                <w:rFonts w:eastAsia="Times New Roman"/>
                <w:bCs/>
                <w:szCs w:val="24"/>
              </w:rPr>
              <w:t xml:space="preserve"> Konstitucinio teismo nepriklausomumą ir teisėtumą (užtikrinti jo teisėjų, pirmininko ir vicepirmininko teisėtą paskyrimą bei teismo nutarimų paskelbimą), pataisyti teismų sistemos reformą taip, kad ji atitiktų teismų nepriklausomumo ir valdžių atskyrimo principus, taip pat užtikrinti, kad teismų sistemos reforma būtų vykdoma glaudžiai bendradarbiaujant su teisėjais ir kitomis suinteresuotomis šalimis, įskaitant Venecijos komisiją.</w:t>
            </w:r>
          </w:p>
          <w:p w14:paraId="2A47E3C3" w14:textId="77777777" w:rsidR="005E781F" w:rsidRPr="0008734C" w:rsidRDefault="005E781F" w:rsidP="008106A0">
            <w:pPr>
              <w:pBdr>
                <w:left w:val="single" w:sz="4" w:space="4" w:color="auto"/>
                <w:right w:val="single" w:sz="4" w:space="4" w:color="auto"/>
              </w:pBdr>
              <w:jc w:val="both"/>
              <w:rPr>
                <w:szCs w:val="24"/>
              </w:rPr>
            </w:pPr>
            <w:r w:rsidRPr="0008734C">
              <w:rPr>
                <w:szCs w:val="24"/>
              </w:rPr>
              <w:t xml:space="preserve">Po paskutinių klausymų 2021 m. birželio 22 d. teisinės valstybės principo padėtis Lenkijoje toliau prastėja. Spalio 7 d. Lenkijos Konstitucinis Tribunolas priėmė sprendimą (bylą Konstituciniame teisme iniciavo Lenkijos ministras pirmininkas M. </w:t>
            </w:r>
            <w:proofErr w:type="spellStart"/>
            <w:r w:rsidRPr="0008734C">
              <w:rPr>
                <w:rFonts w:eastAsia="Times New Roman"/>
                <w:szCs w:val="24"/>
                <w:lang w:eastAsia="lt-LT"/>
              </w:rPr>
              <w:t>Morawiecki</w:t>
            </w:r>
            <w:proofErr w:type="spellEnd"/>
            <w:r w:rsidRPr="0008734C">
              <w:rPr>
                <w:rFonts w:eastAsia="Times New Roman"/>
                <w:szCs w:val="24"/>
                <w:lang w:eastAsia="lt-LT"/>
              </w:rPr>
              <w:t>)</w:t>
            </w:r>
            <w:r w:rsidRPr="0008734C">
              <w:rPr>
                <w:szCs w:val="24"/>
              </w:rPr>
              <w:t>, kuriame teigiama, kad atskiri ES Sutarties straipsniai (1, 2, 4 (3 d.), 19 (1)) pripažinti prieštaraujančiais Lenkijos Konstitucijai „</w:t>
            </w:r>
            <w:r w:rsidRPr="0008734C">
              <w:rPr>
                <w:i/>
                <w:szCs w:val="24"/>
              </w:rPr>
              <w:t>ta apimti, kuria</w:t>
            </w:r>
            <w:r w:rsidRPr="0008734C">
              <w:rPr>
                <w:szCs w:val="24"/>
              </w:rPr>
              <w:t>“ jie interpretuojami kaip leidžiantys ES institucijoms viršyti Sutartimis joms suteiktą kompetenciją, dėl ko Lenkija, Konstitucinio Tribunolo teigimu, nebegalinti funkcionuoti kaip suvereni valstybė, jos Konstitucija faktiškai prarandanti aukščiausią galią turinčio įstatymo statusą, o nacionaliniai teismai jais remdamiesi bando nesilaikyti tam tikrų Konstitucijos nuostatų, taikyti negaliojančius teisės aktus, ginčyti ar kontroliuoti teisėjų paskyrimo teisėtumą bei nepripažinti paskirtų teisėjų. Tokia Lenkijos Konstitucinio Tribunolo pozicija yra nepriimtina Europos Komisijai, kuri pabrėžia, jog visi Europos Sąjungos Teisingumo Teismo (ESTT) sprendimai yra privalomi, todėl jų kvestionavimas pažeidžia ES teisinės valstybės principą.</w:t>
            </w:r>
          </w:p>
          <w:p w14:paraId="22F980D7" w14:textId="77777777" w:rsidR="005E781F" w:rsidRPr="0008734C" w:rsidRDefault="005E781F" w:rsidP="008106A0">
            <w:pPr>
              <w:pBdr>
                <w:left w:val="single" w:sz="4" w:space="4" w:color="auto"/>
                <w:right w:val="single" w:sz="4" w:space="4" w:color="auto"/>
              </w:pBdr>
              <w:jc w:val="both"/>
              <w:rPr>
                <w:szCs w:val="24"/>
              </w:rPr>
            </w:pPr>
            <w:r w:rsidRPr="0008734C">
              <w:rPr>
                <w:szCs w:val="24"/>
              </w:rPr>
              <w:t xml:space="preserve">Spalio 27 d. ES Teisingumo teismas nutarė įpareigoti Lenkiją sumokėti po 1 mln. EUR per dieną Europos Komisijai, tol, kol Lenkija neįgyvendins pareigų, kylančių iš ESTT liepos 14 d. nutarties, arba kol ES Teisingumo teismas nepriims galutinio sprendimo byloje Lenkija v. Komisija (byloje PL padavė Komisiją į teismą siekdama panaikinti ES Teisingumo teismo liepos 14 d. nutartį). Liepos 14 d. ES Teisingumo teismo nutartimi Lenkiją yra įpareigota: Atsisakyti nuostatų, kuriomis </w:t>
            </w:r>
            <w:r w:rsidRPr="0008734C">
              <w:rPr>
                <w:szCs w:val="24"/>
              </w:rPr>
              <w:lastRenderedPageBreak/>
              <w:t xml:space="preserve">Aukščiausiojo Teismo drausmės kolegija gali spręsti dėl teisėjų imuniteto panaikinimo, taip pat dėl Aukščiausiojo Teismo teisėjų įdarbinimo, socialinių garantijų ir pensijos; Atmesti Drausmės kolegijos jau priimtus sprendimus dėl teisėjų imuniteto panaikinimo; ir atsisakyti teisės aktų nuostatų, trukdančių Lenkijos teisėjams tiesiogiai taikyti ES teisę. Po šios ES Teisingumo teismo nutarties paskelbimo, Lenkija teigė nemokėsianti jai paskirtų baudų, nes laiko ESTT teiginius nepagrįstais. </w:t>
            </w:r>
          </w:p>
          <w:p w14:paraId="58D07924" w14:textId="77777777" w:rsidR="005E781F" w:rsidRPr="0008734C" w:rsidRDefault="005E781F" w:rsidP="008106A0">
            <w:pPr>
              <w:pBdr>
                <w:left w:val="single" w:sz="4" w:space="4" w:color="auto"/>
                <w:right w:val="single" w:sz="4" w:space="4" w:color="auto"/>
              </w:pBdr>
              <w:jc w:val="both"/>
              <w:rPr>
                <w:szCs w:val="24"/>
              </w:rPr>
            </w:pPr>
            <w:r w:rsidRPr="0008734C">
              <w:rPr>
                <w:szCs w:val="24"/>
              </w:rPr>
              <w:t>Atkreiptinas dėmesys, kad dėl teisinės valstybės principo įgyvendinimo problemų Europos Komisija iki šiol nėra patvirtinusi Lenkijos pateikto Ekonomikos gaivinimo plano, argumentuodama tuo, kad Lenkija turi gerinti teisinės valstybės principo padėtį valstybėje (panaikinti prieštaringai vertinamą teisėjų drausmės kolegiją, pakeisti teisėjų drausmės režimą ir pradėti atleistų teisėjų grąžinimo į pareigas procesą.) Šiame kontekste, Lenkija, kartu su Vengrija, yra padavusios ieškinį ESTT, prašydamos išaiškinti, ar 2020 m. gruodžio mėn. Reglamentas dėl bendro Sąjungos biudžeto apsaugos sąlygų režimo (kuriuo numatoma susieti ES biudžetą su teisinės valstybės principo laikymusi) neprieštarauja ES teisei. Gruodžio 2 d. ESTT generalinis advokatas išplatino nuomonę, kurioje teigiama, kad ESTT turėtų atmesti šį Lenkijos ir Vengrijos ieškinį. Tikėtina, kad šia nuomone vadovausis ir ESTT sprendimas, kuris, tikėtina, bus paskelbtas 2022 m. pradžioje.</w:t>
            </w:r>
          </w:p>
          <w:p w14:paraId="50C44D64" w14:textId="77777777" w:rsidR="005E781F" w:rsidRPr="0008734C" w:rsidRDefault="005E781F" w:rsidP="008106A0">
            <w:pPr>
              <w:pBdr>
                <w:left w:val="single" w:sz="4" w:space="4" w:color="auto"/>
                <w:right w:val="single" w:sz="4" w:space="4" w:color="auto"/>
              </w:pBdr>
              <w:jc w:val="both"/>
              <w:rPr>
                <w:szCs w:val="24"/>
              </w:rPr>
            </w:pPr>
            <w:r w:rsidRPr="0008734C">
              <w:rPr>
                <w:b/>
                <w:szCs w:val="24"/>
                <w:u w:val="single"/>
              </w:rPr>
              <w:t>Lietuvos pozicija</w:t>
            </w:r>
            <w:r w:rsidRPr="0008734C">
              <w:rPr>
                <w:b/>
                <w:szCs w:val="24"/>
              </w:rPr>
              <w:t>.</w:t>
            </w:r>
            <w:r w:rsidRPr="0008734C">
              <w:rPr>
                <w:szCs w:val="24"/>
              </w:rPr>
              <w:t xml:space="preserve"> </w:t>
            </w:r>
            <w:r w:rsidRPr="0008734C">
              <w:rPr>
                <w:color w:val="000000" w:themeColor="text1"/>
                <w:szCs w:val="24"/>
              </w:rPr>
              <w:t>Lietuva visuomet pasisakė už teisinės valstybės principo apsaugą ES. Pabrėžiame, kad šio principo laikymasis yra visų ES valstybių narių atsakomybė. Esame sunerimę teisinės valstybės principo padėtimi Lenkijoje, ypač atsižvelgiant į spalio mėn. Lenkijos Konstitucinio Tribunolo sprendimą. Pabrėžiame, kad yra būtina išlaikyti konstruktyvų dialogą tarp ES institucijų ir Lenkijos siekiant išspręsti kilusias problemas. Šiam tikslui taip pat gali būti panaudotas tarpininkavimas. Raginame Europos Komisiją priimti tik gerai pagrįstus ir nešališkus sprendimus Lenkijos atžvilgiu.</w:t>
            </w:r>
          </w:p>
          <w:p w14:paraId="79F8A5D5" w14:textId="77777777" w:rsidR="005E781F" w:rsidRPr="0008734C" w:rsidRDefault="005E781F" w:rsidP="004027BD">
            <w:pPr>
              <w:rPr>
                <w:szCs w:val="24"/>
              </w:rPr>
            </w:pPr>
          </w:p>
        </w:tc>
      </w:tr>
    </w:tbl>
    <w:p w14:paraId="693D9446" w14:textId="77777777" w:rsidR="008106A0" w:rsidRPr="0008734C" w:rsidRDefault="008106A0"/>
    <w:tbl>
      <w:tblPr>
        <w:tblStyle w:val="TableGrid"/>
        <w:tblW w:w="0" w:type="auto"/>
        <w:tblInd w:w="-147" w:type="dxa"/>
        <w:tblLook w:val="04A0" w:firstRow="1" w:lastRow="0" w:firstColumn="1" w:lastColumn="0" w:noHBand="0" w:noVBand="1"/>
      </w:tblPr>
      <w:tblGrid>
        <w:gridCol w:w="9775"/>
      </w:tblGrid>
      <w:tr w:rsidR="005E781F" w:rsidRPr="0008734C" w14:paraId="3A0E9264" w14:textId="77777777" w:rsidTr="008106A0">
        <w:tc>
          <w:tcPr>
            <w:tcW w:w="9775" w:type="dxa"/>
            <w:tcBorders>
              <w:top w:val="single" w:sz="4" w:space="0" w:color="auto"/>
              <w:left w:val="single" w:sz="4" w:space="0" w:color="auto"/>
              <w:bottom w:val="single" w:sz="4" w:space="0" w:color="auto"/>
              <w:right w:val="single" w:sz="4" w:space="0" w:color="auto"/>
            </w:tcBorders>
          </w:tcPr>
          <w:p w14:paraId="0E09D00C" w14:textId="77777777" w:rsidR="005E781F" w:rsidRPr="0008734C" w:rsidRDefault="005E781F" w:rsidP="00871D70">
            <w:pPr>
              <w:jc w:val="both"/>
              <w:rPr>
                <w:b/>
                <w:i/>
                <w:szCs w:val="24"/>
              </w:rPr>
            </w:pPr>
            <w:r w:rsidRPr="0008734C">
              <w:rPr>
                <w:b/>
                <w:szCs w:val="24"/>
              </w:rPr>
              <w:t xml:space="preserve">Sąjungos vertybės: Vengrija. Pagrįstas pasiūlymas pagal ES sutarties 7 straipsnio 1 dalį </w:t>
            </w:r>
            <w:r w:rsidRPr="0008734C">
              <w:rPr>
                <w:b/>
                <w:i/>
                <w:szCs w:val="24"/>
              </w:rPr>
              <w:t>Dabartinė padėtis</w:t>
            </w:r>
          </w:p>
          <w:p w14:paraId="297F1F32" w14:textId="77777777" w:rsidR="005E781F" w:rsidRPr="0008734C" w:rsidRDefault="005E781F" w:rsidP="00871D70">
            <w:pPr>
              <w:jc w:val="both"/>
              <w:rPr>
                <w:b/>
                <w:i/>
                <w:szCs w:val="24"/>
              </w:rPr>
            </w:pPr>
          </w:p>
          <w:p w14:paraId="0CDC9BE8" w14:textId="77777777" w:rsidR="005E781F" w:rsidRPr="0008734C" w:rsidRDefault="005E781F" w:rsidP="008106A0">
            <w:pPr>
              <w:jc w:val="both"/>
              <w:rPr>
                <w:color w:val="000000"/>
                <w:szCs w:val="24"/>
              </w:rPr>
            </w:pPr>
            <w:r w:rsidRPr="0008734C">
              <w:rPr>
                <w:b/>
                <w:color w:val="000000"/>
                <w:szCs w:val="24"/>
                <w:u w:val="single"/>
              </w:rPr>
              <w:t>Klausimo esmė</w:t>
            </w:r>
            <w:r w:rsidRPr="0008734C">
              <w:rPr>
                <w:b/>
                <w:color w:val="000000"/>
                <w:szCs w:val="24"/>
              </w:rPr>
              <w:t>.</w:t>
            </w:r>
            <w:r w:rsidRPr="0008734C">
              <w:rPr>
                <w:color w:val="000000"/>
                <w:szCs w:val="24"/>
              </w:rPr>
              <w:t xml:space="preserve"> BRT vyks ketvirtieji Vengrijos klausymai teisinės valstybės klausimu (</w:t>
            </w:r>
            <w:r w:rsidRPr="0008734C">
              <w:rPr>
                <w:rFonts w:eastAsia="Calibri"/>
                <w:bCs/>
                <w:iCs/>
                <w:szCs w:val="24"/>
              </w:rPr>
              <w:t xml:space="preserve">klausymai jau įvyko 2018 m. birželio 26 d., rugsėjo 17 d. ir 2021 m. birželio 22 d.). </w:t>
            </w:r>
            <w:r w:rsidRPr="0008734C">
              <w:rPr>
                <w:color w:val="000000"/>
                <w:szCs w:val="24"/>
              </w:rPr>
              <w:t xml:space="preserve">ES Sutarties </w:t>
            </w:r>
            <w:r w:rsidRPr="0008734C">
              <w:rPr>
                <w:bCs/>
                <w:color w:val="000000"/>
                <w:szCs w:val="24"/>
              </w:rPr>
              <w:t>7 str. procedūra prieš Vengriją</w:t>
            </w:r>
            <w:r w:rsidRPr="0008734C">
              <w:rPr>
                <w:color w:val="000000"/>
                <w:szCs w:val="24"/>
              </w:rPr>
              <w:t xml:space="preserve"> inicijuota Europos Parlamento 2018 m. spalį.</w:t>
            </w:r>
            <w:r w:rsidRPr="0008734C">
              <w:rPr>
                <w:rFonts w:eastAsia="Times New Roman"/>
                <w:szCs w:val="24"/>
              </w:rPr>
              <w:t xml:space="preserve"> Europos Parlamento rezoliucijoje dėl Vengrijos perspėjama, kad Vengrijos veiksmai kelia „sisteminę grėsmę“ bloko pamatinėms demokratinėms vertybėms. Reiškiamas susirūpinimas dėl Vengrijos konstitucinės ir rinkimų sistemos, teismų nepriklausomumo, korupcijos ir įvairių interesų konfliktų, duomenų apsaugos, žodžio laisvės, akademinės laisvės, religijos laisvės, teisės į susirinkimus, mažumų teisių, migrantų teisių apsaugos bei prieglobsčio teisės taikymo, ekonomikos ir socialinių teisių.</w:t>
            </w:r>
            <w:r w:rsidRPr="0008734C">
              <w:rPr>
                <w:color w:val="000000"/>
                <w:szCs w:val="24"/>
              </w:rPr>
              <w:t xml:space="preserve"> Klausymų metu stengiamasi apimti visus šiuos apsektus siekiant įvertinti esamą situaciją probleminiais klausimais.</w:t>
            </w:r>
          </w:p>
          <w:p w14:paraId="0655C57D" w14:textId="77777777" w:rsidR="005E781F" w:rsidRPr="0008734C" w:rsidRDefault="005E781F" w:rsidP="00871D70">
            <w:pPr>
              <w:ind w:firstLine="432"/>
              <w:jc w:val="both"/>
              <w:rPr>
                <w:color w:val="000000"/>
                <w:szCs w:val="24"/>
              </w:rPr>
            </w:pPr>
            <w:r w:rsidRPr="0008734C">
              <w:rPr>
                <w:color w:val="000000"/>
                <w:szCs w:val="24"/>
              </w:rPr>
              <w:t>Vengrijoje, kaip ir Lenkijoje, teisinės valstybės principų įgyvendinimo problemos sąlygojo tai, kad iki šiol dar nėra patvirtintas Ekonomikos gaivinimo planas. Europos Komisija nepatvirtina Vengrijai skirto plano, motyvuodama tuo, kad kyla abejonių, kad ES skirti pinigai bus tinkamai apsaugoti nuo korupcijos ir sukčiavimo. Po praėjusių klausymų, kurių metu LGBTQ+ diskriminacijos klausimai buvo vieni svarbiausių, LGBTQ+ padėtis valstybėje negerėja. 2021 m. liepą Europos Parlamentas priėmė rezoliuciją, kurioje kreipiamasi į Europos Komisiją dėl sankcijų Vengrijai paskelbimo dėl ES vertybių negerbimo užtikrinant LGBTQ teises.</w:t>
            </w:r>
          </w:p>
          <w:p w14:paraId="2385F459" w14:textId="77777777" w:rsidR="005E781F" w:rsidRPr="0008734C" w:rsidRDefault="005E781F" w:rsidP="00871D70">
            <w:pPr>
              <w:ind w:firstLine="432"/>
              <w:jc w:val="both"/>
              <w:rPr>
                <w:color w:val="000000"/>
                <w:szCs w:val="24"/>
              </w:rPr>
            </w:pPr>
          </w:p>
          <w:p w14:paraId="10E84793" w14:textId="619FF71E" w:rsidR="005E781F" w:rsidRPr="0008734C" w:rsidRDefault="005E781F" w:rsidP="008106A0">
            <w:pPr>
              <w:jc w:val="both"/>
              <w:rPr>
                <w:color w:val="000000"/>
                <w:szCs w:val="24"/>
              </w:rPr>
            </w:pPr>
            <w:r w:rsidRPr="0008734C">
              <w:rPr>
                <w:b/>
                <w:szCs w:val="24"/>
                <w:u w:val="single"/>
              </w:rPr>
              <w:t>Lietuvos pozicija</w:t>
            </w:r>
            <w:r w:rsidRPr="0008734C">
              <w:rPr>
                <w:b/>
                <w:szCs w:val="24"/>
              </w:rPr>
              <w:t xml:space="preserve">. </w:t>
            </w:r>
            <w:r w:rsidRPr="0008734C">
              <w:rPr>
                <w:szCs w:val="24"/>
              </w:rPr>
              <w:t>Procedūra pagal ES sutarties 7 straipsnį, inicijuota Europos Parlamento, yra beprecedentė ir politinio pobūdžio, todėl proceso metu yra ypač svarbu užtikrinti procedūros skaidrumą. Tikimės, kad konstruktyvaus dialogo ES Taryboje metu pavyks rasti abiem pusėms priimtinus sprendimus, kurie užtikrintų pagarbą Sąjungos vertybėms Vengrijoje.</w:t>
            </w:r>
          </w:p>
        </w:tc>
      </w:tr>
    </w:tbl>
    <w:p w14:paraId="5859B8BB" w14:textId="77777777" w:rsidR="00AD30AB" w:rsidRPr="0008734C" w:rsidRDefault="00AD30AB" w:rsidP="00AA610F">
      <w:pPr>
        <w:rPr>
          <w:b/>
          <w:i/>
          <w:iCs/>
          <w:szCs w:val="24"/>
        </w:rPr>
      </w:pPr>
    </w:p>
    <w:tbl>
      <w:tblPr>
        <w:tblStyle w:val="TableGrid"/>
        <w:tblW w:w="0" w:type="auto"/>
        <w:tblInd w:w="-147" w:type="dxa"/>
        <w:tblLook w:val="04A0" w:firstRow="1" w:lastRow="0" w:firstColumn="1" w:lastColumn="0" w:noHBand="0" w:noVBand="1"/>
      </w:tblPr>
      <w:tblGrid>
        <w:gridCol w:w="9775"/>
      </w:tblGrid>
      <w:tr w:rsidR="002F67FE" w:rsidRPr="0008734C" w14:paraId="709D139D" w14:textId="77777777" w:rsidTr="008106A0">
        <w:tc>
          <w:tcPr>
            <w:tcW w:w="9775" w:type="dxa"/>
            <w:tcBorders>
              <w:top w:val="single" w:sz="4" w:space="0" w:color="auto"/>
              <w:left w:val="single" w:sz="4" w:space="0" w:color="auto"/>
              <w:bottom w:val="nil"/>
              <w:right w:val="single" w:sz="4" w:space="0" w:color="auto"/>
            </w:tcBorders>
          </w:tcPr>
          <w:p w14:paraId="0510CD35" w14:textId="77777777" w:rsidR="002F67FE" w:rsidRPr="0008734C" w:rsidRDefault="002F67FE" w:rsidP="00CD3FA3">
            <w:pPr>
              <w:rPr>
                <w:b/>
                <w:szCs w:val="24"/>
              </w:rPr>
            </w:pPr>
            <w:r w:rsidRPr="0008734C">
              <w:rPr>
                <w:b/>
                <w:szCs w:val="24"/>
              </w:rPr>
              <w:lastRenderedPageBreak/>
              <w:t>ES pagrindinių teisių agentūros ataskaita:</w:t>
            </w:r>
          </w:p>
        </w:tc>
      </w:tr>
      <w:tr w:rsidR="002F67FE" w:rsidRPr="0008734C" w14:paraId="6E871C88" w14:textId="77777777" w:rsidTr="008106A0">
        <w:tc>
          <w:tcPr>
            <w:tcW w:w="9775" w:type="dxa"/>
            <w:tcBorders>
              <w:top w:val="nil"/>
              <w:left w:val="single" w:sz="4" w:space="0" w:color="auto"/>
              <w:bottom w:val="nil"/>
              <w:right w:val="single" w:sz="4" w:space="0" w:color="auto"/>
            </w:tcBorders>
          </w:tcPr>
          <w:p w14:paraId="55065210" w14:textId="77777777" w:rsidR="002F67FE" w:rsidRPr="0008734C" w:rsidRDefault="002F67FE" w:rsidP="00CD3FA3">
            <w:pPr>
              <w:rPr>
                <w:b/>
                <w:szCs w:val="24"/>
              </w:rPr>
            </w:pPr>
            <w:r w:rsidRPr="0008734C">
              <w:rPr>
                <w:b/>
                <w:szCs w:val="24"/>
              </w:rPr>
              <w:t>„Antisemitizmas: 2010–2020 m. Europos Sąjungoje užfiksuotų antisemitinio pobūdžio incidentų apžvalga“</w:t>
            </w:r>
          </w:p>
        </w:tc>
      </w:tr>
      <w:tr w:rsidR="002F67FE" w:rsidRPr="0008734C" w14:paraId="53E4A897" w14:textId="77777777" w:rsidTr="008106A0">
        <w:tc>
          <w:tcPr>
            <w:tcW w:w="9775" w:type="dxa"/>
            <w:tcBorders>
              <w:top w:val="nil"/>
              <w:left w:val="single" w:sz="4" w:space="0" w:color="auto"/>
              <w:bottom w:val="nil"/>
              <w:right w:val="single" w:sz="4" w:space="0" w:color="auto"/>
            </w:tcBorders>
          </w:tcPr>
          <w:p w14:paraId="505E7CC0" w14:textId="77777777" w:rsidR="002F67FE" w:rsidRPr="0008734C" w:rsidRDefault="002F67FE" w:rsidP="00CD3FA3">
            <w:pPr>
              <w:rPr>
                <w:b/>
                <w:szCs w:val="24"/>
              </w:rPr>
            </w:pPr>
            <w:r w:rsidRPr="0008734C">
              <w:rPr>
                <w:b/>
                <w:szCs w:val="24"/>
              </w:rPr>
              <w:t>Pranešimas</w:t>
            </w:r>
          </w:p>
        </w:tc>
      </w:tr>
      <w:tr w:rsidR="002F67FE" w:rsidRPr="0008734C" w14:paraId="44B635CE" w14:textId="77777777" w:rsidTr="008106A0">
        <w:tc>
          <w:tcPr>
            <w:tcW w:w="9775" w:type="dxa"/>
            <w:tcBorders>
              <w:top w:val="nil"/>
              <w:left w:val="single" w:sz="4" w:space="0" w:color="auto"/>
              <w:bottom w:val="nil"/>
              <w:right w:val="single" w:sz="4" w:space="0" w:color="auto"/>
            </w:tcBorders>
          </w:tcPr>
          <w:p w14:paraId="062496B4" w14:textId="77777777" w:rsidR="002F67FE" w:rsidRPr="0008734C" w:rsidRDefault="002F67FE" w:rsidP="00CD3FA3">
            <w:pPr>
              <w:rPr>
                <w:b/>
                <w:szCs w:val="24"/>
              </w:rPr>
            </w:pPr>
          </w:p>
        </w:tc>
      </w:tr>
      <w:tr w:rsidR="002F67FE" w:rsidRPr="0008734C" w14:paraId="7C4C7F36" w14:textId="77777777" w:rsidTr="008106A0">
        <w:tc>
          <w:tcPr>
            <w:tcW w:w="9775" w:type="dxa"/>
            <w:tcBorders>
              <w:top w:val="nil"/>
              <w:left w:val="single" w:sz="4" w:space="0" w:color="auto"/>
              <w:bottom w:val="nil"/>
              <w:right w:val="single" w:sz="4" w:space="0" w:color="auto"/>
            </w:tcBorders>
          </w:tcPr>
          <w:p w14:paraId="1D3B0571" w14:textId="5C676506" w:rsidR="002F67FE" w:rsidRPr="0008734C" w:rsidRDefault="002F67FE" w:rsidP="00CA2B4D">
            <w:pPr>
              <w:jc w:val="both"/>
              <w:rPr>
                <w:szCs w:val="24"/>
              </w:rPr>
            </w:pPr>
            <w:bookmarkStart w:id="0" w:name="_GoBack" w:colFirst="0" w:colLast="0"/>
            <w:r w:rsidRPr="0008734C">
              <w:rPr>
                <w:b/>
                <w:szCs w:val="24"/>
                <w:u w:val="single"/>
              </w:rPr>
              <w:t>Klausimo esmė</w:t>
            </w:r>
            <w:r w:rsidRPr="0008734C">
              <w:rPr>
                <w:b/>
                <w:szCs w:val="24"/>
              </w:rPr>
              <w:t xml:space="preserve">. </w:t>
            </w:r>
            <w:r w:rsidRPr="0008734C">
              <w:rPr>
                <w:szCs w:val="24"/>
              </w:rPr>
              <w:t xml:space="preserve">BRT posėdžio metu ES pagrindinių teisių agentūros direktorius </w:t>
            </w:r>
            <w:proofErr w:type="spellStart"/>
            <w:r w:rsidRPr="0008734C">
              <w:rPr>
                <w:szCs w:val="24"/>
              </w:rPr>
              <w:t>Michael</w:t>
            </w:r>
            <w:proofErr w:type="spellEnd"/>
            <w:r w:rsidRPr="0008734C">
              <w:rPr>
                <w:szCs w:val="24"/>
              </w:rPr>
              <w:t xml:space="preserve"> </w:t>
            </w:r>
            <w:proofErr w:type="spellStart"/>
            <w:r w:rsidRPr="0008734C">
              <w:rPr>
                <w:szCs w:val="24"/>
              </w:rPr>
              <w:t>O'Flaherty</w:t>
            </w:r>
            <w:proofErr w:type="spellEnd"/>
            <w:r w:rsidRPr="0008734C">
              <w:rPr>
                <w:szCs w:val="24"/>
              </w:rPr>
              <w:t xml:space="preserve"> pristatys agentūros </w:t>
            </w:r>
            <w:r w:rsidR="008F5029" w:rsidRPr="0008734C">
              <w:rPr>
                <w:szCs w:val="24"/>
              </w:rPr>
              <w:t xml:space="preserve">parengtą </w:t>
            </w:r>
            <w:r w:rsidRPr="0008734C">
              <w:rPr>
                <w:szCs w:val="24"/>
              </w:rPr>
              <w:t>ataskaitą „Antisemitizmas: 2010–2020</w:t>
            </w:r>
            <w:r w:rsidR="008F5029" w:rsidRPr="0008734C">
              <w:rPr>
                <w:szCs w:val="24"/>
              </w:rPr>
              <w:t xml:space="preserve"> </w:t>
            </w:r>
            <w:r w:rsidRPr="0008734C">
              <w:rPr>
                <w:szCs w:val="24"/>
              </w:rPr>
              <w:t xml:space="preserve">m. Europos Sąjungoje užfiksuotų antisemitinio pobūdžio incidentų apžvalga“. Klausimas į BRT darbotvarkę įtrauktas Vengrijos iniciatyva. Ataskaitoje </w:t>
            </w:r>
            <w:r w:rsidR="008F5029" w:rsidRPr="0008734C">
              <w:rPr>
                <w:szCs w:val="24"/>
              </w:rPr>
              <w:t xml:space="preserve">pateikta </w:t>
            </w:r>
            <w:r w:rsidRPr="0008734C">
              <w:rPr>
                <w:szCs w:val="24"/>
              </w:rPr>
              <w:t>informacija apie antisemitinio pobūdžio incidentus tiek iš oficialių (valstybės institucijų</w:t>
            </w:r>
            <w:r w:rsidR="008F5029" w:rsidRPr="0008734C">
              <w:rPr>
                <w:szCs w:val="24"/>
              </w:rPr>
              <w:t xml:space="preserve">), </w:t>
            </w:r>
            <w:r w:rsidRPr="0008734C">
              <w:rPr>
                <w:szCs w:val="24"/>
              </w:rPr>
              <w:t xml:space="preserve"> tiek iš neoficialių (NVO ir kt.) šaltinių. Ataskaita apima laikotarpį nuo 2010 sausio 1 d. iki 2020 m. gruodžio mėn. Ataskaitoje minima, kad Lietuvoje, remiantis Valstybės saugumo departamento duomenimis, 2020 m. užfiksuoti 3, 2019 m. 5, o 2018 m.  1 antisemitinio pobūdžio incidenta</w:t>
            </w:r>
            <w:r w:rsidR="008F5029" w:rsidRPr="0008734C">
              <w:rPr>
                <w:szCs w:val="24"/>
              </w:rPr>
              <w:t>i</w:t>
            </w:r>
            <w:r w:rsidRPr="0008734C">
              <w:rPr>
                <w:szCs w:val="24"/>
              </w:rPr>
              <w:t xml:space="preserve">. Remiantis Lietuvos Generalinės prokuratūros duomenimis, 2020 m. buvo pradėta 13 iki teisminių tyrimų dėl su antisemitizmu susijusios neapykantos kalbos. </w:t>
            </w:r>
          </w:p>
        </w:tc>
      </w:tr>
      <w:tr w:rsidR="002F67FE" w:rsidRPr="0008734C" w14:paraId="66C773F6" w14:textId="77777777" w:rsidTr="008106A0">
        <w:tc>
          <w:tcPr>
            <w:tcW w:w="9775" w:type="dxa"/>
            <w:tcBorders>
              <w:top w:val="nil"/>
              <w:left w:val="single" w:sz="4" w:space="0" w:color="auto"/>
              <w:bottom w:val="nil"/>
              <w:right w:val="single" w:sz="4" w:space="0" w:color="auto"/>
            </w:tcBorders>
          </w:tcPr>
          <w:p w14:paraId="1DB93F8B" w14:textId="77777777" w:rsidR="002F67FE" w:rsidRPr="0008734C" w:rsidRDefault="002F67FE" w:rsidP="00CA2B4D">
            <w:pPr>
              <w:jc w:val="both"/>
              <w:rPr>
                <w:b/>
                <w:szCs w:val="24"/>
              </w:rPr>
            </w:pPr>
          </w:p>
        </w:tc>
      </w:tr>
      <w:tr w:rsidR="002F67FE" w:rsidRPr="0008734C" w14:paraId="202A0242" w14:textId="77777777" w:rsidTr="008106A0">
        <w:tc>
          <w:tcPr>
            <w:tcW w:w="9775" w:type="dxa"/>
            <w:tcBorders>
              <w:top w:val="nil"/>
              <w:left w:val="single" w:sz="4" w:space="0" w:color="auto"/>
              <w:bottom w:val="nil"/>
              <w:right w:val="single" w:sz="4" w:space="0" w:color="auto"/>
            </w:tcBorders>
          </w:tcPr>
          <w:p w14:paraId="0CB8949D" w14:textId="523513E0" w:rsidR="002F67FE" w:rsidRPr="0008734C" w:rsidRDefault="002F67FE" w:rsidP="00CA2B4D">
            <w:pPr>
              <w:jc w:val="both"/>
              <w:rPr>
                <w:szCs w:val="24"/>
              </w:rPr>
            </w:pPr>
            <w:r w:rsidRPr="0008734C">
              <w:rPr>
                <w:b/>
                <w:szCs w:val="24"/>
                <w:u w:val="single"/>
              </w:rPr>
              <w:t>Lietuvos pozicija</w:t>
            </w:r>
            <w:r w:rsidRPr="0008734C">
              <w:rPr>
                <w:b/>
                <w:szCs w:val="24"/>
              </w:rPr>
              <w:t xml:space="preserve">. </w:t>
            </w:r>
            <w:r w:rsidRPr="0008734C">
              <w:rPr>
                <w:szCs w:val="24"/>
              </w:rPr>
              <w:t xml:space="preserve">Lietuva palaiko ES pagrindinių teisių agentūros ataskaitą, vertina ją kaip instrumentą, padedantį suprasti su antisemitizmu susijusių incidentų mastą visoje ES. Kartu pabrėžiame būtinybę nuolatos kovoti su panašaus pobūdžio incidentais, stengiantis jiems užkirsti kelią bei užtikrinant efektyvias šių </w:t>
            </w:r>
            <w:r w:rsidR="008106A0" w:rsidRPr="0008734C">
              <w:rPr>
                <w:szCs w:val="24"/>
              </w:rPr>
              <w:t>incidentų prevencijos priemones.</w:t>
            </w:r>
          </w:p>
        </w:tc>
      </w:tr>
      <w:bookmarkEnd w:id="0"/>
      <w:tr w:rsidR="002F67FE" w:rsidRPr="0008734C" w14:paraId="1431C744" w14:textId="77777777" w:rsidTr="008106A0">
        <w:tc>
          <w:tcPr>
            <w:tcW w:w="9775" w:type="dxa"/>
            <w:tcBorders>
              <w:top w:val="nil"/>
              <w:left w:val="single" w:sz="4" w:space="0" w:color="auto"/>
              <w:bottom w:val="single" w:sz="4" w:space="0" w:color="auto"/>
              <w:right w:val="single" w:sz="4" w:space="0" w:color="auto"/>
            </w:tcBorders>
          </w:tcPr>
          <w:p w14:paraId="06A572CD" w14:textId="77777777" w:rsidR="002F67FE" w:rsidRPr="0008734C" w:rsidRDefault="002F67FE" w:rsidP="00CD3FA3">
            <w:pPr>
              <w:rPr>
                <w:b/>
                <w:szCs w:val="24"/>
              </w:rPr>
            </w:pPr>
          </w:p>
        </w:tc>
      </w:tr>
      <w:tr w:rsidR="002F67FE" w:rsidRPr="0008734C" w14:paraId="6D4DDD18" w14:textId="77777777" w:rsidTr="008106A0">
        <w:tc>
          <w:tcPr>
            <w:tcW w:w="9775" w:type="dxa"/>
            <w:tcBorders>
              <w:top w:val="single" w:sz="4" w:space="0" w:color="auto"/>
              <w:left w:val="nil"/>
              <w:bottom w:val="single" w:sz="4" w:space="0" w:color="auto"/>
              <w:right w:val="nil"/>
            </w:tcBorders>
          </w:tcPr>
          <w:p w14:paraId="54B6364C" w14:textId="77777777" w:rsidR="002F67FE" w:rsidRPr="0008734C" w:rsidRDefault="002F67FE" w:rsidP="00CD3FA3">
            <w:pPr>
              <w:rPr>
                <w:b/>
                <w:szCs w:val="24"/>
              </w:rPr>
            </w:pPr>
          </w:p>
        </w:tc>
      </w:tr>
      <w:tr w:rsidR="002F67FE" w:rsidRPr="0008734C" w14:paraId="2EB59190" w14:textId="77777777" w:rsidTr="008106A0">
        <w:tc>
          <w:tcPr>
            <w:tcW w:w="9775" w:type="dxa"/>
            <w:tcBorders>
              <w:top w:val="single" w:sz="4" w:space="0" w:color="auto"/>
              <w:left w:val="single" w:sz="4" w:space="0" w:color="auto"/>
              <w:bottom w:val="single" w:sz="4" w:space="0" w:color="auto"/>
              <w:right w:val="single" w:sz="4" w:space="0" w:color="auto"/>
            </w:tcBorders>
          </w:tcPr>
          <w:p w14:paraId="16D3DAC4" w14:textId="77777777" w:rsidR="002F67FE" w:rsidRPr="0008734C" w:rsidRDefault="002F67FE" w:rsidP="002F67FE">
            <w:pPr>
              <w:pStyle w:val="Default"/>
              <w:rPr>
                <w:b/>
              </w:rPr>
            </w:pPr>
            <w:r w:rsidRPr="0008734C">
              <w:rPr>
                <w:b/>
              </w:rPr>
              <w:t>2022 m. Europos semestras. Veiksmų gairės</w:t>
            </w:r>
          </w:p>
          <w:p w14:paraId="587C414E" w14:textId="77777777" w:rsidR="002F67FE" w:rsidRPr="0008734C" w:rsidRDefault="002F67FE" w:rsidP="002F67FE">
            <w:pPr>
              <w:rPr>
                <w:b/>
                <w:i/>
                <w:iCs/>
                <w:szCs w:val="24"/>
              </w:rPr>
            </w:pPr>
            <w:r w:rsidRPr="0008734C">
              <w:rPr>
                <w:b/>
                <w:i/>
                <w:iCs/>
                <w:szCs w:val="24"/>
              </w:rPr>
              <w:t>Pirmininkaujančios ir pirmininkausiančios valstybių narių pranešimas</w:t>
            </w:r>
          </w:p>
          <w:p w14:paraId="31E23EB4" w14:textId="77777777" w:rsidR="002F67FE" w:rsidRPr="0008734C" w:rsidRDefault="002F67FE" w:rsidP="002F67FE">
            <w:pPr>
              <w:jc w:val="both"/>
              <w:rPr>
                <w:b/>
                <w:szCs w:val="24"/>
              </w:rPr>
            </w:pPr>
          </w:p>
          <w:p w14:paraId="4F8C5269" w14:textId="7AE2C760" w:rsidR="00974306" w:rsidRPr="0008734C" w:rsidRDefault="002F67FE" w:rsidP="00974306">
            <w:pPr>
              <w:jc w:val="both"/>
              <w:rPr>
                <w:szCs w:val="24"/>
              </w:rPr>
            </w:pPr>
            <w:r w:rsidRPr="0008734C">
              <w:rPr>
                <w:b/>
                <w:szCs w:val="24"/>
                <w:u w:val="single"/>
              </w:rPr>
              <w:t>Klausimo esmė</w:t>
            </w:r>
            <w:r w:rsidRPr="0008734C">
              <w:rPr>
                <w:b/>
                <w:szCs w:val="24"/>
              </w:rPr>
              <w:t>.</w:t>
            </w:r>
            <w:r w:rsidRPr="0008734C">
              <w:rPr>
                <w:szCs w:val="24"/>
              </w:rPr>
              <w:t xml:space="preserve"> </w:t>
            </w:r>
            <w:r w:rsidR="00974306" w:rsidRPr="0008734C">
              <w:rPr>
                <w:szCs w:val="24"/>
              </w:rPr>
              <w:t>Pagal nusistovėjusią praktiką, ES tary</w:t>
            </w:r>
            <w:r w:rsidR="00CD4DC4" w:rsidRPr="0008734C">
              <w:rPr>
                <w:szCs w:val="24"/>
              </w:rPr>
              <w:t>b</w:t>
            </w:r>
            <w:r w:rsidR="00974306" w:rsidRPr="0008734C">
              <w:rPr>
                <w:szCs w:val="24"/>
              </w:rPr>
              <w:t xml:space="preserve">ai pirmininkaujanti valstybė ir būsima pirmininkaujanti valstybė parengė 2022 m. Europos semestro veiksmų gaires, kuriose išdėstomi pagrindiniai 2022 m. Europos semestro žingsniai. </w:t>
            </w:r>
          </w:p>
          <w:p w14:paraId="2D218F4D" w14:textId="5B3895F5" w:rsidR="002F67FE" w:rsidRPr="0008734C" w:rsidRDefault="002F67FE" w:rsidP="002F67FE">
            <w:pPr>
              <w:jc w:val="both"/>
              <w:rPr>
                <w:szCs w:val="24"/>
              </w:rPr>
            </w:pPr>
            <w:r w:rsidRPr="0008734C">
              <w:rPr>
                <w:szCs w:val="24"/>
              </w:rPr>
              <w:t>Gairių tiksla</w:t>
            </w:r>
            <w:r w:rsidR="00974306" w:rsidRPr="0008734C">
              <w:rPr>
                <w:szCs w:val="24"/>
              </w:rPr>
              <w:t xml:space="preserve">s - </w:t>
            </w:r>
            <w:r w:rsidRPr="0008734C">
              <w:rPr>
                <w:szCs w:val="24"/>
              </w:rPr>
              <w:t xml:space="preserve"> užtikrinti, kad visos atitinkamos Tarybos sudėtys ir jų parengiamieji organai koordinuotai ir nuosekliai dirbtų rengdamiesi Europos Vadovų Tarybos diskusijoms dėl Europos semestro, ir kad </w:t>
            </w:r>
            <w:r w:rsidR="00974306" w:rsidRPr="0008734C">
              <w:rPr>
                <w:szCs w:val="24"/>
              </w:rPr>
              <w:t>BRT</w:t>
            </w:r>
            <w:r w:rsidRPr="0008734C">
              <w:rPr>
                <w:szCs w:val="24"/>
              </w:rPr>
              <w:t xml:space="preserve"> ir </w:t>
            </w:r>
            <w:proofErr w:type="spellStart"/>
            <w:r w:rsidRPr="0008734C">
              <w:rPr>
                <w:szCs w:val="24"/>
              </w:rPr>
              <w:t>Coreper</w:t>
            </w:r>
            <w:proofErr w:type="spellEnd"/>
            <w:r w:rsidRPr="0008734C">
              <w:rPr>
                <w:szCs w:val="24"/>
              </w:rPr>
              <w:t xml:space="preserve"> galėtų prižiūrėti procesą.</w:t>
            </w:r>
          </w:p>
          <w:p w14:paraId="7B83565C" w14:textId="62DF6FCC" w:rsidR="002F67FE" w:rsidRPr="0008734C" w:rsidRDefault="002F67FE" w:rsidP="002F67FE">
            <w:pPr>
              <w:jc w:val="both"/>
              <w:rPr>
                <w:szCs w:val="24"/>
              </w:rPr>
            </w:pPr>
            <w:r w:rsidRPr="0008734C">
              <w:rPr>
                <w:szCs w:val="24"/>
              </w:rPr>
              <w:t xml:space="preserve">Gairės suskirstytos į du etapus: pirmasis apima laikotarpį iki </w:t>
            </w:r>
            <w:r w:rsidR="00974306" w:rsidRPr="0008734C">
              <w:rPr>
                <w:szCs w:val="24"/>
              </w:rPr>
              <w:t xml:space="preserve">2022 m. </w:t>
            </w:r>
            <w:r w:rsidRPr="0008734C">
              <w:rPr>
                <w:szCs w:val="24"/>
              </w:rPr>
              <w:t>kovo mėn. E</w:t>
            </w:r>
            <w:r w:rsidR="00974306" w:rsidRPr="0008734C">
              <w:rPr>
                <w:szCs w:val="24"/>
              </w:rPr>
              <w:t>VT</w:t>
            </w:r>
            <w:r w:rsidRPr="0008734C">
              <w:rPr>
                <w:szCs w:val="24"/>
              </w:rPr>
              <w:t>, o antrasis, labiau orientacinis, apima laikotarpį tarp E</w:t>
            </w:r>
            <w:r w:rsidR="00974306" w:rsidRPr="0008734C">
              <w:rPr>
                <w:szCs w:val="24"/>
              </w:rPr>
              <w:t>VT posėdžių2022 m.</w:t>
            </w:r>
            <w:r w:rsidRPr="0008734C">
              <w:rPr>
                <w:szCs w:val="24"/>
              </w:rPr>
              <w:t xml:space="preserve"> kovo ir birželio mėn.</w:t>
            </w:r>
          </w:p>
          <w:p w14:paraId="7894FC02" w14:textId="77777777" w:rsidR="002F67FE" w:rsidRPr="0008734C" w:rsidRDefault="002F67FE" w:rsidP="002F67FE">
            <w:pPr>
              <w:rPr>
                <w:rFonts w:eastAsia="Calibri"/>
                <w:b/>
                <w:bCs/>
                <w:szCs w:val="24"/>
              </w:rPr>
            </w:pPr>
            <w:r w:rsidRPr="0008734C">
              <w:rPr>
                <w:rFonts w:eastAsia="Calibri"/>
                <w:b/>
                <w:bCs/>
                <w:szCs w:val="24"/>
              </w:rPr>
              <w:t>2022 m. Europos semestro ciklas trumpai:</w:t>
            </w:r>
          </w:p>
          <w:p w14:paraId="0694CAD9" w14:textId="30D0C0D3" w:rsidR="002F67FE" w:rsidRPr="0008734C" w:rsidRDefault="002F67FE" w:rsidP="00CD4DC4">
            <w:pPr>
              <w:rPr>
                <w:rFonts w:eastAsia="Calibri"/>
                <w:bCs/>
                <w:szCs w:val="24"/>
                <w:u w:val="single"/>
              </w:rPr>
            </w:pPr>
            <w:r w:rsidRPr="0008734C">
              <w:rPr>
                <w:rFonts w:eastAsia="Calibri"/>
                <w:bCs/>
                <w:szCs w:val="24"/>
                <w:u w:val="single"/>
              </w:rPr>
              <w:t>Nacionalinės reformų darbotvarkės ir stabilumo ir (arba) konvergencijos programos</w:t>
            </w:r>
            <w:r w:rsidR="00974306" w:rsidRPr="0008734C">
              <w:rPr>
                <w:rFonts w:eastAsia="Calibri"/>
                <w:bCs/>
                <w:szCs w:val="24"/>
                <w:u w:val="single"/>
              </w:rPr>
              <w:t>.</w:t>
            </w:r>
          </w:p>
          <w:p w14:paraId="15368C86" w14:textId="77777777" w:rsidR="002F67FE" w:rsidRPr="0008734C" w:rsidRDefault="002F67FE" w:rsidP="002F67FE">
            <w:pPr>
              <w:jc w:val="both"/>
              <w:rPr>
                <w:rFonts w:eastAsia="Calibri"/>
                <w:szCs w:val="24"/>
              </w:rPr>
            </w:pPr>
            <w:r w:rsidRPr="0008734C">
              <w:rPr>
                <w:rFonts w:eastAsia="Calibri"/>
                <w:szCs w:val="24"/>
              </w:rPr>
              <w:t xml:space="preserve">Kaip ir ankstesniais Europos semestro ciklais, 2022 m. balandį valstybės narės pateiks šiuos dokumentus, kuriuose bus išdėstyti jų ekonominės ir fiskalinės politikos planai. Pagrindinė naujovė 2022 m. cikle bus ta, kad nacionalinė reformų darbotvarkė (NRD) atliks dvejopą vaidmenį. Kartu su </w:t>
            </w:r>
            <w:r w:rsidRPr="0008734C">
              <w:rPr>
                <w:rFonts w:eastAsia="Calibri"/>
                <w:spacing w:val="2"/>
                <w:szCs w:val="24"/>
                <w:shd w:val="clear" w:color="auto" w:fill="FFFFFF"/>
              </w:rPr>
              <w:t xml:space="preserve">apibendrintomis svarbiausiomis vykdomomis ir planuojamomis </w:t>
            </w:r>
            <w:proofErr w:type="spellStart"/>
            <w:r w:rsidRPr="0008734C">
              <w:rPr>
                <w:rFonts w:eastAsia="Calibri"/>
                <w:spacing w:val="2"/>
                <w:szCs w:val="24"/>
                <w:shd w:val="clear" w:color="auto" w:fill="FFFFFF"/>
              </w:rPr>
              <w:t>struktūrinemis</w:t>
            </w:r>
            <w:proofErr w:type="spellEnd"/>
            <w:r w:rsidRPr="0008734C">
              <w:rPr>
                <w:rFonts w:eastAsia="Calibri"/>
                <w:spacing w:val="2"/>
                <w:szCs w:val="24"/>
                <w:shd w:val="clear" w:color="auto" w:fill="FFFFFF"/>
              </w:rPr>
              <w:t xml:space="preserve"> reformomis (kaip ankstesniais metais), bus pateikta ataskaita</w:t>
            </w:r>
            <w:r w:rsidRPr="0008734C">
              <w:rPr>
                <w:rFonts w:eastAsia="Calibri"/>
                <w:szCs w:val="24"/>
              </w:rPr>
              <w:t xml:space="preserve"> pagal Atkūrimo ir atsparumo priemonių (RRF) ataskaitų rengimo reikalavimus.</w:t>
            </w:r>
          </w:p>
          <w:p w14:paraId="68B9B22A" w14:textId="5AC7A9B9" w:rsidR="002F67FE" w:rsidRPr="0008734C" w:rsidRDefault="002F67FE" w:rsidP="00CD4DC4">
            <w:pPr>
              <w:rPr>
                <w:rFonts w:eastAsia="Calibri"/>
                <w:szCs w:val="24"/>
              </w:rPr>
            </w:pPr>
            <w:r w:rsidRPr="0008734C">
              <w:rPr>
                <w:rFonts w:eastAsia="Calibri"/>
                <w:bCs/>
                <w:szCs w:val="24"/>
                <w:u w:val="single"/>
              </w:rPr>
              <w:t>Šalių ataskaitų (</w:t>
            </w:r>
            <w:proofErr w:type="spellStart"/>
            <w:r w:rsidRPr="0008734C">
              <w:rPr>
                <w:rFonts w:eastAsia="Calibri"/>
                <w:bCs/>
                <w:i/>
                <w:iCs/>
                <w:szCs w:val="24"/>
                <w:u w:val="single"/>
              </w:rPr>
              <w:t>Country</w:t>
            </w:r>
            <w:proofErr w:type="spellEnd"/>
            <w:r w:rsidRPr="0008734C">
              <w:rPr>
                <w:rFonts w:eastAsia="Calibri"/>
                <w:bCs/>
                <w:i/>
                <w:iCs/>
                <w:szCs w:val="24"/>
                <w:u w:val="single"/>
              </w:rPr>
              <w:t xml:space="preserve"> </w:t>
            </w:r>
            <w:proofErr w:type="spellStart"/>
            <w:r w:rsidRPr="0008734C">
              <w:rPr>
                <w:rFonts w:eastAsia="Calibri"/>
                <w:bCs/>
                <w:i/>
                <w:iCs/>
                <w:szCs w:val="24"/>
                <w:u w:val="single"/>
              </w:rPr>
              <w:t>report</w:t>
            </w:r>
            <w:proofErr w:type="spellEnd"/>
            <w:r w:rsidRPr="0008734C">
              <w:rPr>
                <w:rFonts w:eastAsia="Calibri"/>
                <w:bCs/>
                <w:szCs w:val="24"/>
                <w:u w:val="single"/>
              </w:rPr>
              <w:t>) skelbimas</w:t>
            </w:r>
            <w:r w:rsidR="00974306" w:rsidRPr="0008734C">
              <w:rPr>
                <w:rFonts w:eastAsia="Calibri"/>
                <w:szCs w:val="24"/>
              </w:rPr>
              <w:t>.</w:t>
            </w:r>
          </w:p>
          <w:p w14:paraId="36F4EC05" w14:textId="77777777" w:rsidR="002F67FE" w:rsidRPr="0008734C" w:rsidRDefault="002F67FE" w:rsidP="002F67FE">
            <w:pPr>
              <w:jc w:val="both"/>
              <w:rPr>
                <w:rFonts w:eastAsia="Calibri"/>
                <w:szCs w:val="24"/>
              </w:rPr>
            </w:pPr>
            <w:r w:rsidRPr="0008734C">
              <w:rPr>
                <w:rFonts w:eastAsia="Calibri"/>
                <w:szCs w:val="24"/>
              </w:rPr>
              <w:t xml:space="preserve">2022 m. gegužės mėn. šalių ataskaitose bus pateikta ekonominių ir socialinių pokyčių ir iššūkių, su kuriais susiduria valstybės narės, apžvalga bei į ateitį orientuota jų atsparumo analizė. Į apžvalgą bus įtrauktas Europos socialinių teisių ramsčio įgyvendinimo pažangos įvertinimas. Remiantis šia analize, šalių ataskaitose bus nustatyti tie iššūkiai, kurie nebuvo pakankamai išspręsti įgyvendinant Atkūrimo ir atsparumo priemonių (RRF) planus. </w:t>
            </w:r>
          </w:p>
          <w:p w14:paraId="6D0F51D5" w14:textId="38C71771" w:rsidR="002F67FE" w:rsidRPr="0008734C" w:rsidRDefault="002F67FE" w:rsidP="00CD4DC4">
            <w:pPr>
              <w:rPr>
                <w:rFonts w:eastAsia="Calibri"/>
                <w:bCs/>
                <w:szCs w:val="24"/>
              </w:rPr>
            </w:pPr>
            <w:r w:rsidRPr="0008734C">
              <w:rPr>
                <w:rFonts w:eastAsia="Calibri"/>
                <w:bCs/>
                <w:szCs w:val="24"/>
                <w:u w:val="single"/>
              </w:rPr>
              <w:t>Pasiūlymai dėl konkrečioms šalims skirtų rekomendacijų</w:t>
            </w:r>
            <w:r w:rsidR="00974306" w:rsidRPr="0008734C">
              <w:rPr>
                <w:rFonts w:eastAsia="Calibri"/>
                <w:bCs/>
                <w:szCs w:val="24"/>
              </w:rPr>
              <w:t>.</w:t>
            </w:r>
            <w:r w:rsidRPr="0008734C">
              <w:rPr>
                <w:rFonts w:eastAsia="Calibri"/>
                <w:bCs/>
                <w:szCs w:val="24"/>
              </w:rPr>
              <w:t xml:space="preserve"> </w:t>
            </w:r>
          </w:p>
          <w:p w14:paraId="7FC3464C" w14:textId="77777777" w:rsidR="002F67FE" w:rsidRPr="0008734C" w:rsidRDefault="002F67FE" w:rsidP="002F67FE">
            <w:pPr>
              <w:jc w:val="both"/>
              <w:rPr>
                <w:rFonts w:eastAsia="Calibri"/>
                <w:szCs w:val="24"/>
              </w:rPr>
            </w:pPr>
            <w:r w:rsidRPr="0008734C">
              <w:rPr>
                <w:rFonts w:eastAsia="Calibri"/>
                <w:szCs w:val="24"/>
              </w:rPr>
              <w:t xml:space="preserve">Kartu su šalių ataskaitomis, 2022 m. gegužės mėn. Komisija pasiūlys Tarybai priimti konkrečioms šalims skirtas rekomendacijas. Į šalims narėms skirtas rekomendacijas taip pat bus įtrauktos rekomendacijos dėl biudžeto padėties, kaip numatyta Stabilumo ir augimo pakte. Šalių ataskaitos, </w:t>
            </w:r>
            <w:r w:rsidRPr="0008734C">
              <w:rPr>
                <w:rFonts w:eastAsia="Calibri"/>
                <w:szCs w:val="24"/>
              </w:rPr>
              <w:lastRenderedPageBreak/>
              <w:t>išsamios apžvalgos ir pasiūlymai dėl šalims narėms skirtų rekomendacijų bus 2022 m. Europos semestro pavasario paketo dalis.</w:t>
            </w:r>
          </w:p>
          <w:p w14:paraId="016CBD6F" w14:textId="48DB1FD8" w:rsidR="002F67FE" w:rsidRPr="0008734C" w:rsidRDefault="002F67FE" w:rsidP="00CD4DC4">
            <w:pPr>
              <w:rPr>
                <w:rFonts w:eastAsia="Calibri"/>
                <w:bCs/>
                <w:szCs w:val="24"/>
              </w:rPr>
            </w:pPr>
            <w:r w:rsidRPr="0008734C">
              <w:rPr>
                <w:rFonts w:eastAsia="Calibri"/>
                <w:bCs/>
                <w:szCs w:val="24"/>
                <w:u w:val="single"/>
              </w:rPr>
              <w:t>Darnaus vystymosi tikslų integravimas į Europos semestrą</w:t>
            </w:r>
            <w:r w:rsidR="00974306" w:rsidRPr="0008734C">
              <w:rPr>
                <w:rFonts w:eastAsia="Calibri"/>
                <w:bCs/>
                <w:szCs w:val="24"/>
              </w:rPr>
              <w:t>.</w:t>
            </w:r>
          </w:p>
          <w:p w14:paraId="43AC0D7C" w14:textId="77777777" w:rsidR="002F67FE" w:rsidRPr="0008734C" w:rsidRDefault="002F67FE" w:rsidP="002F67FE">
            <w:pPr>
              <w:jc w:val="both"/>
              <w:rPr>
                <w:rFonts w:eastAsia="Calibri"/>
                <w:szCs w:val="24"/>
              </w:rPr>
            </w:pPr>
            <w:r w:rsidRPr="0008734C">
              <w:rPr>
                <w:rFonts w:eastAsia="Calibri"/>
                <w:szCs w:val="24"/>
              </w:rPr>
              <w:t xml:space="preserve">Komisija tęsia savo darbą, siekdama integruoti Darnaus vystymosi tikslus (DVT) į Europos semestrą. 2022 m. Europos semestro cikle visoms valstybėms narėms bus teikiamos visiškai atnaujintos ir nuoseklios DVT ataskaitos. Be to, į šalių ataskaitas bus įtrauktas specialus skyrius, kuriame bus aptariama šalies būklė ir pažanga kiekvienoje DVT srityje. </w:t>
            </w:r>
          </w:p>
          <w:p w14:paraId="3A8E36CC" w14:textId="77777777" w:rsidR="002F67FE" w:rsidRPr="0008734C" w:rsidRDefault="002F67FE" w:rsidP="002F67FE">
            <w:pPr>
              <w:rPr>
                <w:b/>
                <w:szCs w:val="24"/>
              </w:rPr>
            </w:pPr>
          </w:p>
          <w:p w14:paraId="7CD912DD" w14:textId="418A9437" w:rsidR="002F67FE" w:rsidRPr="0008734C" w:rsidRDefault="002F67FE" w:rsidP="00974306">
            <w:pPr>
              <w:rPr>
                <w:b/>
                <w:szCs w:val="24"/>
              </w:rPr>
            </w:pPr>
            <w:r w:rsidRPr="0008734C">
              <w:rPr>
                <w:b/>
                <w:szCs w:val="24"/>
                <w:u w:val="single"/>
              </w:rPr>
              <w:t>Lietuvos pozicija</w:t>
            </w:r>
            <w:r w:rsidRPr="0008734C">
              <w:rPr>
                <w:b/>
                <w:szCs w:val="24"/>
              </w:rPr>
              <w:t>.</w:t>
            </w:r>
            <w:r w:rsidRPr="0008734C">
              <w:rPr>
                <w:szCs w:val="24"/>
              </w:rPr>
              <w:t xml:space="preserve"> </w:t>
            </w:r>
            <w:r w:rsidR="00974306" w:rsidRPr="0008734C">
              <w:rPr>
                <w:szCs w:val="24"/>
              </w:rPr>
              <w:t>Lietuva p</w:t>
            </w:r>
            <w:r w:rsidRPr="0008734C">
              <w:rPr>
                <w:szCs w:val="24"/>
              </w:rPr>
              <w:t xml:space="preserve">ritaria 2022 m. Europos semestro veiksmų </w:t>
            </w:r>
            <w:r w:rsidR="00974306" w:rsidRPr="0008734C">
              <w:rPr>
                <w:szCs w:val="24"/>
              </w:rPr>
              <w:t>gairėms</w:t>
            </w:r>
            <w:r w:rsidRPr="0008734C">
              <w:rPr>
                <w:szCs w:val="24"/>
              </w:rPr>
              <w:t>.  </w:t>
            </w:r>
          </w:p>
        </w:tc>
      </w:tr>
    </w:tbl>
    <w:p w14:paraId="75F56D58" w14:textId="49173B09" w:rsidR="002F67FE" w:rsidRPr="0008734C" w:rsidRDefault="002F67FE" w:rsidP="002F67FE">
      <w:pPr>
        <w:pStyle w:val="Default"/>
      </w:pPr>
    </w:p>
    <w:tbl>
      <w:tblPr>
        <w:tblStyle w:val="TableGrid"/>
        <w:tblW w:w="0" w:type="auto"/>
        <w:tblInd w:w="-147" w:type="dxa"/>
        <w:tblLook w:val="04A0" w:firstRow="1" w:lastRow="0" w:firstColumn="1" w:lastColumn="0" w:noHBand="0" w:noVBand="1"/>
      </w:tblPr>
      <w:tblGrid>
        <w:gridCol w:w="9775"/>
      </w:tblGrid>
      <w:tr w:rsidR="002F67FE" w:rsidRPr="0008734C" w14:paraId="64726277" w14:textId="77777777" w:rsidTr="008106A0">
        <w:trPr>
          <w:trHeight w:val="7649"/>
        </w:trPr>
        <w:tc>
          <w:tcPr>
            <w:tcW w:w="9775" w:type="dxa"/>
          </w:tcPr>
          <w:p w14:paraId="6370B9E2" w14:textId="77777777" w:rsidR="002F67FE" w:rsidRPr="0008734C" w:rsidRDefault="002F67FE" w:rsidP="008C1D6B">
            <w:pPr>
              <w:pStyle w:val="Default"/>
              <w:rPr>
                <w:b/>
              </w:rPr>
            </w:pPr>
            <w:r w:rsidRPr="0008734C">
              <w:rPr>
                <w:b/>
              </w:rPr>
              <w:t>Teisėkūros programavimas: bendra deklaracija dėl 2022 m. ES teisėkūros prioritetų</w:t>
            </w:r>
          </w:p>
          <w:p w14:paraId="41A27A99" w14:textId="626CF464" w:rsidR="00AD257D" w:rsidRPr="0008734C" w:rsidRDefault="002F67FE" w:rsidP="008C1D6B">
            <w:pPr>
              <w:pStyle w:val="Default"/>
              <w:rPr>
                <w:b/>
                <w:i/>
                <w:iCs/>
              </w:rPr>
            </w:pPr>
            <w:r w:rsidRPr="0008734C">
              <w:rPr>
                <w:b/>
                <w:i/>
                <w:iCs/>
              </w:rPr>
              <w:t>Patvirtinimas</w:t>
            </w:r>
          </w:p>
          <w:p w14:paraId="11460A24" w14:textId="77777777" w:rsidR="002F67FE" w:rsidRPr="0008734C" w:rsidRDefault="002F67FE" w:rsidP="008C1D6B">
            <w:pPr>
              <w:pStyle w:val="Default"/>
              <w:rPr>
                <w:b/>
              </w:rPr>
            </w:pPr>
            <w:r w:rsidRPr="0008734C">
              <w:rPr>
                <w:b/>
              </w:rPr>
              <w:t>Tarybos aštuoniolikos mėnesių programa</w:t>
            </w:r>
          </w:p>
          <w:p w14:paraId="46FFB04A" w14:textId="77777777" w:rsidR="002F67FE" w:rsidRPr="0008734C" w:rsidRDefault="002F67FE" w:rsidP="008C1D6B">
            <w:pPr>
              <w:rPr>
                <w:b/>
                <w:bCs/>
                <w:szCs w:val="24"/>
              </w:rPr>
            </w:pPr>
            <w:r w:rsidRPr="0008734C">
              <w:rPr>
                <w:b/>
                <w:szCs w:val="24"/>
              </w:rPr>
              <w:t>(2022 m. sausio 1 d. – 2023 m. birželio 30 d.)</w:t>
            </w:r>
          </w:p>
          <w:p w14:paraId="5A1ADCF9" w14:textId="77777777" w:rsidR="002F67FE" w:rsidRPr="0008734C" w:rsidRDefault="002F67FE" w:rsidP="008C1D6B">
            <w:pPr>
              <w:rPr>
                <w:b/>
                <w:bCs/>
                <w:i/>
                <w:iCs/>
                <w:szCs w:val="24"/>
              </w:rPr>
            </w:pPr>
            <w:r w:rsidRPr="0008734C">
              <w:rPr>
                <w:b/>
                <w:bCs/>
                <w:i/>
                <w:iCs/>
                <w:szCs w:val="24"/>
              </w:rPr>
              <w:t>Patvirtinimas</w:t>
            </w:r>
          </w:p>
          <w:p w14:paraId="539C3158" w14:textId="77777777" w:rsidR="002F67FE" w:rsidRPr="0008734C" w:rsidRDefault="002F67FE" w:rsidP="008C1D6B">
            <w:pPr>
              <w:pStyle w:val="NormalWeb"/>
              <w:spacing w:before="0" w:beforeAutospacing="0" w:after="0" w:afterAutospacing="0"/>
              <w:ind w:firstLine="599"/>
              <w:jc w:val="both"/>
              <w:rPr>
                <w:b/>
                <w:u w:val="single"/>
                <w:lang w:val="lt-LT"/>
              </w:rPr>
            </w:pPr>
          </w:p>
          <w:p w14:paraId="2A1DE499" w14:textId="77777777" w:rsidR="002F67FE" w:rsidRPr="0008734C" w:rsidRDefault="002F67FE" w:rsidP="00CD4DC4">
            <w:pPr>
              <w:pStyle w:val="NormalWeb"/>
              <w:spacing w:before="0" w:beforeAutospacing="0" w:after="0" w:afterAutospacing="0"/>
              <w:jc w:val="both"/>
              <w:rPr>
                <w:lang w:val="lt-LT"/>
              </w:rPr>
            </w:pPr>
            <w:r w:rsidRPr="0008734C">
              <w:rPr>
                <w:b/>
                <w:u w:val="single"/>
                <w:lang w:val="lt-LT"/>
              </w:rPr>
              <w:t>Klausimo esmė</w:t>
            </w:r>
            <w:r w:rsidRPr="0008734C">
              <w:rPr>
                <w:b/>
                <w:lang w:val="lt-LT"/>
              </w:rPr>
              <w:t>.</w:t>
            </w:r>
            <w:r w:rsidRPr="0008734C">
              <w:rPr>
                <w:lang w:val="lt-LT"/>
              </w:rPr>
              <w:t xml:space="preserve"> 2021 m. spalio 19 d. Europos Komisija paskelbė savo darbo programą 2022 metams. Lapkričio 23 d. programa pristatyta BRT metu. Komisija 2022 m. numato pateikti 32 naujas iniciatyvas ir 26 pasiūlymus dėl jau galiojančių teisės aktų supaprastinimo ar peržiūros (REFIT). Programoje atskirai išskirti 76 Komisijos jau pateikti pasiūlymai, kuriuos Komisija laiko prioritetiniais. Komisija planuoja atšaukti 6 pateiktus pasiūlymus bei pasiūlyti panaikinti 1 galiojantį teisės aktą, jiems nebetekus aktualumo.  </w:t>
            </w:r>
          </w:p>
          <w:p w14:paraId="00E6244A" w14:textId="3838E8A4" w:rsidR="002F67FE" w:rsidRPr="0008734C" w:rsidRDefault="002F67FE" w:rsidP="008C1D6B">
            <w:pPr>
              <w:pStyle w:val="NormalWeb"/>
              <w:spacing w:before="0" w:beforeAutospacing="0" w:after="0" w:afterAutospacing="0"/>
              <w:jc w:val="both"/>
              <w:rPr>
                <w:lang w:val="lt-LT"/>
              </w:rPr>
            </w:pPr>
            <w:r w:rsidRPr="0008734C">
              <w:rPr>
                <w:lang w:val="lt-LT"/>
              </w:rPr>
              <w:t xml:space="preserve">Kaip ir kasmet, lapkričio mėn. BRT diskusijos pagrindu </w:t>
            </w:r>
            <w:r w:rsidR="00974306" w:rsidRPr="0008734C">
              <w:rPr>
                <w:lang w:val="lt-LT"/>
              </w:rPr>
              <w:t xml:space="preserve">ES Tarybai </w:t>
            </w:r>
            <w:r w:rsidRPr="0008734C">
              <w:rPr>
                <w:lang w:val="lt-LT"/>
              </w:rPr>
              <w:t>pirmininkaujanti</w:t>
            </w:r>
            <w:r w:rsidR="00974306" w:rsidRPr="0008734C">
              <w:rPr>
                <w:lang w:val="lt-LT"/>
              </w:rPr>
              <w:t xml:space="preserve"> valstybė</w:t>
            </w:r>
            <w:r w:rsidRPr="0008734C">
              <w:rPr>
                <w:lang w:val="lt-LT"/>
              </w:rPr>
              <w:t xml:space="preserve"> rengia Tarybos, Komisijos ir Europos Parlamento bendrą deklaraciją dėl prioritetinių teisėkūros klausimų. Šiame BRT posėdyje numatoma šią deklaraciją patvirtinti. 2022 m. pirmininkavimą ES Tarybai pradės naujas pirmininkaujančių </w:t>
            </w:r>
            <w:r w:rsidR="00974306" w:rsidRPr="0008734C">
              <w:rPr>
                <w:lang w:val="lt-LT"/>
              </w:rPr>
              <w:t xml:space="preserve">valstybių </w:t>
            </w:r>
            <w:r w:rsidRPr="0008734C">
              <w:rPr>
                <w:lang w:val="lt-LT"/>
              </w:rPr>
              <w:t xml:space="preserve">trejetas – Prancūzija (pirmininkaus 2022 m. I </w:t>
            </w:r>
            <w:proofErr w:type="spellStart"/>
            <w:r w:rsidRPr="0008734C">
              <w:rPr>
                <w:lang w:val="lt-LT"/>
              </w:rPr>
              <w:t>pusm</w:t>
            </w:r>
            <w:proofErr w:type="spellEnd"/>
            <w:r w:rsidRPr="0008734C">
              <w:rPr>
                <w:lang w:val="lt-LT"/>
              </w:rPr>
              <w:t xml:space="preserve">.), Čekija (2022 II </w:t>
            </w:r>
            <w:proofErr w:type="spellStart"/>
            <w:r w:rsidRPr="0008734C">
              <w:rPr>
                <w:lang w:val="lt-LT"/>
              </w:rPr>
              <w:t>pusm</w:t>
            </w:r>
            <w:proofErr w:type="spellEnd"/>
            <w:r w:rsidRPr="0008734C">
              <w:rPr>
                <w:lang w:val="lt-LT"/>
              </w:rPr>
              <w:t xml:space="preserve">.) ir Švedija (2023 I </w:t>
            </w:r>
            <w:proofErr w:type="spellStart"/>
            <w:r w:rsidRPr="0008734C">
              <w:rPr>
                <w:lang w:val="lt-LT"/>
              </w:rPr>
              <w:t>pusm</w:t>
            </w:r>
            <w:proofErr w:type="spellEnd"/>
            <w:r w:rsidRPr="0008734C">
              <w:rPr>
                <w:lang w:val="lt-LT"/>
              </w:rPr>
              <w:t xml:space="preserve">.). Pirmininkaujančių </w:t>
            </w:r>
            <w:r w:rsidR="00974306" w:rsidRPr="0008734C">
              <w:rPr>
                <w:lang w:val="lt-LT"/>
              </w:rPr>
              <w:t xml:space="preserve">valstybių </w:t>
            </w:r>
            <w:r w:rsidRPr="0008734C">
              <w:rPr>
                <w:lang w:val="lt-LT"/>
              </w:rPr>
              <w:t xml:space="preserve">trejetas kartu su Vyriausiuoju įgaliotiniu Bendrajai užsienio ir saugumo politikai pateiks bendrą 18 mėnesių pirmininkavimo programą. </w:t>
            </w:r>
          </w:p>
          <w:p w14:paraId="180ACAF4" w14:textId="77777777" w:rsidR="002F67FE" w:rsidRPr="0008734C" w:rsidRDefault="002F67FE" w:rsidP="008C1D6B">
            <w:pPr>
              <w:ind w:firstLine="599"/>
              <w:jc w:val="both"/>
              <w:rPr>
                <w:b/>
                <w:bCs/>
                <w:szCs w:val="24"/>
                <w:u w:val="single"/>
              </w:rPr>
            </w:pPr>
          </w:p>
          <w:p w14:paraId="7118C296" w14:textId="66B1B2CD" w:rsidR="002F67FE" w:rsidRPr="0008734C" w:rsidRDefault="002F67FE" w:rsidP="00CD4DC4">
            <w:pPr>
              <w:jc w:val="both"/>
              <w:rPr>
                <w:szCs w:val="24"/>
              </w:rPr>
            </w:pPr>
            <w:r w:rsidRPr="0008734C">
              <w:rPr>
                <w:b/>
                <w:bCs/>
                <w:szCs w:val="24"/>
                <w:u w:val="single"/>
              </w:rPr>
              <w:t>Lietuvos pozicija</w:t>
            </w:r>
            <w:r w:rsidRPr="0008734C">
              <w:rPr>
                <w:b/>
                <w:bCs/>
                <w:szCs w:val="24"/>
              </w:rPr>
              <w:t xml:space="preserve">. </w:t>
            </w:r>
            <w:r w:rsidR="00DD44A1" w:rsidRPr="0008734C">
              <w:rPr>
                <w:b/>
                <w:bCs/>
                <w:szCs w:val="24"/>
              </w:rPr>
              <w:t xml:space="preserve">Lietuva pritaria </w:t>
            </w:r>
            <w:r w:rsidR="00DD44A1" w:rsidRPr="0008734C">
              <w:rPr>
                <w:b/>
              </w:rPr>
              <w:t>bendrai deklaracijai dėl 2022 m. ES teisėkūros prioritetų.</w:t>
            </w:r>
            <w:r w:rsidR="00DD44A1" w:rsidRPr="0008734C">
              <w:rPr>
                <w:szCs w:val="24"/>
              </w:rPr>
              <w:t xml:space="preserve"> </w:t>
            </w:r>
            <w:r w:rsidRPr="0008734C">
              <w:rPr>
                <w:szCs w:val="24"/>
              </w:rPr>
              <w:t>Lietuva laikosi nuoseklios pozicijos, kad ES teisėkūros prioritetai turi remtis ES Strategine darbotvarke (priim</w:t>
            </w:r>
            <w:r w:rsidR="00DD44A1" w:rsidRPr="0008734C">
              <w:rPr>
                <w:szCs w:val="24"/>
              </w:rPr>
              <w:t>ta</w:t>
            </w:r>
            <w:r w:rsidRPr="0008734C">
              <w:rPr>
                <w:szCs w:val="24"/>
              </w:rPr>
              <w:t xml:space="preserve"> 2019 m. birželio 20 d. E</w:t>
            </w:r>
            <w:r w:rsidR="00DD44A1" w:rsidRPr="0008734C">
              <w:rPr>
                <w:szCs w:val="24"/>
              </w:rPr>
              <w:t>VT</w:t>
            </w:r>
            <w:r w:rsidRPr="0008734C">
              <w:rPr>
                <w:szCs w:val="24"/>
              </w:rPr>
              <w:t xml:space="preserve">). Komisijos darbo programoje 2022 metams taip pat nemažai sąsajų su Lietuvos nuosekliai akcentuojamais prioritetais. Remiantis Komisijos darbo programoje įvardintomis naujomis iniciatyvomis parengtas 2022 metais Lietuvai aktualiausių ES darbotvarkės klausimų sąvadas, patvirtintas 2021 </w:t>
            </w:r>
            <w:r w:rsidR="00DD44A1" w:rsidRPr="0008734C">
              <w:rPr>
                <w:szCs w:val="24"/>
              </w:rPr>
              <w:t>m.</w:t>
            </w:r>
            <w:r w:rsidRPr="0008734C">
              <w:rPr>
                <w:szCs w:val="24"/>
              </w:rPr>
              <w:t xml:space="preserve"> gruodžio 1 d. Vyriausybės pasitarime. Sąvadas pateiktas Seimui, kuris, atsižvelgdamas į Vyriausybės pasiūlymus ir vadovaudamasis Seimo statuto 180</w:t>
            </w:r>
            <w:r w:rsidRPr="0008734C">
              <w:rPr>
                <w:szCs w:val="24"/>
                <w:vertAlign w:val="superscript"/>
              </w:rPr>
              <w:t>4</w:t>
            </w:r>
            <w:r w:rsidRPr="0008734C">
              <w:rPr>
                <w:szCs w:val="24"/>
              </w:rPr>
              <w:t xml:space="preserve"> str., nustatys prioritetus 2022 metams pagal Komisijos darbo programą.</w:t>
            </w:r>
          </w:p>
          <w:p w14:paraId="5DEDF8ED" w14:textId="77777777" w:rsidR="00DD44A1" w:rsidRPr="0008734C" w:rsidRDefault="00DD44A1" w:rsidP="00DD44A1">
            <w:pPr>
              <w:pStyle w:val="Default"/>
              <w:rPr>
                <w:b/>
              </w:rPr>
            </w:pPr>
            <w:r w:rsidRPr="0008734C">
              <w:t>Lietuva pritaria Tarybos aštuoniolikos mėnesių programai.</w:t>
            </w:r>
          </w:p>
          <w:p w14:paraId="0D738B12" w14:textId="77777777" w:rsidR="00DD44A1" w:rsidRPr="0008734C" w:rsidRDefault="00DD44A1" w:rsidP="008C1D6B">
            <w:pPr>
              <w:jc w:val="both"/>
              <w:rPr>
                <w:szCs w:val="24"/>
              </w:rPr>
            </w:pPr>
          </w:p>
          <w:p w14:paraId="4B2EFB7A" w14:textId="53F4CF17" w:rsidR="002F67FE" w:rsidRPr="0008734C" w:rsidRDefault="002F67FE" w:rsidP="008106A0">
            <w:pPr>
              <w:pStyle w:val="Default"/>
              <w:rPr>
                <w:i/>
              </w:rPr>
            </w:pPr>
            <w:r w:rsidRPr="0008734C">
              <w:rPr>
                <w:i/>
              </w:rPr>
              <w:t xml:space="preserve">Pozicija </w:t>
            </w:r>
            <w:r w:rsidR="00DD44A1" w:rsidRPr="0008734C">
              <w:rPr>
                <w:i/>
              </w:rPr>
              <w:t xml:space="preserve">prireikus </w:t>
            </w:r>
            <w:r w:rsidRPr="0008734C">
              <w:rPr>
                <w:i/>
              </w:rPr>
              <w:t xml:space="preserve">bus papildyta darbo tvarka, gavus </w:t>
            </w:r>
            <w:r w:rsidR="00DD44A1" w:rsidRPr="0008734C">
              <w:rPr>
                <w:i/>
              </w:rPr>
              <w:t>Bendrą deklaraciją dėl 2022 m. ES teisėkūros prioritetų ir Tarybos aštuoniolikos mėnesių programą.</w:t>
            </w:r>
          </w:p>
        </w:tc>
      </w:tr>
    </w:tbl>
    <w:p w14:paraId="133865B2" w14:textId="77777777" w:rsidR="002F67FE" w:rsidRPr="0008734C" w:rsidRDefault="002F67FE" w:rsidP="00AA610F">
      <w:pPr>
        <w:rPr>
          <w:bCs/>
          <w:szCs w:val="24"/>
        </w:rPr>
      </w:pPr>
    </w:p>
    <w:sectPr w:rsidR="002F67FE" w:rsidRPr="0008734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A595D" w14:textId="77777777" w:rsidR="00416900" w:rsidRDefault="00416900" w:rsidP="00C56C1D">
      <w:r>
        <w:separator/>
      </w:r>
    </w:p>
  </w:endnote>
  <w:endnote w:type="continuationSeparator" w:id="0">
    <w:p w14:paraId="23B45052" w14:textId="77777777" w:rsidR="00416900" w:rsidRDefault="00416900" w:rsidP="00C5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733258"/>
      <w:docPartObj>
        <w:docPartGallery w:val="Page Numbers (Bottom of Page)"/>
        <w:docPartUnique/>
      </w:docPartObj>
    </w:sdtPr>
    <w:sdtEndPr>
      <w:rPr>
        <w:noProof/>
      </w:rPr>
    </w:sdtEndPr>
    <w:sdtContent>
      <w:p w14:paraId="44E162A7" w14:textId="17497B48" w:rsidR="00C56C1D" w:rsidRPr="00C56C1D" w:rsidRDefault="00C56C1D">
        <w:pPr>
          <w:pStyle w:val="Footer"/>
          <w:jc w:val="right"/>
        </w:pPr>
        <w:r w:rsidRPr="00C56C1D">
          <w:fldChar w:fldCharType="begin"/>
        </w:r>
        <w:r w:rsidRPr="00C56C1D">
          <w:instrText xml:space="preserve"> PAGE   \* MERGEFORMAT </w:instrText>
        </w:r>
        <w:r w:rsidRPr="00C56C1D">
          <w:fldChar w:fldCharType="separate"/>
        </w:r>
        <w:r w:rsidR="00CA2B4D">
          <w:rPr>
            <w:noProof/>
          </w:rPr>
          <w:t>9</w:t>
        </w:r>
        <w:r w:rsidRPr="00C56C1D">
          <w:rPr>
            <w:noProof/>
          </w:rPr>
          <w:fldChar w:fldCharType="end"/>
        </w:r>
      </w:p>
    </w:sdtContent>
  </w:sdt>
  <w:p w14:paraId="15927437" w14:textId="77777777" w:rsidR="00C56C1D" w:rsidRPr="00C56C1D" w:rsidRDefault="00C56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BFFF3" w14:textId="77777777" w:rsidR="00416900" w:rsidRDefault="00416900" w:rsidP="00C56C1D">
      <w:r>
        <w:separator/>
      </w:r>
    </w:p>
  </w:footnote>
  <w:footnote w:type="continuationSeparator" w:id="0">
    <w:p w14:paraId="50F320AB" w14:textId="77777777" w:rsidR="00416900" w:rsidRDefault="00416900" w:rsidP="00C56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B35B0"/>
    <w:multiLevelType w:val="multilevel"/>
    <w:tmpl w:val="6E7278F8"/>
    <w:lvl w:ilvl="0">
      <w:start w:val="2"/>
      <w:numFmt w:val="decimal"/>
      <w:lvlText w:val="%1."/>
      <w:lvlJc w:val="left"/>
      <w:pPr>
        <w:tabs>
          <w:tab w:val="num" w:pos="260"/>
        </w:tabs>
        <w:ind w:left="260" w:hanging="260"/>
      </w:pPr>
      <w:rPr>
        <w:rFonts w:ascii="Times New Roman" w:eastAsia="Times New Roman" w:hAnsi="Times New Roman" w:cs="Times New Roman" w:hint="default"/>
        <w:b/>
        <w:color w:val="000000"/>
        <w:position w:val="0"/>
        <w:sz w:val="24"/>
        <w:szCs w:val="24"/>
        <w:u w:color="000000"/>
        <w:lang w:val="en-US"/>
      </w:rPr>
    </w:lvl>
    <w:lvl w:ilvl="1">
      <w:start w:val="1"/>
      <w:numFmt w:val="decimal"/>
      <w:lvlText w:val="%1.%2."/>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2">
      <w:start w:val="1"/>
      <w:numFmt w:val="decimal"/>
      <w:lvlText w:val="%3."/>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3">
      <w:start w:val="1"/>
      <w:numFmt w:val="decimal"/>
      <w:lvlText w:val="%4."/>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4">
      <w:start w:val="1"/>
      <w:numFmt w:val="decimal"/>
      <w:lvlText w:val="%5."/>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5">
      <w:start w:val="1"/>
      <w:numFmt w:val="decimal"/>
      <w:lvlText w:val="%6."/>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6">
      <w:start w:val="1"/>
      <w:numFmt w:val="decimal"/>
      <w:lvlText w:val="%7."/>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7">
      <w:start w:val="1"/>
      <w:numFmt w:val="decimal"/>
      <w:lvlText w:val="%8."/>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8">
      <w:start w:val="1"/>
      <w:numFmt w:val="decimal"/>
      <w:lvlText w:val="%9."/>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abstractNum>
  <w:abstractNum w:abstractNumId="1" w15:restartNumberingAfterBreak="0">
    <w:nsid w:val="737F1614"/>
    <w:multiLevelType w:val="hybridMultilevel"/>
    <w:tmpl w:val="471C7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AB"/>
    <w:rsid w:val="00082EF0"/>
    <w:rsid w:val="0008734C"/>
    <w:rsid w:val="000F4824"/>
    <w:rsid w:val="002178E7"/>
    <w:rsid w:val="002764AF"/>
    <w:rsid w:val="002945D2"/>
    <w:rsid w:val="002F67FE"/>
    <w:rsid w:val="00402281"/>
    <w:rsid w:val="00416900"/>
    <w:rsid w:val="00423AFC"/>
    <w:rsid w:val="005E781F"/>
    <w:rsid w:val="006D039C"/>
    <w:rsid w:val="00741339"/>
    <w:rsid w:val="007E466E"/>
    <w:rsid w:val="008106A0"/>
    <w:rsid w:val="008558B1"/>
    <w:rsid w:val="00871D70"/>
    <w:rsid w:val="008F5029"/>
    <w:rsid w:val="00974306"/>
    <w:rsid w:val="00AA610F"/>
    <w:rsid w:val="00AD257D"/>
    <w:rsid w:val="00AD30AB"/>
    <w:rsid w:val="00C56C1D"/>
    <w:rsid w:val="00CA2B4D"/>
    <w:rsid w:val="00CD4DC4"/>
    <w:rsid w:val="00D0266E"/>
    <w:rsid w:val="00DD0542"/>
    <w:rsid w:val="00DD44A1"/>
    <w:rsid w:val="00E074A3"/>
    <w:rsid w:val="00E62187"/>
    <w:rsid w:val="00EB2291"/>
    <w:rsid w:val="00EF66A1"/>
    <w:rsid w:val="00F31293"/>
    <w:rsid w:val="00F64D65"/>
    <w:rsid w:val="00F65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F5D6"/>
  <w15:chartTrackingRefBased/>
  <w15:docId w15:val="{B4840FB2-9C14-43A3-A924-69DD48F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0AB"/>
    <w:pPr>
      <w:spacing w:after="0" w:line="240" w:lineRule="auto"/>
    </w:pPr>
    <w:rPr>
      <w:rFonts w:ascii="Times New Roman" w:hAnsi="Times New Roman" w:cs="Times New Roman"/>
      <w:sz w:val="24"/>
    </w:rPr>
  </w:style>
  <w:style w:type="paragraph" w:styleId="Heading1">
    <w:name w:val="heading 1"/>
    <w:basedOn w:val="Normal"/>
    <w:link w:val="Heading1Char"/>
    <w:uiPriority w:val="9"/>
    <w:qFormat/>
    <w:rsid w:val="005E781F"/>
    <w:pPr>
      <w:spacing w:before="100" w:beforeAutospacing="1" w:after="100" w:afterAutospacing="1"/>
      <w:outlineLvl w:val="0"/>
    </w:pPr>
    <w:rPr>
      <w:rFonts w:eastAsia="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30A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D30AB"/>
    <w:pPr>
      <w:spacing w:before="100" w:beforeAutospacing="1" w:after="100" w:afterAutospacing="1"/>
    </w:pPr>
    <w:rPr>
      <w:rFonts w:eastAsia="Times New Roman"/>
      <w:szCs w:val="24"/>
      <w:lang w:val="en-US"/>
    </w:rPr>
  </w:style>
  <w:style w:type="table" w:styleId="TableGrid">
    <w:name w:val="Table Grid"/>
    <w:basedOn w:val="TableNormal"/>
    <w:uiPriority w:val="39"/>
    <w:rsid w:val="00AD3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30AB"/>
    <w:rPr>
      <w:color w:val="0563C1" w:themeColor="hyperlink"/>
      <w:u w:val="single"/>
    </w:rPr>
  </w:style>
  <w:style w:type="paragraph" w:styleId="ListParagraph">
    <w:name w:val="List Paragraph"/>
    <w:basedOn w:val="Normal"/>
    <w:uiPriority w:val="34"/>
    <w:qFormat/>
    <w:rsid w:val="00C56C1D"/>
    <w:pPr>
      <w:spacing w:after="160" w:line="252" w:lineRule="auto"/>
      <w:ind w:left="720"/>
      <w:contextualSpacing/>
    </w:pPr>
    <w:rPr>
      <w:rFonts w:ascii="Calibri" w:hAnsi="Calibri" w:cs="Calibri"/>
      <w:sz w:val="22"/>
    </w:rPr>
  </w:style>
  <w:style w:type="paragraph" w:styleId="Header">
    <w:name w:val="header"/>
    <w:basedOn w:val="Normal"/>
    <w:link w:val="HeaderChar"/>
    <w:uiPriority w:val="99"/>
    <w:unhideWhenUsed/>
    <w:rsid w:val="00C56C1D"/>
    <w:pPr>
      <w:tabs>
        <w:tab w:val="center" w:pos="4819"/>
        <w:tab w:val="right" w:pos="9638"/>
      </w:tabs>
    </w:pPr>
  </w:style>
  <w:style w:type="character" w:customStyle="1" w:styleId="HeaderChar">
    <w:name w:val="Header Char"/>
    <w:basedOn w:val="DefaultParagraphFont"/>
    <w:link w:val="Header"/>
    <w:uiPriority w:val="99"/>
    <w:rsid w:val="00C56C1D"/>
    <w:rPr>
      <w:rFonts w:ascii="Times New Roman" w:hAnsi="Times New Roman" w:cs="Times New Roman"/>
      <w:sz w:val="24"/>
    </w:rPr>
  </w:style>
  <w:style w:type="paragraph" w:styleId="Footer">
    <w:name w:val="footer"/>
    <w:basedOn w:val="Normal"/>
    <w:link w:val="FooterChar"/>
    <w:uiPriority w:val="99"/>
    <w:unhideWhenUsed/>
    <w:rsid w:val="00C56C1D"/>
    <w:pPr>
      <w:tabs>
        <w:tab w:val="center" w:pos="4819"/>
        <w:tab w:val="right" w:pos="9638"/>
      </w:tabs>
    </w:pPr>
  </w:style>
  <w:style w:type="character" w:customStyle="1" w:styleId="FooterChar">
    <w:name w:val="Footer Char"/>
    <w:basedOn w:val="DefaultParagraphFont"/>
    <w:link w:val="Footer"/>
    <w:uiPriority w:val="99"/>
    <w:rsid w:val="00C56C1D"/>
    <w:rPr>
      <w:rFonts w:ascii="Times New Roman" w:hAnsi="Times New Roman" w:cs="Times New Roman"/>
      <w:sz w:val="24"/>
    </w:rPr>
  </w:style>
  <w:style w:type="paragraph" w:styleId="BalloonText">
    <w:name w:val="Balloon Text"/>
    <w:basedOn w:val="Normal"/>
    <w:link w:val="BalloonTextChar"/>
    <w:uiPriority w:val="99"/>
    <w:semiHidden/>
    <w:unhideWhenUsed/>
    <w:rsid w:val="00C56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C1D"/>
    <w:rPr>
      <w:rFonts w:ascii="Segoe UI" w:hAnsi="Segoe UI" w:cs="Segoe UI"/>
      <w:sz w:val="18"/>
      <w:szCs w:val="18"/>
    </w:rPr>
  </w:style>
  <w:style w:type="character" w:styleId="CommentReference">
    <w:name w:val="annotation reference"/>
    <w:basedOn w:val="DefaultParagraphFont"/>
    <w:uiPriority w:val="99"/>
    <w:semiHidden/>
    <w:unhideWhenUsed/>
    <w:rsid w:val="008F5029"/>
    <w:rPr>
      <w:sz w:val="16"/>
      <w:szCs w:val="16"/>
    </w:rPr>
  </w:style>
  <w:style w:type="paragraph" w:styleId="CommentText">
    <w:name w:val="annotation text"/>
    <w:basedOn w:val="Normal"/>
    <w:link w:val="CommentTextChar"/>
    <w:uiPriority w:val="99"/>
    <w:semiHidden/>
    <w:unhideWhenUsed/>
    <w:rsid w:val="008F5029"/>
    <w:rPr>
      <w:sz w:val="20"/>
      <w:szCs w:val="20"/>
    </w:rPr>
  </w:style>
  <w:style w:type="character" w:customStyle="1" w:styleId="CommentTextChar">
    <w:name w:val="Comment Text Char"/>
    <w:basedOn w:val="DefaultParagraphFont"/>
    <w:link w:val="CommentText"/>
    <w:uiPriority w:val="99"/>
    <w:semiHidden/>
    <w:rsid w:val="008F502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029"/>
    <w:rPr>
      <w:b/>
      <w:bCs/>
    </w:rPr>
  </w:style>
  <w:style w:type="character" w:customStyle="1" w:styleId="CommentSubjectChar">
    <w:name w:val="Comment Subject Char"/>
    <w:basedOn w:val="CommentTextChar"/>
    <w:link w:val="CommentSubject"/>
    <w:uiPriority w:val="99"/>
    <w:semiHidden/>
    <w:rsid w:val="008F5029"/>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5E781F"/>
    <w:rPr>
      <w:rFonts w:ascii="Times New Roman" w:eastAsia="Times New Roman" w:hAnsi="Times New Roman" w:cs="Times New Roman"/>
      <w:b/>
      <w:bCs/>
      <w:kern w:val="36"/>
      <w:sz w:val="48"/>
      <w:szCs w:val="48"/>
      <w:lang w:eastAsia="lt-LT"/>
    </w:rPr>
  </w:style>
  <w:style w:type="character" w:styleId="Emphasis">
    <w:name w:val="Emphasis"/>
    <w:basedOn w:val="DefaultParagraphFont"/>
    <w:uiPriority w:val="20"/>
    <w:qFormat/>
    <w:rsid w:val="005E781F"/>
    <w:rPr>
      <w:i/>
      <w:iCs/>
    </w:rPr>
  </w:style>
  <w:style w:type="character" w:customStyle="1" w:styleId="y2iqfc">
    <w:name w:val="y2iqfc"/>
    <w:basedOn w:val="DefaultParagraphFont"/>
    <w:rsid w:val="005E7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22164</Words>
  <Characters>12634</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2021-12-06T14:21:00Z</dcterms:created>
  <dc:creator>Dominykas Goda</dc:creator>
  <cp:lastModifiedBy>Dominykas Goda</cp:lastModifiedBy>
  <cp:lastPrinted>2021-12-03T12:42:00Z</cp:lastPrinted>
  <dcterms:modified xsi:type="dcterms:W3CDTF">2021-12-07T13:07:00Z</dcterms:modified>
  <cp:revision>4</cp:revision>
</cp:coreProperties>
</file>