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ADE00" w14:textId="77777777" w:rsidR="004B217F" w:rsidRPr="00077641" w:rsidRDefault="004B217F">
      <w:pPr>
        <w:pStyle w:val="BodyA"/>
        <w:rPr>
          <w:rFonts w:eastAsia="Times New Roman Bold" w:hAnsi="Times New Roman" w:cs="Times New Roman"/>
          <w:lang w:val="lt-LT"/>
        </w:rPr>
      </w:pPr>
    </w:p>
    <w:p w14:paraId="5B336F34" w14:textId="77777777" w:rsidR="004B217F" w:rsidRPr="00077641" w:rsidRDefault="004B217F">
      <w:pPr>
        <w:pStyle w:val="BodyA"/>
        <w:rPr>
          <w:rFonts w:eastAsia="Times New Roman Bold" w:hAnsi="Times New Roman" w:cs="Times New Roman"/>
          <w:lang w:val="lt-LT"/>
        </w:rPr>
      </w:pPr>
    </w:p>
    <w:p w14:paraId="5F3E097C" w14:textId="77777777" w:rsidR="003C4B90" w:rsidRPr="00077641" w:rsidRDefault="00EE1216">
      <w:pPr>
        <w:pStyle w:val="BodyA"/>
        <w:jc w:val="center"/>
        <w:rPr>
          <w:rFonts w:hAnsi="Times New Roman" w:cs="Times New Roman"/>
          <w:b/>
          <w:lang w:val="lt-LT"/>
        </w:rPr>
      </w:pPr>
      <w:r w:rsidRPr="00077641">
        <w:rPr>
          <w:rFonts w:hAnsi="Times New Roman" w:cs="Times New Roman"/>
          <w:b/>
          <w:lang w:val="lt-LT"/>
        </w:rPr>
        <w:t xml:space="preserve">ES </w:t>
      </w:r>
      <w:r w:rsidR="002C7E0C" w:rsidRPr="00077641">
        <w:rPr>
          <w:rFonts w:hAnsi="Times New Roman" w:cs="Times New Roman"/>
          <w:b/>
          <w:lang w:val="lt-LT"/>
        </w:rPr>
        <w:t>TEISINGUMO IR VIDAUS REIKALŲ TARYBA</w:t>
      </w:r>
    </w:p>
    <w:p w14:paraId="69FED3F4" w14:textId="77777777" w:rsidR="004B217F" w:rsidRPr="00077641" w:rsidRDefault="003C4B90">
      <w:pPr>
        <w:pStyle w:val="BodyA"/>
        <w:jc w:val="center"/>
        <w:rPr>
          <w:rFonts w:eastAsia="Times New Roman Bold" w:hAnsi="Times New Roman" w:cs="Times New Roman"/>
          <w:b/>
          <w:lang w:val="lt-LT"/>
        </w:rPr>
      </w:pPr>
      <w:r w:rsidRPr="00077641">
        <w:rPr>
          <w:rFonts w:hAnsi="Times New Roman" w:cs="Times New Roman"/>
          <w:b/>
          <w:lang w:val="lt-LT"/>
        </w:rPr>
        <w:t xml:space="preserve">2020 M. </w:t>
      </w:r>
      <w:r w:rsidR="00416028" w:rsidRPr="00077641">
        <w:rPr>
          <w:rFonts w:hAnsi="Times New Roman" w:cs="Times New Roman"/>
          <w:b/>
          <w:lang w:val="lt-LT"/>
        </w:rPr>
        <w:t>GRUODŽIO</w:t>
      </w:r>
      <w:r w:rsidRPr="00077641">
        <w:rPr>
          <w:rFonts w:hAnsi="Times New Roman" w:cs="Times New Roman"/>
          <w:b/>
          <w:lang w:val="lt-LT"/>
        </w:rPr>
        <w:t xml:space="preserve"> 1</w:t>
      </w:r>
      <w:r w:rsidR="00416028" w:rsidRPr="00077641">
        <w:rPr>
          <w:rFonts w:hAnsi="Times New Roman" w:cs="Times New Roman"/>
          <w:b/>
          <w:lang w:val="lt-LT"/>
        </w:rPr>
        <w:t>4</w:t>
      </w:r>
      <w:r w:rsidRPr="00077641">
        <w:rPr>
          <w:rFonts w:hAnsi="Times New Roman" w:cs="Times New Roman"/>
          <w:b/>
          <w:lang w:val="lt-LT"/>
        </w:rPr>
        <w:t xml:space="preserve"> D., BRIUSELIS</w:t>
      </w:r>
    </w:p>
    <w:p w14:paraId="701625C8" w14:textId="77777777" w:rsidR="004B217F" w:rsidRPr="00077641" w:rsidRDefault="004B217F">
      <w:pPr>
        <w:pStyle w:val="BodyA"/>
        <w:rPr>
          <w:rFonts w:eastAsia="Times New Roman Bold" w:hAnsi="Times New Roman" w:cs="Times New Roman"/>
          <w:lang w:val="lt-LT"/>
        </w:rPr>
      </w:pPr>
    </w:p>
    <w:p w14:paraId="1CB46A50" w14:textId="77777777" w:rsidR="004B217F" w:rsidRPr="00077641" w:rsidRDefault="004B217F">
      <w:pPr>
        <w:pStyle w:val="BodyA"/>
        <w:rPr>
          <w:rFonts w:eastAsia="Times New Roman Bold"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077641" w14:paraId="178482A5" w14:textId="77777777" w:rsidTr="00946AC6">
        <w:trPr>
          <w:trHeight w:val="9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F2DE4" w14:textId="77777777" w:rsidR="003264C9" w:rsidRPr="00077641" w:rsidRDefault="00EE1216" w:rsidP="002C67CC">
            <w:pPr>
              <w:pStyle w:val="BodyA"/>
              <w:rPr>
                <w:rFonts w:hAnsi="Times New Roman" w:cs="Times New Roman"/>
                <w:b/>
                <w:lang w:val="lt-LT"/>
              </w:rPr>
            </w:pPr>
            <w:r w:rsidRPr="00077641">
              <w:rPr>
                <w:rFonts w:hAnsi="Times New Roman" w:cs="Times New Roman"/>
                <w:b/>
                <w:lang w:val="lt-LT"/>
              </w:rPr>
              <w:t xml:space="preserve">1. </w:t>
            </w:r>
            <w:r w:rsidR="002C67CC" w:rsidRPr="00077641">
              <w:rPr>
                <w:rFonts w:hAnsi="Times New Roman" w:cs="Times New Roman"/>
                <w:b/>
                <w:bCs/>
                <w:lang w:val="lt-LT"/>
              </w:rPr>
              <w:t>M</w:t>
            </w:r>
            <w:r w:rsidR="003264C9" w:rsidRPr="00077641">
              <w:rPr>
                <w:rFonts w:hAnsi="Times New Roman" w:cs="Times New Roman"/>
                <w:b/>
                <w:bCs/>
                <w:lang w:val="lt-LT"/>
              </w:rPr>
              <w:t>igracijos ir prieglobsčio paktas</w:t>
            </w:r>
          </w:p>
          <w:p w14:paraId="6E7071D2" w14:textId="77777777" w:rsidR="003264C9" w:rsidRPr="00077641" w:rsidRDefault="003E0211" w:rsidP="00946AC6">
            <w:pPr>
              <w:pStyle w:val="Sraopastraipa"/>
              <w:numPr>
                <w:ilvl w:val="0"/>
                <w:numId w:val="38"/>
              </w:numPr>
              <w:ind w:hanging="375"/>
              <w:rPr>
                <w:rFonts w:hAnsi="Times New Roman" w:cs="Times New Roman"/>
                <w:lang w:val="lt-LT"/>
              </w:rPr>
            </w:pPr>
            <w:r w:rsidRPr="00077641">
              <w:rPr>
                <w:rFonts w:hAnsi="Times New Roman" w:cs="Times New Roman"/>
                <w:i/>
                <w:lang w:val="lt-LT"/>
              </w:rPr>
              <w:t>Politinė diskusija</w:t>
            </w:r>
          </w:p>
          <w:p w14:paraId="6ACB7801" w14:textId="77777777" w:rsidR="002C67CC" w:rsidRPr="00077641" w:rsidRDefault="002C67CC" w:rsidP="0058250F">
            <w:pPr>
              <w:spacing w:after="120"/>
              <w:rPr>
                <w:b/>
                <w:u w:val="single"/>
                <w:lang w:val="lt-LT"/>
              </w:rPr>
            </w:pPr>
            <w:r w:rsidRPr="00077641">
              <w:rPr>
                <w:b/>
                <w:u w:val="single"/>
                <w:lang w:val="lt-LT"/>
              </w:rPr>
              <w:t>Klausimo esmė:</w:t>
            </w:r>
          </w:p>
          <w:p w14:paraId="1AC79BCD" w14:textId="5CE1BF1F" w:rsidR="008B2A52" w:rsidRPr="00077641" w:rsidRDefault="002C67CC" w:rsidP="00E90989">
            <w:pPr>
              <w:pStyle w:val="BodyA"/>
              <w:tabs>
                <w:tab w:val="left" w:pos="62"/>
              </w:tabs>
              <w:jc w:val="both"/>
              <w:rPr>
                <w:rStyle w:val="tlid-translation"/>
              </w:rPr>
            </w:pPr>
            <w:r w:rsidRPr="00077641">
              <w:rPr>
                <w:rStyle w:val="tlid-translation"/>
                <w:rFonts w:hAnsi="Times New Roman" w:cs="Times New Roman"/>
                <w:lang w:val="lt-LT"/>
              </w:rPr>
              <w:t xml:space="preserve">Š. m. rugsėjo 23 d. Europos Komisija pristatė naująjį Migracijos ir prieglobsčio paktą (toliau – Paktas). Paktas apima įvairius elementus, reikalingus visapusiškam Europos požiūriui į migracijos valdymą. Pakte </w:t>
            </w:r>
            <w:r w:rsidRPr="00077641">
              <w:rPr>
                <w:rStyle w:val="tlid-translation"/>
                <w:rFonts w:hAnsi="Times New Roman" w:cs="Times New Roman"/>
                <w:b/>
                <w:lang w:val="lt-LT"/>
              </w:rPr>
              <w:t>i</w:t>
            </w:r>
            <w:r w:rsidRPr="00E90989">
              <w:rPr>
                <w:rStyle w:val="tlid-translation"/>
                <w:rFonts w:hAnsi="Times New Roman" w:cs="Times New Roman"/>
                <w:lang w:val="lt-LT"/>
              </w:rPr>
              <w:t>šdėstytas</w:t>
            </w:r>
            <w:r w:rsidRPr="00077641">
              <w:rPr>
                <w:rStyle w:val="tlid-translation"/>
                <w:rFonts w:hAnsi="Times New Roman" w:cs="Times New Roman"/>
                <w:lang w:val="lt-LT"/>
              </w:rPr>
              <w:t xml:space="preserve"> naujas Komisijos požiūris į migraciją, integruojantis migracijos politikos vidaus ir išorės aspektus, apimantis skirtingas teisines ir neteisines priemones, ir apibrėžiama, kokių priemonių Komisija imasi dar šiandien bei kokių numačiusi imtis vėliau.</w:t>
            </w:r>
            <w:r w:rsidR="00731F0F" w:rsidRPr="00077641">
              <w:rPr>
                <w:rStyle w:val="tlid-translation"/>
                <w:rFonts w:hAnsi="Times New Roman" w:cs="Times New Roman"/>
                <w:lang w:val="lt-LT"/>
              </w:rPr>
              <w:t xml:space="preserve"> Kartu su komunikatu dėl Pakto Europos </w:t>
            </w:r>
            <w:r w:rsidR="008B2A52" w:rsidRPr="00077641">
              <w:rPr>
                <w:rStyle w:val="tlid-translation"/>
                <w:rFonts w:hAnsi="Times New Roman" w:cs="Times New Roman"/>
                <w:lang w:val="lt-LT"/>
              </w:rPr>
              <w:t>Komisija pateik</w:t>
            </w:r>
            <w:r w:rsidR="00731F0F" w:rsidRPr="00077641">
              <w:rPr>
                <w:rStyle w:val="tlid-translation"/>
                <w:rFonts w:hAnsi="Times New Roman" w:cs="Times New Roman"/>
                <w:lang w:val="lt-LT"/>
              </w:rPr>
              <w:t>ė</w:t>
            </w:r>
            <w:r w:rsidR="008B2A52" w:rsidRPr="00077641">
              <w:rPr>
                <w:rStyle w:val="tlid-translation"/>
                <w:rFonts w:hAnsi="Times New Roman" w:cs="Times New Roman"/>
                <w:lang w:val="lt-LT"/>
              </w:rPr>
              <w:t xml:space="preserve"> 9 priemonių rinkinį:</w:t>
            </w:r>
          </w:p>
          <w:p w14:paraId="76B0CE6D" w14:textId="77777777" w:rsidR="008B2A52" w:rsidRPr="00077641" w:rsidRDefault="008B2A52" w:rsidP="008B2A52">
            <w:pPr>
              <w:pStyle w:val="prastasiniatinklio"/>
              <w:spacing w:before="0" w:beforeAutospacing="0" w:after="0" w:afterAutospacing="0"/>
              <w:jc w:val="both"/>
              <w:rPr>
                <w:b/>
                <w:color w:val="000000"/>
              </w:rPr>
            </w:pPr>
            <w:r w:rsidRPr="00077641">
              <w:rPr>
                <w:rStyle w:val="tlid-translation"/>
                <w:b/>
                <w:color w:val="000000"/>
              </w:rPr>
              <w:t>Teisėkūros priemonės:</w:t>
            </w:r>
          </w:p>
          <w:p w14:paraId="77EC2C52" w14:textId="77777777" w:rsidR="008B2A52" w:rsidRPr="00077641" w:rsidRDefault="008B2A52" w:rsidP="008B2A52">
            <w:pPr>
              <w:pStyle w:val="prastasiniatinklio"/>
              <w:spacing w:before="0" w:beforeAutospacing="0" w:after="0" w:afterAutospacing="0"/>
              <w:jc w:val="both"/>
              <w:rPr>
                <w:color w:val="000000"/>
              </w:rPr>
            </w:pPr>
            <w:r w:rsidRPr="00077641">
              <w:rPr>
                <w:rStyle w:val="tlid-translation"/>
                <w:color w:val="000000"/>
              </w:rPr>
              <w:t>1. Pakoreguotas pasiūlymas dėl Prieglobsčio procedūrų reglamento;</w:t>
            </w:r>
          </w:p>
          <w:p w14:paraId="3A6D4864" w14:textId="77777777" w:rsidR="008B2A52" w:rsidRPr="00077641" w:rsidRDefault="008B2A52" w:rsidP="008B2A52">
            <w:pPr>
              <w:pStyle w:val="prastasiniatinklio"/>
              <w:spacing w:before="0" w:beforeAutospacing="0" w:after="0" w:afterAutospacing="0"/>
              <w:jc w:val="both"/>
              <w:rPr>
                <w:color w:val="000000"/>
              </w:rPr>
            </w:pPr>
            <w:r w:rsidRPr="00077641">
              <w:rPr>
                <w:rStyle w:val="tlid-translation"/>
                <w:color w:val="000000"/>
              </w:rPr>
              <w:t>2. Pakoreguotas pasiūlymas dėl </w:t>
            </w:r>
            <w:r w:rsidRPr="00077641">
              <w:rPr>
                <w:rStyle w:val="Emfaz"/>
                <w:color w:val="000000"/>
              </w:rPr>
              <w:t>Eurodac</w:t>
            </w:r>
            <w:r w:rsidRPr="00077641">
              <w:rPr>
                <w:rStyle w:val="tlid-translation"/>
                <w:color w:val="000000"/>
              </w:rPr>
              <w:t> reglamento;</w:t>
            </w:r>
          </w:p>
          <w:p w14:paraId="0D7EEEE3" w14:textId="77777777" w:rsidR="008B2A52" w:rsidRPr="00077641" w:rsidRDefault="008B2A52" w:rsidP="008B2A52">
            <w:pPr>
              <w:pStyle w:val="prastasiniatinklio"/>
              <w:spacing w:before="0" w:beforeAutospacing="0" w:after="0" w:afterAutospacing="0"/>
              <w:jc w:val="both"/>
              <w:rPr>
                <w:color w:val="000000"/>
              </w:rPr>
            </w:pPr>
            <w:r w:rsidRPr="00077641">
              <w:rPr>
                <w:rStyle w:val="tlid-translation"/>
                <w:color w:val="000000"/>
              </w:rPr>
              <w:t>3. Naujas reglamentas dėl prieglobsčio ir migracijos valdymo;</w:t>
            </w:r>
          </w:p>
          <w:p w14:paraId="599F23AD" w14:textId="77777777" w:rsidR="008B2A52" w:rsidRPr="00077641" w:rsidRDefault="008B2A52" w:rsidP="008B2A52">
            <w:pPr>
              <w:pStyle w:val="prastasiniatinklio"/>
              <w:spacing w:before="0" w:beforeAutospacing="0" w:after="0" w:afterAutospacing="0"/>
              <w:jc w:val="both"/>
              <w:rPr>
                <w:color w:val="000000"/>
              </w:rPr>
            </w:pPr>
            <w:r w:rsidRPr="00077641">
              <w:rPr>
                <w:rStyle w:val="tlid-translation"/>
                <w:color w:val="000000"/>
              </w:rPr>
              <w:t>4. Naujas reglamentas dėl krizinių ir </w:t>
            </w:r>
            <w:r w:rsidRPr="00077641">
              <w:rPr>
                <w:rStyle w:val="Emfaz"/>
                <w:color w:val="000000"/>
              </w:rPr>
              <w:t>force majeure </w:t>
            </w:r>
            <w:r w:rsidRPr="00077641">
              <w:rPr>
                <w:rStyle w:val="tlid-translation"/>
                <w:color w:val="000000"/>
              </w:rPr>
              <w:t>situacijų valdymo.</w:t>
            </w:r>
          </w:p>
          <w:p w14:paraId="492879F1" w14:textId="77777777" w:rsidR="008B2A52" w:rsidRPr="00077641" w:rsidRDefault="008B2A52" w:rsidP="008B2A52">
            <w:pPr>
              <w:pStyle w:val="prastasiniatinklio"/>
              <w:spacing w:before="0" w:beforeAutospacing="0" w:after="0" w:afterAutospacing="0"/>
              <w:jc w:val="both"/>
              <w:rPr>
                <w:b/>
                <w:color w:val="000000"/>
              </w:rPr>
            </w:pPr>
            <w:r w:rsidRPr="00077641">
              <w:rPr>
                <w:rStyle w:val="tlid-translation"/>
                <w:b/>
                <w:color w:val="000000"/>
              </w:rPr>
              <w:t>Rekomendacijos:</w:t>
            </w:r>
          </w:p>
          <w:p w14:paraId="30DAE114" w14:textId="77777777" w:rsidR="008B2A52" w:rsidRPr="00077641" w:rsidRDefault="008B2A52" w:rsidP="008B2A52">
            <w:pPr>
              <w:pStyle w:val="prastasiniatinklio"/>
              <w:spacing w:before="0" w:beforeAutospacing="0" w:after="0" w:afterAutospacing="0"/>
              <w:jc w:val="both"/>
              <w:rPr>
                <w:color w:val="000000"/>
              </w:rPr>
            </w:pPr>
            <w:r w:rsidRPr="00077641">
              <w:rPr>
                <w:color w:val="000000"/>
              </w:rPr>
              <w:t>6. Rekomendacija dėl ES mechanizmo pasirengimo krizėms, susijusioms su migracija, ir jų valdymui (Blueprint);</w:t>
            </w:r>
          </w:p>
          <w:p w14:paraId="57F97D87" w14:textId="77777777" w:rsidR="008B2A52" w:rsidRPr="00077641" w:rsidRDefault="008B2A52" w:rsidP="008B2A52">
            <w:pPr>
              <w:pStyle w:val="prastasiniatinklio"/>
              <w:spacing w:before="0" w:beforeAutospacing="0" w:after="0" w:afterAutospacing="0"/>
              <w:jc w:val="both"/>
              <w:rPr>
                <w:color w:val="000000"/>
              </w:rPr>
            </w:pPr>
            <w:r w:rsidRPr="00077641">
              <w:rPr>
                <w:color w:val="000000"/>
              </w:rPr>
              <w:t>7. Rekomendacija dėl  perkėlimo (resettlement) ir kitų teisėto atvykimo iš trečiųjų šalių kelių;</w:t>
            </w:r>
          </w:p>
          <w:p w14:paraId="195185E7" w14:textId="77777777" w:rsidR="008B2A52" w:rsidRPr="00077641" w:rsidRDefault="008B2A52" w:rsidP="008B2A52">
            <w:pPr>
              <w:pStyle w:val="prastasiniatinklio"/>
              <w:spacing w:before="0" w:beforeAutospacing="0" w:after="0" w:afterAutospacing="0"/>
              <w:rPr>
                <w:color w:val="000000"/>
              </w:rPr>
            </w:pPr>
            <w:r w:rsidRPr="00077641">
              <w:rPr>
                <w:color w:val="000000"/>
              </w:rPr>
              <w:t>8. </w:t>
            </w:r>
            <w:r w:rsidRPr="00077641">
              <w:rPr>
                <w:rStyle w:val="tlid-translation"/>
                <w:color w:val="000000"/>
              </w:rPr>
              <w:t>Rekomendacija dėl paieškos ir gelbėjimo (SAR) operacijų privačiais laivais.</w:t>
            </w:r>
          </w:p>
          <w:p w14:paraId="678AAAEF" w14:textId="77777777" w:rsidR="008B2A52" w:rsidRPr="00077641" w:rsidRDefault="008B2A52" w:rsidP="008B2A52">
            <w:pPr>
              <w:pStyle w:val="prastasiniatinklio"/>
              <w:spacing w:before="0" w:beforeAutospacing="0" w:after="0" w:afterAutospacing="0"/>
              <w:jc w:val="both"/>
              <w:rPr>
                <w:b/>
                <w:color w:val="000000"/>
              </w:rPr>
            </w:pPr>
            <w:r w:rsidRPr="00077641">
              <w:rPr>
                <w:rStyle w:val="tlid-translation"/>
                <w:b/>
                <w:color w:val="000000"/>
              </w:rPr>
              <w:t>Gairės:</w:t>
            </w:r>
          </w:p>
          <w:p w14:paraId="4DCC7F9F" w14:textId="77777777" w:rsidR="002C67CC" w:rsidRPr="00077641" w:rsidRDefault="008B2A52" w:rsidP="00A31080">
            <w:pPr>
              <w:pStyle w:val="prastasiniatinklio"/>
              <w:spacing w:before="0" w:beforeAutospacing="0" w:after="120" w:afterAutospacing="0"/>
              <w:jc w:val="both"/>
              <w:rPr>
                <w:rStyle w:val="tlid-translation"/>
                <w:color w:val="000000"/>
              </w:rPr>
            </w:pPr>
            <w:r w:rsidRPr="00077641">
              <w:rPr>
                <w:rStyle w:val="tlid-translation"/>
                <w:color w:val="000000"/>
              </w:rPr>
              <w:t>9. </w:t>
            </w:r>
            <w:r w:rsidRPr="00077641">
              <w:rPr>
                <w:color w:val="222222"/>
              </w:rPr>
              <w:t>Gairės dėl ES taisyklių, susijusių su padėjimo neteisėtai atvykti, vykti tranzitu ir apsigyventi, apibrėžimo ir prevencijos įgyvendinimo.</w:t>
            </w:r>
          </w:p>
          <w:p w14:paraId="3948C6B6" w14:textId="164BAB71" w:rsidR="00A31080" w:rsidRPr="00077641" w:rsidRDefault="00A31080" w:rsidP="00A31080">
            <w:pPr>
              <w:pStyle w:val="prastasiniatinklio"/>
              <w:spacing w:before="0" w:beforeAutospacing="0" w:after="120" w:afterAutospacing="0"/>
              <w:jc w:val="both"/>
              <w:rPr>
                <w:rFonts w:ascii="Arial" w:hAnsi="Arial" w:cs="Arial"/>
                <w:color w:val="000000"/>
              </w:rPr>
            </w:pPr>
            <w:r w:rsidRPr="00E90989">
              <w:rPr>
                <w:rStyle w:val="Grietas"/>
                <w:b w:val="0"/>
                <w:color w:val="000000"/>
              </w:rPr>
              <w:t xml:space="preserve">Siekiant </w:t>
            </w:r>
            <w:r w:rsidR="006D6C5E" w:rsidRPr="00E90989">
              <w:rPr>
                <w:rStyle w:val="Grietas"/>
                <w:b w:val="0"/>
                <w:color w:val="000000"/>
              </w:rPr>
              <w:t xml:space="preserve">tinkamai </w:t>
            </w:r>
            <w:r w:rsidRPr="00E90989">
              <w:rPr>
                <w:rStyle w:val="Grietas"/>
                <w:b w:val="0"/>
                <w:color w:val="000000"/>
              </w:rPr>
              <w:t>valdyti</w:t>
            </w:r>
            <w:r w:rsidR="00731F0F" w:rsidRPr="00E90989">
              <w:rPr>
                <w:rStyle w:val="Grietas"/>
                <w:b w:val="0"/>
                <w:color w:val="000000"/>
              </w:rPr>
              <w:t xml:space="preserve"> tolimesnes</w:t>
            </w:r>
            <w:r w:rsidRPr="00E90989">
              <w:rPr>
                <w:rStyle w:val="Grietas"/>
                <w:b w:val="0"/>
                <w:color w:val="000000"/>
              </w:rPr>
              <w:t xml:space="preserve"> derybas dėl </w:t>
            </w:r>
            <w:r w:rsidR="006D6C5E" w:rsidRPr="00E90989">
              <w:rPr>
                <w:rStyle w:val="Grietas"/>
                <w:b w:val="0"/>
                <w:color w:val="000000"/>
              </w:rPr>
              <w:t xml:space="preserve">atskirų </w:t>
            </w:r>
            <w:r w:rsidRPr="00E90989">
              <w:rPr>
                <w:rStyle w:val="Grietas"/>
                <w:b w:val="0"/>
                <w:color w:val="000000"/>
              </w:rPr>
              <w:t>pakto</w:t>
            </w:r>
            <w:r w:rsidR="006D6C5E" w:rsidRPr="00E90989">
              <w:rPr>
                <w:rStyle w:val="Grietas"/>
                <w:b w:val="0"/>
                <w:color w:val="000000"/>
              </w:rPr>
              <w:t xml:space="preserve"> </w:t>
            </w:r>
            <w:r w:rsidRPr="00E90989">
              <w:rPr>
                <w:rStyle w:val="Grietas"/>
                <w:b w:val="0"/>
                <w:color w:val="000000"/>
              </w:rPr>
              <w:t xml:space="preserve">elementų </w:t>
            </w:r>
            <w:r w:rsidR="00077641" w:rsidRPr="00077641">
              <w:rPr>
                <w:rStyle w:val="Grietas"/>
                <w:b w:val="0"/>
                <w:color w:val="000000"/>
              </w:rPr>
              <w:t>p</w:t>
            </w:r>
            <w:r w:rsidR="00731F0F" w:rsidRPr="00077641">
              <w:rPr>
                <w:rStyle w:val="Grietas"/>
                <w:b w:val="0"/>
                <w:color w:val="000000"/>
              </w:rPr>
              <w:t xml:space="preserve">irmininkaujanti šalis DE </w:t>
            </w:r>
            <w:r w:rsidRPr="00077641">
              <w:rPr>
                <w:rStyle w:val="Grietas"/>
                <w:b w:val="0"/>
                <w:color w:val="000000"/>
              </w:rPr>
              <w:t>pareng</w:t>
            </w:r>
            <w:r w:rsidR="00731F0F" w:rsidRPr="00077641">
              <w:rPr>
                <w:rStyle w:val="Grietas"/>
                <w:b w:val="0"/>
                <w:color w:val="000000"/>
              </w:rPr>
              <w:t>ė</w:t>
            </w:r>
            <w:r w:rsidRPr="00077641">
              <w:rPr>
                <w:rStyle w:val="Grietas"/>
                <w:b w:val="0"/>
                <w:color w:val="000000"/>
              </w:rPr>
              <w:t xml:space="preserve"> dokument</w:t>
            </w:r>
            <w:r w:rsidR="00731F0F" w:rsidRPr="00077641">
              <w:rPr>
                <w:rStyle w:val="Grietas"/>
                <w:b w:val="0"/>
                <w:color w:val="000000"/>
              </w:rPr>
              <w:t>ą</w:t>
            </w:r>
            <w:r w:rsidRPr="00077641">
              <w:rPr>
                <w:rStyle w:val="Grietas"/>
                <w:b w:val="0"/>
                <w:color w:val="000000"/>
              </w:rPr>
              <w:t> </w:t>
            </w:r>
            <w:r w:rsidRPr="00E90989">
              <w:rPr>
                <w:color w:val="000000"/>
              </w:rPr>
              <w:t>pavadint</w:t>
            </w:r>
            <w:r w:rsidR="00731F0F" w:rsidRPr="00E90989">
              <w:rPr>
                <w:color w:val="000000"/>
              </w:rPr>
              <w:t>ą</w:t>
            </w:r>
            <w:r w:rsidRPr="00077641">
              <w:rPr>
                <w:b/>
                <w:color w:val="000000"/>
              </w:rPr>
              <w:t xml:space="preserve"> „pažangos ataskaita“</w:t>
            </w:r>
            <w:r w:rsidRPr="00077641">
              <w:rPr>
                <w:color w:val="000000"/>
              </w:rPr>
              <w:t> </w:t>
            </w:r>
            <w:r w:rsidRPr="00077641">
              <w:rPr>
                <w:rStyle w:val="Emfaz"/>
                <w:color w:val="000000"/>
              </w:rPr>
              <w:t>(Progress report on key elements of a European migration and asylum policy and the way forward)</w:t>
            </w:r>
            <w:r w:rsidRPr="00077641">
              <w:rPr>
                <w:color w:val="000000"/>
              </w:rPr>
              <w:t>. Jame išdėstyti esminiai migracijos ir prieglobsčio politikos elementai, dėl kurių valstybės narės  sutaria ir dėl kurių dar reikia papildomai diskutuoti. </w:t>
            </w:r>
          </w:p>
          <w:p w14:paraId="37FC06B0" w14:textId="40344156" w:rsidR="00A31080" w:rsidRPr="00077641" w:rsidRDefault="00731F0F" w:rsidP="00A31080">
            <w:pPr>
              <w:pStyle w:val="prastasiniatinklio"/>
              <w:spacing w:before="0" w:beforeAutospacing="0" w:after="120" w:afterAutospacing="0"/>
              <w:jc w:val="both"/>
              <w:rPr>
                <w:rFonts w:ascii="Arial" w:hAnsi="Arial" w:cs="Arial"/>
                <w:color w:val="000000"/>
              </w:rPr>
            </w:pPr>
            <w:r w:rsidRPr="00077641">
              <w:rPr>
                <w:color w:val="000000"/>
              </w:rPr>
              <w:t>D</w:t>
            </w:r>
            <w:r w:rsidR="00A31080" w:rsidRPr="00077641">
              <w:rPr>
                <w:color w:val="000000"/>
              </w:rPr>
              <w:t>okumento projektas buvo svarstomas ES Tarybos Migracijos, sienų ir prieglobsčio strateginio komiteto (SCIFA)</w:t>
            </w:r>
            <w:r w:rsidRPr="00077641">
              <w:rPr>
                <w:color w:val="000000"/>
              </w:rPr>
              <w:t xml:space="preserve">, </w:t>
            </w:r>
            <w:r w:rsidR="00A31080" w:rsidRPr="00077641">
              <w:rPr>
                <w:color w:val="000000"/>
              </w:rPr>
              <w:t xml:space="preserve"> COREPER II</w:t>
            </w:r>
            <w:r w:rsidRPr="00077641">
              <w:rPr>
                <w:color w:val="000000"/>
              </w:rPr>
              <w:t xml:space="preserve"> </w:t>
            </w:r>
            <w:r w:rsidR="00A31080" w:rsidRPr="00077641">
              <w:rPr>
                <w:color w:val="000000"/>
              </w:rPr>
              <w:t>ir lapkričio 13 d. TVR ministrų tarybo</w:t>
            </w:r>
            <w:r w:rsidRPr="00077641">
              <w:rPr>
                <w:color w:val="000000"/>
              </w:rPr>
              <w:t>s posėdžiuose</w:t>
            </w:r>
            <w:r w:rsidR="00A31080" w:rsidRPr="00077641">
              <w:rPr>
                <w:color w:val="000000"/>
              </w:rPr>
              <w:t>. </w:t>
            </w:r>
          </w:p>
          <w:p w14:paraId="4B2643D8" w14:textId="77777777" w:rsidR="00A31080" w:rsidRPr="00077641" w:rsidRDefault="00A31080" w:rsidP="00A31080">
            <w:pPr>
              <w:spacing w:after="120"/>
              <w:jc w:val="both"/>
              <w:rPr>
                <w:b/>
                <w:lang w:val="lt-LT"/>
              </w:rPr>
            </w:pPr>
            <w:r w:rsidRPr="00E90989">
              <w:rPr>
                <w:rFonts w:eastAsia="Times New Roman"/>
                <w:color w:val="000000"/>
                <w:bdr w:val="none" w:sz="0" w:space="0" w:color="auto"/>
                <w:lang w:val="lt-LT" w:eastAsia="lt-LT"/>
              </w:rPr>
              <w:t xml:space="preserve">Gruodžio 14 d. TVR ministrų tarybos diskusijai turėtų </w:t>
            </w:r>
            <w:r w:rsidR="00731F0F" w:rsidRPr="00E90989">
              <w:rPr>
                <w:rFonts w:eastAsia="Times New Roman"/>
                <w:color w:val="000000"/>
                <w:bdr w:val="none" w:sz="0" w:space="0" w:color="auto"/>
                <w:lang w:val="lt-LT" w:eastAsia="lt-LT"/>
              </w:rPr>
              <w:t>b</w:t>
            </w:r>
            <w:r w:rsidRPr="00E90989">
              <w:rPr>
                <w:rFonts w:eastAsia="Times New Roman"/>
                <w:color w:val="000000"/>
                <w:bdr w:val="none" w:sz="0" w:space="0" w:color="auto"/>
                <w:lang w:val="lt-LT" w:eastAsia="lt-LT"/>
              </w:rPr>
              <w:t>ūti teikiama dar kartą atnaujinta pažangos ataskaitos versija,</w:t>
            </w:r>
            <w:r w:rsidRPr="00077641">
              <w:rPr>
                <w:rFonts w:eastAsia="Times New Roman"/>
                <w:b/>
                <w:color w:val="000000"/>
                <w:bdr w:val="none" w:sz="0" w:space="0" w:color="auto"/>
                <w:lang w:val="lt-LT" w:eastAsia="lt-LT"/>
              </w:rPr>
              <w:t xml:space="preserve"> tačiau kol kas ji nėra išplatinta. </w:t>
            </w:r>
          </w:p>
          <w:p w14:paraId="160585B8" w14:textId="77777777" w:rsidR="0058250F" w:rsidRPr="00077641" w:rsidRDefault="002C67CC" w:rsidP="0058250F">
            <w:pPr>
              <w:spacing w:before="120" w:after="120"/>
              <w:rPr>
                <w:b/>
                <w:u w:val="single"/>
                <w:lang w:val="lt-LT"/>
              </w:rPr>
            </w:pPr>
            <w:r w:rsidRPr="00077641">
              <w:rPr>
                <w:b/>
                <w:u w:val="single"/>
                <w:lang w:val="lt-LT"/>
              </w:rPr>
              <w:t>Lietuvos pozicija:</w:t>
            </w:r>
          </w:p>
          <w:p w14:paraId="6CE7ABEC" w14:textId="4DA72EB8" w:rsidR="000B1E25" w:rsidRPr="00077641" w:rsidRDefault="000B1E25" w:rsidP="0058250F">
            <w:pPr>
              <w:spacing w:before="120" w:after="120"/>
              <w:rPr>
                <w:b/>
                <w:u w:val="single"/>
                <w:lang w:val="lt-LT"/>
              </w:rPr>
            </w:pPr>
            <w:r w:rsidRPr="00077641">
              <w:rPr>
                <w:lang w:val="lt-LT"/>
              </w:rPr>
              <w:t xml:space="preserve">Didžiąja dalimi pritariame </w:t>
            </w:r>
            <w:r w:rsidR="00077641" w:rsidRPr="00077641">
              <w:rPr>
                <w:lang w:val="lt-LT"/>
              </w:rPr>
              <w:t>p</w:t>
            </w:r>
            <w:r w:rsidRPr="00077641">
              <w:rPr>
                <w:lang w:val="lt-LT"/>
              </w:rPr>
              <w:t xml:space="preserve">irmininkaujančios šalies parengtai pažangos ataskaitai. </w:t>
            </w:r>
            <w:r w:rsidR="00731F0F" w:rsidRPr="00077641">
              <w:rPr>
                <w:lang w:val="lt-LT"/>
              </w:rPr>
              <w:t xml:space="preserve">Tačiau vertindami paskutinę pažangos ataskaitos teksto versiją </w:t>
            </w:r>
            <w:r w:rsidRPr="00077641">
              <w:rPr>
                <w:lang w:val="lt-LT"/>
              </w:rPr>
              <w:t xml:space="preserve"> manome, kad 8-11 punktuose dėl solidarumo mechanizmo reikėtų labiau išryškinti tai, kad dėl </w:t>
            </w:r>
            <w:r w:rsidR="00D31597">
              <w:rPr>
                <w:lang w:val="lt-LT"/>
              </w:rPr>
              <w:t>valstybių narių</w:t>
            </w:r>
            <w:r w:rsidRPr="00077641">
              <w:rPr>
                <w:lang w:val="lt-LT"/>
              </w:rPr>
              <w:t xml:space="preserve"> pozicijų skirtumų yra akivaizdus tolimesnių diskusijų poreikis.</w:t>
            </w:r>
          </w:p>
          <w:p w14:paraId="4833A644" w14:textId="3B8F9CFC" w:rsidR="000B1E25" w:rsidRPr="00077641" w:rsidRDefault="000B1E25" w:rsidP="000B1E25">
            <w:pPr>
              <w:pStyle w:val="xbodya"/>
              <w:spacing w:before="0" w:beforeAutospacing="0" w:after="120" w:afterAutospacing="0"/>
              <w:jc w:val="both"/>
              <w:rPr>
                <w:color w:val="000000"/>
              </w:rPr>
            </w:pPr>
            <w:r w:rsidRPr="00077641">
              <w:t>Laikomės nuoseklios pozicijos, kad valstybėms narėms, patiriančioms neproporcingą migracijos naštą, turėtų būti teikiama savalaikė ir efektyvi parama, o būdai, kuriais kitos valstybės narės prisideda mažindamos šią naštą, turėtų būti lankstūs. Pagalbos teikimas neturėtų reikšti privalomų perkėlimų ir kvotų. </w:t>
            </w:r>
            <w:r w:rsidR="00731F0F" w:rsidRPr="00077641">
              <w:t>Taip pat</w:t>
            </w:r>
            <w:r w:rsidRPr="00077641">
              <w:t xml:space="preserve"> nuosekliai laiko</w:t>
            </w:r>
            <w:r w:rsidR="00731F0F" w:rsidRPr="00077641">
              <w:t>mės</w:t>
            </w:r>
            <w:r w:rsidRPr="00077641">
              <w:t xml:space="preserve"> pozicijos, kad asmenys, kuriems </w:t>
            </w:r>
            <w:r w:rsidRPr="00077641">
              <w:lastRenderedPageBreak/>
              <w:t>tarptautinė apsauga nepriklauso, neturi būti perkeliami į kitas valstybes nares. Dėl šios priežasties negalime remti grąžinimų sponsorystės (nes nepavykus grąžinimui, asmenys būtų perkeliami į kitą valstybę narę).</w:t>
            </w:r>
          </w:p>
          <w:p w14:paraId="007E47D6" w14:textId="77777777" w:rsidR="000B1E25" w:rsidRPr="00077641" w:rsidRDefault="000B1E25" w:rsidP="000B1E25">
            <w:pPr>
              <w:pStyle w:val="xbodya"/>
              <w:spacing w:before="0" w:beforeAutospacing="0" w:after="120" w:afterAutospacing="0"/>
              <w:jc w:val="both"/>
              <w:rPr>
                <w:color w:val="000000"/>
              </w:rPr>
            </w:pPr>
            <w:r w:rsidRPr="00077641">
              <w:t>Valstybės narės turėtų būti tiesiogiai įtrauktos į sprendimų dėl solidarumo mechanizmo aktyvavimo ir priemonių taikymo priėmimą. Palaikome koordinuojantį Komisijos vaidmenį, tačiau manome, kad sprendimus dėl mechanizmo aktyvavimo ir būtinų solidarumo priemonių turėtų priimti Taryba.</w:t>
            </w:r>
          </w:p>
          <w:p w14:paraId="07969B03" w14:textId="77777777" w:rsidR="000B1E25" w:rsidRPr="00077641" w:rsidRDefault="000B1E25" w:rsidP="000B1E25">
            <w:pPr>
              <w:pStyle w:val="xmsonormal0"/>
              <w:spacing w:before="0" w:beforeAutospacing="0" w:after="120" w:afterAutospacing="0"/>
              <w:jc w:val="both"/>
              <w:rPr>
                <w:color w:val="000000"/>
                <w:sz w:val="22"/>
                <w:szCs w:val="22"/>
              </w:rPr>
            </w:pPr>
            <w:r w:rsidRPr="00077641">
              <w:rPr>
                <w:color w:val="000000"/>
              </w:rPr>
              <w:t>Dėl perkėlimų, kaip galimos solidarumo priemonės, Lietuva nuosekliai laikosi šių principinių nuostatų, ir tai išlieka “</w:t>
            </w:r>
            <w:r w:rsidRPr="00E90989">
              <w:rPr>
                <w:bCs/>
                <w:color w:val="000000"/>
              </w:rPr>
              <w:t>raudonomis linijomis</w:t>
            </w:r>
            <w:r w:rsidRPr="00077641">
              <w:rPr>
                <w:color w:val="000000"/>
              </w:rPr>
              <w:t>”:</w:t>
            </w:r>
          </w:p>
          <w:p w14:paraId="37C57365" w14:textId="77777777" w:rsidR="000B1E25" w:rsidRPr="00077641" w:rsidRDefault="000B1E25" w:rsidP="000B1E25">
            <w:pPr>
              <w:pStyle w:val="xdefault"/>
              <w:numPr>
                <w:ilvl w:val="0"/>
                <w:numId w:val="42"/>
              </w:numPr>
              <w:spacing w:before="0" w:beforeAutospacing="0" w:after="0" w:afterAutospacing="0"/>
              <w:ind w:left="487"/>
              <w:jc w:val="both"/>
              <w:rPr>
                <w:color w:val="000000"/>
              </w:rPr>
            </w:pPr>
            <w:r w:rsidRPr="00077641">
              <w:rPr>
                <w:color w:val="000000"/>
              </w:rPr>
              <w:t>Asmenų perkėlimas turi būti grįstas savanoriškumo principu.</w:t>
            </w:r>
          </w:p>
          <w:p w14:paraId="2CE8BC9A" w14:textId="77777777" w:rsidR="000B1E25" w:rsidRPr="00077641" w:rsidRDefault="000B1E25" w:rsidP="000B1E25">
            <w:pPr>
              <w:pStyle w:val="xdefault"/>
              <w:numPr>
                <w:ilvl w:val="0"/>
                <w:numId w:val="42"/>
              </w:numPr>
              <w:spacing w:before="0" w:beforeAutospacing="0" w:after="0" w:afterAutospacing="0"/>
              <w:ind w:left="487"/>
              <w:jc w:val="both"/>
              <w:rPr>
                <w:color w:val="000000"/>
              </w:rPr>
            </w:pPr>
            <w:r w:rsidRPr="00077641">
              <w:rPr>
                <w:color w:val="000000"/>
              </w:rPr>
              <w:t>Perkeliami gali būti tik tie asmenys, kurie atitinka tarptautinės apsaugos (prieglobsčio) suteikimo kriterijus.</w:t>
            </w:r>
          </w:p>
          <w:p w14:paraId="77982613" w14:textId="77777777" w:rsidR="000B1E25" w:rsidRPr="00077641" w:rsidRDefault="000B1E25" w:rsidP="000B1E25">
            <w:pPr>
              <w:pStyle w:val="xdefault"/>
              <w:numPr>
                <w:ilvl w:val="0"/>
                <w:numId w:val="42"/>
              </w:numPr>
              <w:spacing w:before="0" w:beforeAutospacing="0" w:after="0" w:afterAutospacing="0"/>
              <w:ind w:left="487"/>
              <w:jc w:val="both"/>
              <w:rPr>
                <w:color w:val="000000"/>
              </w:rPr>
            </w:pPr>
            <w:r w:rsidRPr="00077641">
              <w:rPr>
                <w:color w:val="000000"/>
              </w:rPr>
              <w:t>Prieglobsčio prašytojai į Lietuvą gali būti perkeliami tik atlikus saugumo patikrinimą (ar jie nekelia grėsmės nacionaliniam saugumui, viešajai tvarkai).</w:t>
            </w:r>
          </w:p>
          <w:p w14:paraId="22F9A7B5" w14:textId="77777777" w:rsidR="000B1E25" w:rsidRPr="00077641" w:rsidRDefault="000B1E25" w:rsidP="000B1E25">
            <w:pPr>
              <w:pStyle w:val="xdefault"/>
              <w:numPr>
                <w:ilvl w:val="0"/>
                <w:numId w:val="42"/>
              </w:numPr>
              <w:spacing w:before="0" w:beforeAutospacing="0" w:after="0" w:afterAutospacing="0"/>
              <w:ind w:left="487"/>
              <w:jc w:val="both"/>
              <w:rPr>
                <w:color w:val="000000"/>
              </w:rPr>
            </w:pPr>
            <w:r w:rsidRPr="00077641">
              <w:rPr>
                <w:color w:val="000000"/>
              </w:rPr>
              <w:t>Paskirstymas neturi būti automatinis, priėmimas turi būti vykdomas valstybės narės sprendimu, atsižvelgus į turimas priėmimo galimybes.</w:t>
            </w:r>
          </w:p>
          <w:p w14:paraId="5EA38785" w14:textId="77777777" w:rsidR="000B1E25" w:rsidRPr="00077641" w:rsidRDefault="000B1E25" w:rsidP="000B1E25">
            <w:pPr>
              <w:pStyle w:val="xdefault"/>
              <w:numPr>
                <w:ilvl w:val="0"/>
                <w:numId w:val="42"/>
              </w:numPr>
              <w:spacing w:before="0" w:beforeAutospacing="0" w:after="0" w:afterAutospacing="0"/>
              <w:ind w:left="487"/>
              <w:jc w:val="both"/>
              <w:rPr>
                <w:color w:val="000000"/>
              </w:rPr>
            </w:pPr>
            <w:r w:rsidRPr="00077641">
              <w:rPr>
                <w:color w:val="000000"/>
              </w:rPr>
              <w:t>Tai turi būti aiškiai apibrėžtas laike mechanizmas, nukreiptas į didelio migracijos spaudimo konkrečių ES valstybių narių atžvilgiu mažinimą, ir netapti nuolatiniu prieglobsčio prašytojų (ar juo labiau – grąžintinų asmenų) paskirstymo mechanizmu.</w:t>
            </w:r>
          </w:p>
          <w:p w14:paraId="4292DF12" w14:textId="77777777" w:rsidR="000B1E25" w:rsidRPr="00077641" w:rsidRDefault="000B1E25" w:rsidP="002C67CC">
            <w:pPr>
              <w:rPr>
                <w:lang w:val="lt-LT"/>
              </w:rPr>
            </w:pPr>
          </w:p>
        </w:tc>
      </w:tr>
    </w:tbl>
    <w:p w14:paraId="5194A3E5" w14:textId="77777777" w:rsidR="004B217F" w:rsidRPr="00077641" w:rsidRDefault="004B217F">
      <w:pPr>
        <w:pStyle w:val="BodyA"/>
        <w:rPr>
          <w:rFonts w:eastAsia="Times New Roman Bold"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077641" w14:paraId="22F843FF" w14:textId="77777777" w:rsidTr="00946AC6">
        <w:trPr>
          <w:trHeight w:val="6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4E606B9F" w14:textId="77777777" w:rsidR="002C67CC" w:rsidRPr="00077641" w:rsidRDefault="00EE1216" w:rsidP="00080285">
            <w:pPr>
              <w:pStyle w:val="BodyA"/>
              <w:tabs>
                <w:tab w:val="left" w:pos="-222"/>
              </w:tabs>
              <w:ind w:hanging="222"/>
              <w:rPr>
                <w:rFonts w:hAnsi="Times New Roman" w:cs="Times New Roman"/>
                <w:b/>
                <w:lang w:val="lt-LT"/>
              </w:rPr>
            </w:pPr>
            <w:r w:rsidRPr="00077641">
              <w:rPr>
                <w:rFonts w:hAnsi="Times New Roman" w:cs="Times New Roman"/>
                <w:b/>
                <w:lang w:val="lt-LT"/>
              </w:rPr>
              <w:t>2.</w:t>
            </w:r>
            <w:r w:rsidRPr="00077641">
              <w:rPr>
                <w:rFonts w:hAnsi="Times New Roman" w:cs="Times New Roman"/>
                <w:b/>
                <w:lang w:val="lt-LT"/>
              </w:rPr>
              <w:tab/>
            </w:r>
            <w:r w:rsidR="00CA640F" w:rsidRPr="00077641">
              <w:rPr>
                <w:rFonts w:hAnsi="Times New Roman" w:cs="Times New Roman"/>
                <w:b/>
                <w:lang w:val="lt-LT"/>
              </w:rPr>
              <w:t>Bendradarbiavimas su partneriais siekiant veiksmingos readmisijos ir geresnio migracijos valdymo</w:t>
            </w:r>
          </w:p>
          <w:p w14:paraId="640D8E06" w14:textId="77777777" w:rsidR="00CA640F" w:rsidRPr="00077641" w:rsidRDefault="00CA640F" w:rsidP="00080285">
            <w:pPr>
              <w:pStyle w:val="BodyA"/>
              <w:tabs>
                <w:tab w:val="left" w:pos="0"/>
              </w:tabs>
              <w:ind w:hanging="222"/>
              <w:rPr>
                <w:rFonts w:hAnsi="Times New Roman" w:cs="Times New Roman"/>
                <w:i/>
                <w:lang w:val="lt-LT"/>
              </w:rPr>
            </w:pPr>
            <w:r w:rsidRPr="00077641">
              <w:rPr>
                <w:rFonts w:hAnsi="Times New Roman" w:cs="Times New Roman"/>
                <w:i/>
                <w:lang w:val="lt-LT"/>
              </w:rPr>
              <w:t xml:space="preserve">- Pasikeitimas nuomonėmis </w:t>
            </w:r>
          </w:p>
          <w:p w14:paraId="770E5F28" w14:textId="77777777" w:rsidR="002C67CC" w:rsidRPr="00077641" w:rsidRDefault="002C67CC" w:rsidP="00080285">
            <w:pPr>
              <w:pStyle w:val="BodyA"/>
              <w:tabs>
                <w:tab w:val="left" w:pos="-222"/>
              </w:tabs>
              <w:rPr>
                <w:rFonts w:hAnsi="Times New Roman" w:cs="Times New Roman"/>
                <w:b/>
                <w:u w:val="single"/>
                <w:lang w:val="lt-LT"/>
              </w:rPr>
            </w:pPr>
          </w:p>
          <w:p w14:paraId="7D657FB5" w14:textId="77777777" w:rsidR="00A82DF1" w:rsidRPr="00077641" w:rsidRDefault="00EE1216" w:rsidP="00080285">
            <w:pPr>
              <w:pStyle w:val="BodyA"/>
              <w:tabs>
                <w:tab w:val="left" w:pos="-222"/>
              </w:tabs>
              <w:spacing w:after="120"/>
              <w:ind w:hanging="221"/>
              <w:rPr>
                <w:rFonts w:hAnsi="Times New Roman" w:cs="Times New Roman"/>
                <w:b/>
                <w:lang w:val="lt-LT"/>
              </w:rPr>
            </w:pPr>
            <w:r w:rsidRPr="00077641">
              <w:rPr>
                <w:rFonts w:hAnsi="Times New Roman" w:cs="Times New Roman"/>
                <w:b/>
                <w:u w:val="single"/>
                <w:lang w:val="lt-LT"/>
              </w:rPr>
              <w:t>Klausimo esmė</w:t>
            </w:r>
            <w:r w:rsidR="002C67CC" w:rsidRPr="00077641">
              <w:rPr>
                <w:rFonts w:hAnsi="Times New Roman" w:cs="Times New Roman"/>
                <w:b/>
                <w:u w:val="single"/>
                <w:lang w:val="lt-LT"/>
              </w:rPr>
              <w:t>:</w:t>
            </w:r>
          </w:p>
          <w:p w14:paraId="39E13E76" w14:textId="77777777" w:rsidR="00A82DF1" w:rsidRPr="00077641" w:rsidRDefault="00A82DF1" w:rsidP="00080285">
            <w:pPr>
              <w:pStyle w:val="xmsonormal0"/>
              <w:spacing w:before="0" w:beforeAutospacing="0" w:after="120" w:afterAutospacing="0"/>
              <w:ind w:left="-221"/>
              <w:jc w:val="both"/>
              <w:rPr>
                <w:color w:val="000000"/>
                <w:sz w:val="22"/>
                <w:szCs w:val="22"/>
              </w:rPr>
            </w:pPr>
            <w:r w:rsidRPr="00077641">
              <w:rPr>
                <w:color w:val="000000"/>
              </w:rPr>
              <w:t>Š. m. rugsėjo 23 d. Europos Komisija pristatė naująjį Migracijos ir prieglobsčio paktą (toliau – Paktas). Paktas apima įvairius elementus, reikalingus visapusiškam Europos požiūriui į migracijos valdymą. Pakte išdėstytas naujas Komisijos požiūris į migraciją, integruojantis migracijos politikos vidaus ir išorės aspektus, apimantis skirtingas teisines ir neteisines priemones, ir apibrėžiama, kokių priemonių Komisija imasi dar šiandien bei kokių numačiusi imtis vėliau.</w:t>
            </w:r>
          </w:p>
          <w:p w14:paraId="11260A83" w14:textId="77777777" w:rsidR="00A82DF1" w:rsidRPr="00077641" w:rsidRDefault="00A82DF1" w:rsidP="00731F0F">
            <w:pPr>
              <w:pStyle w:val="xmsonormal0"/>
              <w:spacing w:before="0" w:beforeAutospacing="0" w:after="0" w:afterAutospacing="0"/>
              <w:ind w:left="-221"/>
              <w:jc w:val="both"/>
              <w:rPr>
                <w:color w:val="000000"/>
                <w:sz w:val="22"/>
                <w:szCs w:val="22"/>
              </w:rPr>
            </w:pPr>
            <w:r w:rsidRPr="00077641">
              <w:rPr>
                <w:color w:val="000000"/>
              </w:rPr>
              <w:t>Europos Komisijos komunikate dėl naujo Migracijos ir prieglobsčio pakto didelis dėmesys skiriamas migracijos išorės dimensijai. Aptariami šie bendradarbiavimo su tarptautiniais partneriais aspektai:</w:t>
            </w:r>
          </w:p>
          <w:p w14:paraId="7B6E0EAA" w14:textId="77777777" w:rsidR="00A82DF1" w:rsidRPr="00077641" w:rsidRDefault="00A82DF1" w:rsidP="00731F0F">
            <w:pPr>
              <w:pStyle w:val="xmsolistparagraph"/>
              <w:numPr>
                <w:ilvl w:val="0"/>
                <w:numId w:val="41"/>
              </w:numPr>
              <w:spacing w:before="0" w:beforeAutospacing="0" w:after="0" w:afterAutospacing="0"/>
              <w:jc w:val="both"/>
              <w:rPr>
                <w:color w:val="000000"/>
                <w:sz w:val="22"/>
                <w:szCs w:val="22"/>
              </w:rPr>
            </w:pPr>
            <w:r w:rsidRPr="00077641">
              <w:rPr>
                <w:color w:val="000000"/>
              </w:rPr>
              <w:t>Tarptautinės partnerystės ryšių poveikio didinimas;</w:t>
            </w:r>
          </w:p>
          <w:p w14:paraId="4835901C" w14:textId="77777777" w:rsidR="00A82DF1" w:rsidRPr="00077641" w:rsidRDefault="00A82DF1" w:rsidP="00731F0F">
            <w:pPr>
              <w:pStyle w:val="xmsolistparagraph"/>
              <w:numPr>
                <w:ilvl w:val="0"/>
                <w:numId w:val="41"/>
              </w:numPr>
              <w:spacing w:before="0" w:beforeAutospacing="0" w:after="0" w:afterAutospacing="0"/>
              <w:jc w:val="both"/>
              <w:rPr>
                <w:color w:val="000000"/>
                <w:sz w:val="22"/>
                <w:szCs w:val="22"/>
              </w:rPr>
            </w:pPr>
            <w:r w:rsidRPr="00077641">
              <w:rPr>
                <w:color w:val="000000"/>
              </w:rPr>
              <w:t>Apsauga asmenims, kuriems jos reikia, ir parama priimančiosioms šalims;</w:t>
            </w:r>
          </w:p>
          <w:p w14:paraId="49E661DB" w14:textId="77777777" w:rsidR="00A82DF1" w:rsidRPr="00077641" w:rsidRDefault="00A82DF1" w:rsidP="00731F0F">
            <w:pPr>
              <w:pStyle w:val="xmsolistparagraph"/>
              <w:numPr>
                <w:ilvl w:val="0"/>
                <w:numId w:val="41"/>
              </w:numPr>
              <w:spacing w:before="0" w:beforeAutospacing="0" w:after="0" w:afterAutospacing="0"/>
              <w:jc w:val="both"/>
              <w:rPr>
                <w:color w:val="000000"/>
                <w:sz w:val="22"/>
                <w:szCs w:val="22"/>
              </w:rPr>
            </w:pPr>
            <w:r w:rsidRPr="00077641">
              <w:rPr>
                <w:color w:val="000000"/>
              </w:rPr>
              <w:t>Ekonominių galimybių sudarymas ir neteisėtos migracijos pagrindinių priežasčių šalinimas;</w:t>
            </w:r>
          </w:p>
          <w:p w14:paraId="2644E6AD" w14:textId="77777777" w:rsidR="00A82DF1" w:rsidRPr="00077641" w:rsidRDefault="00A82DF1" w:rsidP="00731F0F">
            <w:pPr>
              <w:pStyle w:val="xmsolistparagraph"/>
              <w:numPr>
                <w:ilvl w:val="0"/>
                <w:numId w:val="41"/>
              </w:numPr>
              <w:spacing w:before="0" w:beforeAutospacing="0" w:after="0" w:afterAutospacing="0"/>
              <w:jc w:val="both"/>
              <w:rPr>
                <w:color w:val="000000"/>
                <w:sz w:val="22"/>
                <w:szCs w:val="22"/>
              </w:rPr>
            </w:pPr>
            <w:r w:rsidRPr="00077641">
              <w:rPr>
                <w:color w:val="000000"/>
              </w:rPr>
              <w:t>Migracijos administravimą ir valdymą stiprinanti partnerystė;</w:t>
            </w:r>
          </w:p>
          <w:p w14:paraId="3C5245B4" w14:textId="77777777" w:rsidR="00A82DF1" w:rsidRPr="00077641" w:rsidRDefault="00A82DF1" w:rsidP="00731F0F">
            <w:pPr>
              <w:pStyle w:val="xmsolistparagraph"/>
              <w:numPr>
                <w:ilvl w:val="0"/>
                <w:numId w:val="41"/>
              </w:numPr>
              <w:spacing w:before="0" w:beforeAutospacing="0" w:after="0" w:afterAutospacing="0"/>
              <w:jc w:val="both"/>
              <w:rPr>
                <w:color w:val="000000"/>
                <w:sz w:val="22"/>
                <w:szCs w:val="22"/>
              </w:rPr>
            </w:pPr>
            <w:r w:rsidRPr="00077641">
              <w:rPr>
                <w:color w:val="000000"/>
              </w:rPr>
              <w:t>Bendradarbiavimo readmisijos ir reintegracijos srityje stiprinimas;</w:t>
            </w:r>
          </w:p>
          <w:p w14:paraId="3B48CF7A" w14:textId="77777777" w:rsidR="00A82DF1" w:rsidRPr="00077641" w:rsidRDefault="00A82DF1" w:rsidP="00731F0F">
            <w:pPr>
              <w:pStyle w:val="xmsolistparagraph"/>
              <w:numPr>
                <w:ilvl w:val="0"/>
                <w:numId w:val="41"/>
              </w:numPr>
              <w:spacing w:before="0" w:beforeAutospacing="0" w:after="0" w:afterAutospacing="0"/>
              <w:jc w:val="both"/>
              <w:rPr>
                <w:color w:val="000000"/>
                <w:sz w:val="22"/>
                <w:szCs w:val="22"/>
              </w:rPr>
            </w:pPr>
            <w:r w:rsidRPr="00077641">
              <w:rPr>
                <w:color w:val="000000"/>
              </w:rPr>
              <w:t>Sąlygų teisėtai atvykti į Europą sudarymas.</w:t>
            </w:r>
          </w:p>
          <w:p w14:paraId="734C40ED" w14:textId="77777777" w:rsidR="007824A0" w:rsidRPr="00077641" w:rsidRDefault="00A82DF1" w:rsidP="00E90989">
            <w:pPr>
              <w:pStyle w:val="xmsonormal"/>
              <w:spacing w:before="120" w:beforeAutospacing="0" w:after="120" w:afterAutospacing="0"/>
              <w:ind w:left="-221"/>
              <w:jc w:val="both"/>
              <w:rPr>
                <w:color w:val="000000"/>
                <w:sz w:val="18"/>
                <w:szCs w:val="18"/>
              </w:rPr>
            </w:pPr>
            <w:r w:rsidRPr="00077641">
              <w:rPr>
                <w:color w:val="000000"/>
              </w:rPr>
              <w:t>Gruodžio 14 d. Vidaus reikalų taryboje ministrai kviečiami pasikeisti nuomonėmis dėl bendradarbiavimo su partneriais siekiant efektyvesnės readmisijos ir migracijos valdymo.</w:t>
            </w:r>
            <w:r w:rsidR="007824A0" w:rsidRPr="00077641">
              <w:rPr>
                <w:color w:val="000000"/>
              </w:rPr>
              <w:t xml:space="preserve"> D</w:t>
            </w:r>
            <w:r w:rsidR="007824A0" w:rsidRPr="00077641">
              <w:rPr>
                <w:b/>
                <w:color w:val="000000"/>
              </w:rPr>
              <w:t>iskusinis dokumentas dar nėra išplatintas.</w:t>
            </w:r>
          </w:p>
          <w:p w14:paraId="4F63BA7C" w14:textId="77777777" w:rsidR="002C7E0C" w:rsidRPr="00077641" w:rsidRDefault="002C7E0C" w:rsidP="00731F0F">
            <w:pPr>
              <w:pStyle w:val="xmsonormal0"/>
              <w:spacing w:before="120" w:beforeAutospacing="0" w:after="120" w:afterAutospacing="0"/>
              <w:ind w:left="-221"/>
              <w:jc w:val="both"/>
              <w:rPr>
                <w:color w:val="000000"/>
                <w:sz w:val="22"/>
                <w:szCs w:val="22"/>
              </w:rPr>
            </w:pPr>
          </w:p>
          <w:p w14:paraId="3FF60096" w14:textId="77777777" w:rsidR="000E1695" w:rsidRPr="00077641" w:rsidRDefault="002C67CC" w:rsidP="00080285">
            <w:pPr>
              <w:ind w:left="-222"/>
              <w:jc w:val="both"/>
              <w:rPr>
                <w:b/>
                <w:lang w:val="lt-LT"/>
              </w:rPr>
            </w:pPr>
            <w:r w:rsidRPr="00077641">
              <w:rPr>
                <w:b/>
                <w:u w:val="single"/>
                <w:lang w:val="lt-LT"/>
              </w:rPr>
              <w:t>Lietuvos pozicija:</w:t>
            </w:r>
          </w:p>
          <w:p w14:paraId="5B8156A7" w14:textId="77777777" w:rsidR="00A82DF1" w:rsidRPr="00077641" w:rsidRDefault="00A82DF1" w:rsidP="00080285">
            <w:pPr>
              <w:ind w:left="-222"/>
              <w:jc w:val="both"/>
              <w:rPr>
                <w:lang w:val="lt-LT"/>
              </w:rPr>
            </w:pPr>
          </w:p>
          <w:p w14:paraId="0BE62E8C" w14:textId="77777777" w:rsidR="00A82DF1" w:rsidRPr="00077641" w:rsidRDefault="00A82DF1" w:rsidP="00080285">
            <w:pPr>
              <w:pStyle w:val="xmsonormal0"/>
              <w:spacing w:before="0" w:beforeAutospacing="0" w:after="120" w:afterAutospacing="0"/>
              <w:jc w:val="both"/>
              <w:rPr>
                <w:color w:val="000000"/>
                <w:sz w:val="22"/>
                <w:szCs w:val="22"/>
              </w:rPr>
            </w:pPr>
            <w:r w:rsidRPr="00077641">
              <w:rPr>
                <w:color w:val="000000"/>
              </w:rPr>
              <w:t>Efektyvi grąžinimo politika ir geresnis bendradarbiavimas su trečiosiomis šalimis readmisijos srityje yra ir išliks ES migracijos politikos prioritetu.</w:t>
            </w:r>
          </w:p>
          <w:p w14:paraId="1894573A" w14:textId="77777777" w:rsidR="00A82DF1" w:rsidRPr="00077641" w:rsidRDefault="00A82DF1" w:rsidP="00080285">
            <w:pPr>
              <w:pStyle w:val="xmsonormal0"/>
              <w:spacing w:before="0" w:beforeAutospacing="0" w:after="120" w:afterAutospacing="0"/>
              <w:jc w:val="both"/>
              <w:rPr>
                <w:color w:val="000000"/>
                <w:sz w:val="22"/>
                <w:szCs w:val="22"/>
              </w:rPr>
            </w:pPr>
            <w:r w:rsidRPr="00077641">
              <w:rPr>
                <w:color w:val="000000"/>
              </w:rPr>
              <w:t>Bendradarbiavimas su trečiosiomis šalimis yra viena esminių efektyvaus migracijos valdymo elementų. Išorės sienų apsauga, kova su neteisėtu migrantų gabenimu, efektyvios prieglobsčio procedūros, teisėtų atvykimo galimybių sudarymas gali sumažinti neteisėto atvykimo į ES atvejų skaičių, visgi, siekiant sumažinti traukos faktorių, ES neturintys teisės pasilikti asmenys turi būti veiksmingai grąžinami. Trečiųjų šalių bendradarbiavimas readmisijos srityje yra efektyvios grąžinimo politikos prielaida.</w:t>
            </w:r>
          </w:p>
          <w:p w14:paraId="0DE2FF8D" w14:textId="77777777" w:rsidR="00A82DF1" w:rsidRPr="00077641" w:rsidRDefault="00A82DF1" w:rsidP="00080285">
            <w:pPr>
              <w:pStyle w:val="xmsonormal0"/>
              <w:spacing w:before="0" w:beforeAutospacing="0" w:after="120" w:afterAutospacing="0"/>
              <w:jc w:val="both"/>
              <w:rPr>
                <w:color w:val="000000"/>
                <w:sz w:val="22"/>
                <w:szCs w:val="22"/>
              </w:rPr>
            </w:pPr>
            <w:r w:rsidRPr="00077641">
              <w:rPr>
                <w:color w:val="000000"/>
              </w:rPr>
              <w:t>Siekiant trečiųjų šalių bendradarbiavimo readmisijos srityje turime panaudoti visas galimas paskatų/sąlygiškumo priemones, tiek pozityvias, tiek, jei reikia, ir negatyvias, priklausomai nuo to, kurios konkrečiu atveju yra efektyvesnės. Turėtume siekti stiprinti ir dvišalį bendradarbiavimą su trečiosiomis šalimis readmisijos srityje. Taip pat svarbi ES agentūrų, visų pirma – FRONTEX  parama šiuo klausimu. Taip pat reikėtų siekti naujų readmisijos sutarčių sudarymo.</w:t>
            </w:r>
          </w:p>
          <w:p w14:paraId="58726F88" w14:textId="77777777" w:rsidR="00A82DF1" w:rsidRPr="00077641" w:rsidRDefault="00A82DF1" w:rsidP="00080285">
            <w:pPr>
              <w:pStyle w:val="xmsonormal0"/>
              <w:spacing w:before="0" w:beforeAutospacing="0" w:after="120" w:afterAutospacing="0"/>
              <w:jc w:val="both"/>
              <w:rPr>
                <w:color w:val="000000"/>
                <w:sz w:val="22"/>
                <w:szCs w:val="22"/>
              </w:rPr>
            </w:pPr>
            <w:r w:rsidRPr="00077641">
              <w:rPr>
                <w:color w:val="000000"/>
              </w:rPr>
              <w:t>Svarbus žingsnis - Vizų kodekse numatytas nuolatinis trečiųjų šalių bendradarbiavimo readmisijos srityje vertinimo mechanizmas. Laukiame pirmosios Europos Komisijos ataskaitos su siūlymais dėl vizų politikos svertų panaudojimo tam tikrų trečiųjų šalių atžvilgiu. Taip pat teigiamai vertiname naujajame teisėkūriniame pasiūlyme dėl Prieglobsčio ir migracijos valdymo reglamento numatytą išplėtimą, kad teikdama Tarybai ataskaitą pagal Vizų kodekso 25a str., Europos Komisija gali siūlyti ne tik vizų politikos, bet ir kitas priemones, kurių būtų galima imtis siekiant pagerinti trečiosios šalies bendradarbiavimą readmisijos srityje, atsižvelgiant į ES interesus ir santykius su trečiąja šalimi.</w:t>
            </w:r>
          </w:p>
          <w:p w14:paraId="392D8DCC" w14:textId="77777777" w:rsidR="00A82DF1" w:rsidRPr="00077641" w:rsidRDefault="00A82DF1" w:rsidP="00080285">
            <w:pPr>
              <w:pStyle w:val="xmsonormal0"/>
              <w:spacing w:before="0" w:beforeAutospacing="0" w:after="120" w:afterAutospacing="0"/>
              <w:jc w:val="both"/>
              <w:rPr>
                <w:color w:val="000000"/>
                <w:sz w:val="22"/>
                <w:szCs w:val="22"/>
              </w:rPr>
            </w:pPr>
            <w:r w:rsidRPr="00077641">
              <w:rPr>
                <w:color w:val="000000"/>
              </w:rPr>
              <w:t>Taip pat svarbus darbas su trečiosiomis šalimis kovojant su neteisėtos migracijos priežastimis, teikiant reikalingą paramą vystymuisi, kovojant su neteisėtu žmonių gabenimu, didinant atsakomybę už jų piliečių reintegraciją. Viena iš bendradarbiavimo su trečiosiomis šalimis sričių – teisėtų atvykimo kelių sudarymas. Lietuva dalyvauja pilotiniame legalios migracijos projekte su Nigerija (informacinių ir ryšių technologijų specialistai iš Nigerijos atvyko dirbti, mokytis ir įgyti patirties Lietuvos įmonėse).</w:t>
            </w:r>
          </w:p>
          <w:p w14:paraId="23A59956" w14:textId="77777777" w:rsidR="00A82DF1" w:rsidRPr="00077641" w:rsidRDefault="00A82DF1" w:rsidP="00080285">
            <w:pPr>
              <w:pStyle w:val="xmsonormal0"/>
              <w:spacing w:before="0" w:beforeAutospacing="0" w:after="120" w:afterAutospacing="0"/>
              <w:jc w:val="both"/>
              <w:rPr>
                <w:color w:val="000000"/>
                <w:sz w:val="22"/>
                <w:szCs w:val="22"/>
              </w:rPr>
            </w:pPr>
            <w:r w:rsidRPr="00077641">
              <w:rPr>
                <w:color w:val="000000"/>
              </w:rPr>
              <w:t>Pabrėždami išorės dimensijos ir santykių trečiosiomis šalimis svarbą, pažymime, kad prioritetas stiprinant bendradarbiavimą turėtų būti teikiamas ir Rytų kaimynystės šalims, ypač turint omenyje politinį nestabilumą ir susijusius iššūkius regione.</w:t>
            </w:r>
          </w:p>
        </w:tc>
      </w:tr>
    </w:tbl>
    <w:p w14:paraId="2955599E" w14:textId="77777777" w:rsidR="004B217F" w:rsidRPr="00077641" w:rsidRDefault="004B217F">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077641" w14:paraId="6C469766" w14:textId="77777777" w:rsidTr="00946AC6">
        <w:trPr>
          <w:trHeight w:val="6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4A5BBCEB" w14:textId="77777777" w:rsidR="004B217F" w:rsidRPr="00077641" w:rsidRDefault="00EE1216" w:rsidP="004360A1">
            <w:pPr>
              <w:pStyle w:val="BodyA"/>
              <w:tabs>
                <w:tab w:val="left" w:pos="284"/>
              </w:tabs>
              <w:ind w:left="284" w:hanging="506"/>
              <w:rPr>
                <w:rFonts w:hAnsi="Times New Roman" w:cs="Times New Roman"/>
                <w:b/>
                <w:u w:val="single"/>
                <w:lang w:val="lt-LT"/>
              </w:rPr>
            </w:pPr>
            <w:r w:rsidRPr="00077641">
              <w:rPr>
                <w:rFonts w:hAnsi="Times New Roman" w:cs="Times New Roman"/>
                <w:b/>
                <w:lang w:val="lt-LT"/>
              </w:rPr>
              <w:t xml:space="preserve">3. </w:t>
            </w:r>
            <w:r w:rsidR="002C67CC" w:rsidRPr="00077641">
              <w:rPr>
                <w:rFonts w:hAnsi="Times New Roman" w:cs="Times New Roman"/>
                <w:b/>
                <w:lang w:val="lt-LT"/>
              </w:rPr>
              <w:t>Sąveikumo įgyvendinimas</w:t>
            </w:r>
          </w:p>
          <w:p w14:paraId="3C6B57E4" w14:textId="77777777" w:rsidR="00BF7037" w:rsidRPr="00077641" w:rsidRDefault="00BF7037" w:rsidP="00BF7037">
            <w:pPr>
              <w:pStyle w:val="BodyA"/>
              <w:tabs>
                <w:tab w:val="left" w:pos="0"/>
              </w:tabs>
              <w:ind w:hanging="222"/>
              <w:rPr>
                <w:rFonts w:hAnsi="Times New Roman" w:cs="Times New Roman"/>
                <w:i/>
                <w:lang w:val="lt-LT"/>
              </w:rPr>
            </w:pPr>
            <w:r w:rsidRPr="00077641">
              <w:rPr>
                <w:rFonts w:hAnsi="Times New Roman" w:cs="Times New Roman"/>
                <w:i/>
                <w:lang w:val="lt-LT"/>
              </w:rPr>
              <w:t xml:space="preserve">- Pasikeitimas nuomonėmis </w:t>
            </w:r>
          </w:p>
          <w:p w14:paraId="7D179B78" w14:textId="77777777" w:rsidR="00BF7037" w:rsidRPr="00077641" w:rsidRDefault="00BF7037" w:rsidP="004360A1">
            <w:pPr>
              <w:pStyle w:val="BodyA"/>
              <w:tabs>
                <w:tab w:val="left" w:pos="284"/>
              </w:tabs>
              <w:ind w:left="284" w:hanging="506"/>
              <w:rPr>
                <w:rFonts w:hAnsi="Times New Roman" w:cs="Times New Roman"/>
                <w:b/>
                <w:u w:val="single"/>
                <w:lang w:val="lt-LT"/>
              </w:rPr>
            </w:pPr>
          </w:p>
          <w:p w14:paraId="0DB43C0A" w14:textId="77777777" w:rsidR="00EC384A" w:rsidRPr="00077641" w:rsidRDefault="00BF7037" w:rsidP="00080285">
            <w:pPr>
              <w:pStyle w:val="BodyA"/>
              <w:tabs>
                <w:tab w:val="left" w:pos="284"/>
              </w:tabs>
              <w:spacing w:after="120"/>
              <w:ind w:left="284" w:hanging="505"/>
              <w:rPr>
                <w:rFonts w:hAnsi="Times New Roman" w:cs="Times New Roman"/>
                <w:b/>
                <w:u w:val="single"/>
                <w:lang w:val="lt-LT"/>
              </w:rPr>
            </w:pPr>
            <w:r w:rsidRPr="00077641">
              <w:rPr>
                <w:rFonts w:hAnsi="Times New Roman" w:cs="Times New Roman"/>
                <w:b/>
                <w:u w:val="single"/>
                <w:lang w:val="lt-LT"/>
              </w:rPr>
              <w:t>Klausimo esmė:</w:t>
            </w:r>
          </w:p>
          <w:p w14:paraId="566FFF68" w14:textId="77777777" w:rsidR="00EC384A" w:rsidRPr="00077641" w:rsidRDefault="00573FCF" w:rsidP="00573FCF">
            <w:pPr>
              <w:pStyle w:val="BodyA"/>
              <w:tabs>
                <w:tab w:val="left" w:pos="-222"/>
              </w:tabs>
              <w:ind w:left="-222"/>
              <w:jc w:val="both"/>
              <w:rPr>
                <w:rFonts w:hAnsi="Times New Roman" w:cs="Times New Roman"/>
                <w:lang w:val="lt-LT"/>
              </w:rPr>
            </w:pPr>
            <w:r w:rsidRPr="00077641">
              <w:rPr>
                <w:rFonts w:hAnsi="Times New Roman" w:cs="Times New Roman"/>
                <w:lang w:val="lt-LT"/>
              </w:rPr>
              <w:t>Saugus ir patikimas informacijos valdymas bei keitimasis ja yra būtinas norint užtikrinti aukštą Europos vidaus saugumo lygį ir laisvą asmenų judėjimą Šengeno erdvėje. Atsižvelgiant į tai, buvo pradėtas procesas, kurio tikslas - iš esmės pagerinti ES informacines sistemas sienų, migracijos, vizų ir saugumo srityse: atnaujinti esamas ir įdiegti naujas sistemas bei užtikrinti jų sąveikumą, pašalinant svarbius identifikuotus trūkumus.</w:t>
            </w:r>
          </w:p>
          <w:p w14:paraId="21A62654" w14:textId="77777777" w:rsidR="00573FCF" w:rsidRPr="00077641" w:rsidRDefault="00A62AB3" w:rsidP="00573FCF">
            <w:pPr>
              <w:pStyle w:val="BodyA"/>
              <w:tabs>
                <w:tab w:val="left" w:pos="-222"/>
              </w:tabs>
              <w:ind w:left="-222"/>
              <w:jc w:val="both"/>
              <w:rPr>
                <w:rFonts w:hAnsi="Times New Roman" w:cs="Times New Roman"/>
                <w:lang w:val="lt-LT"/>
              </w:rPr>
            </w:pPr>
            <w:r w:rsidRPr="00077641">
              <w:rPr>
                <w:rFonts w:hAnsi="Times New Roman" w:cs="Times New Roman"/>
                <w:lang w:val="lt-LT"/>
              </w:rPr>
              <w:t>To pasėkoje buvo pateikti teisėkūros pasiūlymai, kurių dalis jau yra priimta, o dėl likusių vyksta derybos. Jais siekiama:</w:t>
            </w:r>
          </w:p>
          <w:p w14:paraId="7E192D6B" w14:textId="0F864F3C" w:rsidR="00A62AB3" w:rsidRPr="00077641" w:rsidRDefault="00A62AB3" w:rsidP="00A62AB3">
            <w:pPr>
              <w:pStyle w:val="BodyA"/>
              <w:numPr>
                <w:ilvl w:val="0"/>
                <w:numId w:val="38"/>
              </w:numPr>
              <w:tabs>
                <w:tab w:val="left" w:pos="-222"/>
              </w:tabs>
              <w:ind w:left="345"/>
              <w:jc w:val="both"/>
              <w:rPr>
                <w:rFonts w:hAnsi="Times New Roman" w:cs="Times New Roman"/>
                <w:lang w:val="lt-LT"/>
              </w:rPr>
            </w:pPr>
            <w:r w:rsidRPr="00077641">
              <w:rPr>
                <w:rFonts w:hAnsi="Times New Roman" w:cs="Times New Roman"/>
                <w:lang w:val="lt-LT"/>
              </w:rPr>
              <w:lastRenderedPageBreak/>
              <w:t>Sukurti naujas ES informacines sistemas, t. y. Atvykimo / išvykimo sistemą (AIS), Europos kelionių informacijos ir leidimų sistemą (ETIAS) ir Europos nuosprendžių registrų informacinę sistemą trečiųjų šalių piliečiams (ECRIS-TCN);</w:t>
            </w:r>
          </w:p>
          <w:p w14:paraId="26F057F6" w14:textId="77777777" w:rsidR="00A62AB3" w:rsidRPr="00077641" w:rsidRDefault="00A62AB3" w:rsidP="00A62AB3">
            <w:pPr>
              <w:pStyle w:val="BodyA"/>
              <w:numPr>
                <w:ilvl w:val="0"/>
                <w:numId w:val="38"/>
              </w:numPr>
              <w:tabs>
                <w:tab w:val="left" w:pos="-222"/>
              </w:tabs>
              <w:ind w:left="345"/>
              <w:jc w:val="both"/>
              <w:rPr>
                <w:rFonts w:hAnsi="Times New Roman" w:cs="Times New Roman"/>
                <w:lang w:val="lt-LT"/>
              </w:rPr>
            </w:pPr>
            <w:r w:rsidRPr="00077641">
              <w:rPr>
                <w:rFonts w:hAnsi="Times New Roman" w:cs="Times New Roman"/>
                <w:lang w:val="lt-LT"/>
              </w:rPr>
              <w:t>Atnaujinti ir plėtoti kitas jau egzistuojančias sistemas, ty Šengeno informacinę sistemą (SIS), kurioje įdiegtos arba jau įgyvendinamos kelios naujos funkcijos, Vizų informacinę sistemą (VIS), dėl kurios modernizavimo deramasi su Parlamentu ir „Eurodac“, dėl kurio Komisija neseniai pateikė iš dalies pakeistą teisėkūros pasiūlymą;</w:t>
            </w:r>
          </w:p>
          <w:p w14:paraId="6D6B3608" w14:textId="77777777" w:rsidR="00E4299A" w:rsidRPr="00077641" w:rsidRDefault="00A62AB3" w:rsidP="00080285">
            <w:pPr>
              <w:pStyle w:val="BodyA"/>
              <w:numPr>
                <w:ilvl w:val="0"/>
                <w:numId w:val="38"/>
              </w:numPr>
              <w:tabs>
                <w:tab w:val="left" w:pos="-222"/>
              </w:tabs>
              <w:spacing w:after="120"/>
              <w:ind w:left="345"/>
              <w:jc w:val="both"/>
              <w:rPr>
                <w:rFonts w:hAnsi="Times New Roman" w:cs="Times New Roman"/>
                <w:lang w:val="lt-LT"/>
              </w:rPr>
            </w:pPr>
            <w:r w:rsidRPr="00077641">
              <w:rPr>
                <w:rFonts w:hAnsi="Times New Roman" w:cs="Times New Roman"/>
                <w:lang w:val="lt-LT"/>
              </w:rPr>
              <w:t>Sukurti šių paminėtų ES informacinių sistemų sąveikumą, kuris, pvz. turėtų suteikti galimybę toms sistemoms papildyti viena kitą, kad būtų lengviau tinkamai identifikuoti asmenis ir nustatyti tapatybės klastojimo ir sukčiavimo atvejus.</w:t>
            </w:r>
          </w:p>
          <w:p w14:paraId="4504BD8D" w14:textId="77777777" w:rsidR="00600385" w:rsidRPr="00077641" w:rsidRDefault="00E4299A" w:rsidP="00080285">
            <w:pPr>
              <w:pStyle w:val="BodyA"/>
              <w:tabs>
                <w:tab w:val="left" w:pos="-222"/>
              </w:tabs>
              <w:spacing w:after="120"/>
              <w:ind w:left="-222"/>
              <w:jc w:val="both"/>
              <w:rPr>
                <w:rFonts w:hAnsi="Times New Roman" w:cs="Times New Roman"/>
                <w:lang w:val="lt-LT"/>
              </w:rPr>
            </w:pPr>
            <w:r w:rsidRPr="00077641">
              <w:rPr>
                <w:rFonts w:hAnsi="Times New Roman" w:cs="Times New Roman"/>
                <w:lang w:val="lt-LT"/>
              </w:rPr>
              <w:t xml:space="preserve">Savalaikis atnaujintos TVR IT sistemų architektūros įgyvendinimas yra vienas iš svarbiausių prioritetų. </w:t>
            </w:r>
            <w:r w:rsidR="00600385" w:rsidRPr="00077641">
              <w:rPr>
                <w:rFonts w:hAnsi="Times New Roman" w:cs="Times New Roman"/>
                <w:lang w:val="lt-LT"/>
              </w:rPr>
              <w:t>Dėl savo kompleksiškumo ir kuriamų jungčių daugialypiškumo, tai yra sudėtingas uždavinys tiek valstybėms narėms, tiek susijusioms ES agentūroms. COVID-19 pandemija taip pat sukėlė sutrikimų ir kliūčių įgyvendinant projektus, visų pirma AIS. Atsižvelgiant į tai, kad kiekvienos sistemos paleidimas laiku priklausys nuo to, ar kiekviena valstybė narė tam numatytu metu bus pilnai pasirengusi, akivaizdu, kad tiek valstybėms narėms, tiek ES agentūroms planuojant savo darbus reikia patikimumo ir skaidrumo.</w:t>
            </w:r>
          </w:p>
          <w:p w14:paraId="61E8B2BF" w14:textId="77777777" w:rsidR="00A26397" w:rsidRPr="00077641" w:rsidRDefault="00600385" w:rsidP="00080285">
            <w:pPr>
              <w:pStyle w:val="BodyA"/>
              <w:tabs>
                <w:tab w:val="left" w:pos="-222"/>
              </w:tabs>
              <w:spacing w:after="120"/>
              <w:ind w:left="-222"/>
              <w:jc w:val="both"/>
              <w:rPr>
                <w:rFonts w:hAnsi="Times New Roman" w:cs="Times New Roman"/>
                <w:lang w:val="lt-LT"/>
              </w:rPr>
            </w:pPr>
            <w:r w:rsidRPr="00077641">
              <w:rPr>
                <w:rFonts w:hAnsi="Times New Roman" w:cs="Times New Roman"/>
                <w:lang w:val="lt-LT"/>
              </w:rPr>
              <w:t xml:space="preserve">Kai kurios valstybės narės pranešė apie nemažus vėlavimus nacionaliniu lygiu, daugiausia susijusius su pasirengimo AIS paleidimui etapais. Tačiau visos proceso šalys išreiškia įsipareigojimą dėti visas pastangas, kad būtų išlaikytas bendras atnaujintos TVR informacinės architektūros įgyvendinimo terminas, nustatytas 2023 m. </w:t>
            </w:r>
            <w:r w:rsidR="00A26397" w:rsidRPr="00077641">
              <w:rPr>
                <w:rFonts w:hAnsi="Times New Roman" w:cs="Times New Roman"/>
                <w:lang w:val="lt-LT"/>
              </w:rPr>
              <w:t>p</w:t>
            </w:r>
            <w:r w:rsidRPr="00077641">
              <w:rPr>
                <w:rFonts w:hAnsi="Times New Roman" w:cs="Times New Roman"/>
                <w:lang w:val="lt-LT"/>
              </w:rPr>
              <w:t>abaig</w:t>
            </w:r>
            <w:r w:rsidR="00A26397" w:rsidRPr="00077641">
              <w:rPr>
                <w:rFonts w:hAnsi="Times New Roman" w:cs="Times New Roman"/>
                <w:lang w:val="lt-LT"/>
              </w:rPr>
              <w:t>ai</w:t>
            </w:r>
            <w:r w:rsidRPr="00077641">
              <w:rPr>
                <w:rFonts w:hAnsi="Times New Roman" w:cs="Times New Roman"/>
                <w:lang w:val="lt-LT"/>
              </w:rPr>
              <w:t>.</w:t>
            </w:r>
          </w:p>
          <w:p w14:paraId="371E3223" w14:textId="73C38613" w:rsidR="00080285" w:rsidRPr="00077641" w:rsidRDefault="00FF30E7" w:rsidP="00080285">
            <w:pPr>
              <w:pStyle w:val="BodyA"/>
              <w:tabs>
                <w:tab w:val="left" w:pos="-222"/>
              </w:tabs>
              <w:spacing w:after="120"/>
              <w:ind w:left="-222"/>
              <w:jc w:val="both"/>
              <w:rPr>
                <w:rFonts w:hAnsi="Times New Roman" w:cs="Times New Roman"/>
                <w:lang w:val="lt-LT"/>
              </w:rPr>
            </w:pPr>
            <w:r w:rsidRPr="00077641">
              <w:rPr>
                <w:rFonts w:hAnsi="Times New Roman" w:cs="Times New Roman"/>
                <w:lang w:val="lt-LT"/>
              </w:rPr>
              <w:t>Spalio 28 d. Įvykusiame aukšto lygio sąveikumo forume Europos Komisija informavo valstybes nares apie sąveikumo įgyvendinimo pažangą ir pateikė padėties</w:t>
            </w:r>
            <w:r w:rsidR="00080285" w:rsidRPr="00077641">
              <w:rPr>
                <w:rFonts w:hAnsi="Times New Roman" w:cs="Times New Roman"/>
                <w:lang w:val="lt-LT"/>
              </w:rPr>
              <w:t xml:space="preserve"> analizę</w:t>
            </w:r>
            <w:r w:rsidRPr="00077641">
              <w:rPr>
                <w:rFonts w:hAnsi="Times New Roman" w:cs="Times New Roman"/>
                <w:lang w:val="lt-LT"/>
              </w:rPr>
              <w:t xml:space="preserve"> centriniu ir nacionaliniu lygiu. Remdamasi šia analize, Komisija nurodė, kad reikia peržiūrėti AIS </w:t>
            </w:r>
            <w:r w:rsidR="00080285" w:rsidRPr="00077641">
              <w:rPr>
                <w:rFonts w:hAnsi="Times New Roman" w:cs="Times New Roman"/>
                <w:lang w:val="lt-LT"/>
              </w:rPr>
              <w:t xml:space="preserve">įgyvendinimo </w:t>
            </w:r>
            <w:r w:rsidRPr="00077641">
              <w:rPr>
                <w:rFonts w:hAnsi="Times New Roman" w:cs="Times New Roman"/>
                <w:lang w:val="lt-LT"/>
              </w:rPr>
              <w:t xml:space="preserve">tvarkaraštį. </w:t>
            </w:r>
            <w:r w:rsidR="00080285" w:rsidRPr="00077641">
              <w:rPr>
                <w:rFonts w:hAnsi="Times New Roman" w:cs="Times New Roman"/>
                <w:lang w:val="lt-LT"/>
              </w:rPr>
              <w:t>A</w:t>
            </w:r>
            <w:r w:rsidRPr="00077641">
              <w:rPr>
                <w:rFonts w:hAnsi="Times New Roman" w:cs="Times New Roman"/>
                <w:lang w:val="lt-LT"/>
              </w:rPr>
              <w:t>tsižvelgiant į bepreceden</w:t>
            </w:r>
            <w:r w:rsidR="00077641">
              <w:rPr>
                <w:rFonts w:hAnsi="Times New Roman" w:cs="Times New Roman"/>
                <w:lang w:val="lt-LT"/>
              </w:rPr>
              <w:t>či</w:t>
            </w:r>
            <w:r w:rsidRPr="00077641">
              <w:rPr>
                <w:rFonts w:hAnsi="Times New Roman" w:cs="Times New Roman"/>
                <w:lang w:val="lt-LT"/>
              </w:rPr>
              <w:t xml:space="preserve">us iššūkius, su kuriais susiduria Europa, </w:t>
            </w:r>
            <w:r w:rsidR="007824A0" w:rsidRPr="00077641">
              <w:rPr>
                <w:rFonts w:hAnsi="Times New Roman" w:cs="Times New Roman"/>
                <w:lang w:val="lt-LT"/>
              </w:rPr>
              <w:t>Komisija siūlo</w:t>
            </w:r>
            <w:r w:rsidR="00080285" w:rsidRPr="00077641">
              <w:rPr>
                <w:rFonts w:hAnsi="Times New Roman" w:cs="Times New Roman"/>
                <w:lang w:val="lt-LT"/>
              </w:rPr>
              <w:t xml:space="preserve"> </w:t>
            </w:r>
            <w:r w:rsidRPr="00077641">
              <w:rPr>
                <w:rFonts w:hAnsi="Times New Roman" w:cs="Times New Roman"/>
                <w:lang w:val="lt-LT"/>
              </w:rPr>
              <w:t>atidė</w:t>
            </w:r>
            <w:r w:rsidR="00080285" w:rsidRPr="00077641">
              <w:rPr>
                <w:rFonts w:hAnsi="Times New Roman" w:cs="Times New Roman"/>
                <w:lang w:val="lt-LT"/>
              </w:rPr>
              <w:t>ti</w:t>
            </w:r>
            <w:r w:rsidRPr="00077641">
              <w:rPr>
                <w:rFonts w:hAnsi="Times New Roman" w:cs="Times New Roman"/>
                <w:lang w:val="lt-LT"/>
              </w:rPr>
              <w:t xml:space="preserve"> </w:t>
            </w:r>
            <w:r w:rsidR="00080285" w:rsidRPr="00077641">
              <w:rPr>
                <w:rFonts w:hAnsi="Times New Roman" w:cs="Times New Roman"/>
                <w:lang w:val="lt-LT"/>
              </w:rPr>
              <w:t xml:space="preserve">numatytą paskelbimo apie pasirengimą </w:t>
            </w:r>
            <w:r w:rsidRPr="00077641">
              <w:rPr>
                <w:rFonts w:hAnsi="Times New Roman" w:cs="Times New Roman"/>
                <w:lang w:val="lt-LT"/>
              </w:rPr>
              <w:t xml:space="preserve">AIS </w:t>
            </w:r>
            <w:r w:rsidR="00080285" w:rsidRPr="00077641">
              <w:rPr>
                <w:rFonts w:hAnsi="Times New Roman" w:cs="Times New Roman"/>
                <w:lang w:val="lt-LT"/>
              </w:rPr>
              <w:t xml:space="preserve">veikimui </w:t>
            </w:r>
            <w:r w:rsidRPr="00077641">
              <w:rPr>
                <w:rFonts w:hAnsi="Times New Roman" w:cs="Times New Roman"/>
                <w:lang w:val="lt-LT"/>
              </w:rPr>
              <w:t>dat</w:t>
            </w:r>
            <w:r w:rsidR="00080285" w:rsidRPr="00077641">
              <w:rPr>
                <w:rFonts w:hAnsi="Times New Roman" w:cs="Times New Roman"/>
                <w:lang w:val="lt-LT"/>
              </w:rPr>
              <w:t>ą</w:t>
            </w:r>
            <w:r w:rsidRPr="00077641">
              <w:rPr>
                <w:rFonts w:hAnsi="Times New Roman" w:cs="Times New Roman"/>
                <w:lang w:val="lt-LT"/>
              </w:rPr>
              <w:t xml:space="preserve"> </w:t>
            </w:r>
            <w:r w:rsidR="00080285" w:rsidRPr="00077641">
              <w:rPr>
                <w:rFonts w:hAnsi="Times New Roman" w:cs="Times New Roman"/>
                <w:lang w:val="lt-LT"/>
              </w:rPr>
              <w:t xml:space="preserve">bent </w:t>
            </w:r>
            <w:r w:rsidRPr="00077641">
              <w:rPr>
                <w:rFonts w:hAnsi="Times New Roman" w:cs="Times New Roman"/>
                <w:lang w:val="lt-LT"/>
              </w:rPr>
              <w:t xml:space="preserve">dviem mėnesiais (nuo 2022 m. </w:t>
            </w:r>
            <w:r w:rsidR="00080285" w:rsidRPr="00077641">
              <w:rPr>
                <w:rFonts w:hAnsi="Times New Roman" w:cs="Times New Roman"/>
                <w:lang w:val="lt-LT"/>
              </w:rPr>
              <w:t>v</w:t>
            </w:r>
            <w:r w:rsidRPr="00077641">
              <w:rPr>
                <w:rFonts w:hAnsi="Times New Roman" w:cs="Times New Roman"/>
                <w:lang w:val="lt-LT"/>
              </w:rPr>
              <w:t>asario pab</w:t>
            </w:r>
            <w:r w:rsidR="00080285" w:rsidRPr="00077641">
              <w:rPr>
                <w:rFonts w:hAnsi="Times New Roman" w:cs="Times New Roman"/>
                <w:lang w:val="lt-LT"/>
              </w:rPr>
              <w:t>.</w:t>
            </w:r>
            <w:r w:rsidRPr="00077641">
              <w:rPr>
                <w:rFonts w:hAnsi="Times New Roman" w:cs="Times New Roman"/>
                <w:lang w:val="lt-LT"/>
              </w:rPr>
              <w:t xml:space="preserve"> iki 2022 m. </w:t>
            </w:r>
            <w:r w:rsidR="00080285" w:rsidRPr="00077641">
              <w:rPr>
                <w:rFonts w:hAnsi="Times New Roman" w:cs="Times New Roman"/>
                <w:lang w:val="lt-LT"/>
              </w:rPr>
              <w:t>balandžio</w:t>
            </w:r>
            <w:r w:rsidRPr="00077641">
              <w:rPr>
                <w:rFonts w:hAnsi="Times New Roman" w:cs="Times New Roman"/>
                <w:lang w:val="lt-LT"/>
              </w:rPr>
              <w:t xml:space="preserve"> pab</w:t>
            </w:r>
            <w:r w:rsidR="00080285" w:rsidRPr="00077641">
              <w:rPr>
                <w:rFonts w:hAnsi="Times New Roman" w:cs="Times New Roman"/>
                <w:lang w:val="lt-LT"/>
              </w:rPr>
              <w:t>.</w:t>
            </w:r>
            <w:r w:rsidRPr="00077641">
              <w:rPr>
                <w:rFonts w:hAnsi="Times New Roman" w:cs="Times New Roman"/>
                <w:lang w:val="lt-LT"/>
              </w:rPr>
              <w:t xml:space="preserve">). Kartu tai leistų </w:t>
            </w:r>
            <w:r w:rsidR="00080285" w:rsidRPr="00077641">
              <w:rPr>
                <w:rFonts w:hAnsi="Times New Roman" w:cs="Times New Roman"/>
                <w:lang w:val="lt-LT"/>
              </w:rPr>
              <w:t xml:space="preserve">išlaikyti </w:t>
            </w:r>
            <w:r w:rsidRPr="00077641">
              <w:rPr>
                <w:rFonts w:hAnsi="Times New Roman" w:cs="Times New Roman"/>
                <w:lang w:val="lt-LT"/>
              </w:rPr>
              <w:t>likusi</w:t>
            </w:r>
            <w:r w:rsidR="00080285" w:rsidRPr="00077641">
              <w:rPr>
                <w:rFonts w:hAnsi="Times New Roman" w:cs="Times New Roman"/>
                <w:lang w:val="lt-LT"/>
              </w:rPr>
              <w:t>ų etapų terminus nepakeistus</w:t>
            </w:r>
            <w:r w:rsidRPr="00077641">
              <w:rPr>
                <w:rFonts w:hAnsi="Times New Roman" w:cs="Times New Roman"/>
                <w:lang w:val="lt-LT"/>
              </w:rPr>
              <w:t>.</w:t>
            </w:r>
          </w:p>
          <w:p w14:paraId="1C764002" w14:textId="77777777" w:rsidR="00EC384A" w:rsidRPr="00077641" w:rsidRDefault="00EC384A" w:rsidP="00EC384A">
            <w:pPr>
              <w:pStyle w:val="BodyA"/>
              <w:tabs>
                <w:tab w:val="left" w:pos="-222"/>
                <w:tab w:val="left" w:pos="62"/>
              </w:tabs>
              <w:spacing w:after="120"/>
              <w:ind w:left="-221"/>
              <w:jc w:val="both"/>
              <w:rPr>
                <w:rFonts w:hAnsi="Times New Roman" w:cs="Times New Roman"/>
                <w:b/>
                <w:lang w:val="lt-LT"/>
              </w:rPr>
            </w:pPr>
            <w:r w:rsidRPr="00077641">
              <w:rPr>
                <w:rFonts w:hAnsi="Times New Roman" w:cs="Times New Roman"/>
                <w:b/>
                <w:lang w:val="lt-LT"/>
              </w:rPr>
              <w:t>Ministrų diskusijai keliami tokie klausimai:</w:t>
            </w:r>
          </w:p>
          <w:p w14:paraId="7F8257A7" w14:textId="77777777" w:rsidR="00EC384A" w:rsidRPr="00077641" w:rsidRDefault="00EC384A" w:rsidP="00EC384A">
            <w:pPr>
              <w:pStyle w:val="BodyA"/>
              <w:tabs>
                <w:tab w:val="left" w:pos="-222"/>
                <w:tab w:val="left" w:pos="62"/>
              </w:tabs>
              <w:spacing w:after="120"/>
              <w:ind w:left="-221"/>
              <w:jc w:val="both"/>
              <w:rPr>
                <w:rFonts w:hAnsi="Times New Roman" w:cs="Times New Roman"/>
                <w:i/>
                <w:lang w:val="lt-LT"/>
              </w:rPr>
            </w:pPr>
            <w:r w:rsidRPr="00077641">
              <w:rPr>
                <w:rFonts w:hAnsi="Times New Roman" w:cs="Times New Roman"/>
                <w:i/>
                <w:lang w:val="lt-LT"/>
              </w:rPr>
              <w:t>1. Ar Komisijos siūlomas persvarstytas AIS įgyvendinimo tvarkaraštis yra tinkama reakcija į vėlavimus, kuriuos sukėlė COVID-19 pandemija, ir atskleidė atlikta situacijos analizė?</w:t>
            </w:r>
          </w:p>
          <w:p w14:paraId="46699415" w14:textId="77777777" w:rsidR="00BF7037" w:rsidRPr="00077641" w:rsidRDefault="00EC384A" w:rsidP="00EC384A">
            <w:pPr>
              <w:pStyle w:val="BodyA"/>
              <w:tabs>
                <w:tab w:val="left" w:pos="-222"/>
                <w:tab w:val="left" w:pos="62"/>
              </w:tabs>
              <w:ind w:left="-222"/>
              <w:jc w:val="both"/>
              <w:rPr>
                <w:rFonts w:hAnsi="Times New Roman" w:cs="Times New Roman"/>
                <w:i/>
                <w:lang w:val="lt-LT"/>
              </w:rPr>
            </w:pPr>
            <w:r w:rsidRPr="00077641">
              <w:rPr>
                <w:rFonts w:hAnsi="Times New Roman" w:cs="Times New Roman"/>
                <w:i/>
                <w:lang w:val="lt-LT"/>
              </w:rPr>
              <w:t>2. Atsižvelgdami į šį patikslintą AIS įgyvendinimo tvarkaraštį, ar galite patvirtinti, kad jūsų valstybėje narėje bus parengtos visos būtinos teisinės ir veiklos priemonės, reikalingos  planuojamai TVR informacinių sistemų architektūros pertvarkai atlikti, išlaikant terminą pilnam jos įgyvendinimui iki 2023 m. pabaigos?</w:t>
            </w:r>
          </w:p>
          <w:p w14:paraId="5B62D18E" w14:textId="77777777" w:rsidR="00BF7037" w:rsidRPr="00077641" w:rsidRDefault="00BF7037" w:rsidP="00BF7037">
            <w:pPr>
              <w:pStyle w:val="BodyA"/>
              <w:tabs>
                <w:tab w:val="left" w:pos="-222"/>
                <w:tab w:val="left" w:pos="62"/>
              </w:tabs>
              <w:ind w:left="-222"/>
              <w:jc w:val="both"/>
              <w:rPr>
                <w:rFonts w:hAnsi="Times New Roman" w:cs="Times New Roman"/>
                <w:b/>
                <w:lang w:val="lt-LT"/>
              </w:rPr>
            </w:pPr>
          </w:p>
          <w:p w14:paraId="790E0BF3" w14:textId="77777777" w:rsidR="00BF7037" w:rsidRPr="00077641" w:rsidRDefault="00BF7037" w:rsidP="00080285">
            <w:pPr>
              <w:pStyle w:val="BodyA"/>
              <w:tabs>
                <w:tab w:val="left" w:pos="-222"/>
                <w:tab w:val="left" w:pos="62"/>
              </w:tabs>
              <w:spacing w:after="120"/>
              <w:ind w:left="-221"/>
              <w:jc w:val="both"/>
              <w:rPr>
                <w:rFonts w:hAnsi="Times New Roman" w:cs="Times New Roman"/>
                <w:b/>
                <w:u w:val="single"/>
                <w:lang w:val="lt-LT"/>
              </w:rPr>
            </w:pPr>
            <w:r w:rsidRPr="00077641">
              <w:rPr>
                <w:rFonts w:hAnsi="Times New Roman" w:cs="Times New Roman"/>
                <w:b/>
                <w:u w:val="single"/>
                <w:lang w:val="lt-LT"/>
              </w:rPr>
              <w:t>Lietuvos pozicija:</w:t>
            </w:r>
          </w:p>
          <w:p w14:paraId="2AED618A" w14:textId="77777777" w:rsidR="00797067" w:rsidRPr="00077641" w:rsidRDefault="00797067" w:rsidP="00797067">
            <w:pPr>
              <w:pStyle w:val="prastasiniatinklio"/>
              <w:spacing w:before="0" w:beforeAutospacing="0" w:after="120" w:afterAutospacing="0"/>
              <w:ind w:left="-221"/>
              <w:jc w:val="both"/>
            </w:pPr>
            <w:r w:rsidRPr="00077641">
              <w:rPr>
                <w:iCs/>
              </w:rPr>
              <w:t>Pritariame, kad naujos EU IT architektūros sukūrimas yra ir turi būti mūsų prioritetu. Dedame visas pastangas, kad naujoji IT architektūra būtų įgyvendinta laiku. Tai yra sudėtingas procesas, kurio sėkmė priklauso nuo daugelio veiksnių (pavyzdžiui, ilgesnių nei planuota viešųjų pirkimų procedūrų, taip pat nuo pandemijos poveikio ir kt.).</w:t>
            </w:r>
          </w:p>
          <w:p w14:paraId="6FC3B323" w14:textId="77777777" w:rsidR="00797067" w:rsidRPr="00077641" w:rsidRDefault="00797067" w:rsidP="00797067">
            <w:pPr>
              <w:pStyle w:val="prastasiniatinklio"/>
              <w:spacing w:before="0" w:beforeAutospacing="0" w:after="120" w:afterAutospacing="0"/>
              <w:ind w:left="-221"/>
              <w:jc w:val="both"/>
            </w:pPr>
            <w:r w:rsidRPr="00077641">
              <w:rPr>
                <w:iCs/>
              </w:rPr>
              <w:t>Lietuvoje baigtas pasirengimo ir planavimo etapas. Esame pasiryžę imtis visų būtinų priemonių, kad užtikrintume tinkamą susijusių EU reglamentų įgyvendinimą. AIS, kaip pirmajai pradėsiančiai veikti IT sistemai, skiriame ypatingą dėmesį ir pastangas. AIS įgyvendinimas šiuo metu vyksta pagal nacionalinį planą, tačiau negalime atmesti rizikų susijusių su viešaisiais pirkimais, o taip pat ir kitų neigiamų veiksnių.</w:t>
            </w:r>
          </w:p>
          <w:p w14:paraId="41BC34E9" w14:textId="77777777" w:rsidR="008B2A52" w:rsidRPr="00077641" w:rsidRDefault="00797067" w:rsidP="00077641">
            <w:pPr>
              <w:pStyle w:val="prastasiniatinklio"/>
              <w:spacing w:before="0" w:beforeAutospacing="0" w:after="120" w:afterAutospacing="0"/>
              <w:ind w:left="-221"/>
              <w:jc w:val="both"/>
            </w:pPr>
            <w:r w:rsidRPr="00077641">
              <w:rPr>
                <w:iCs/>
              </w:rPr>
              <w:lastRenderedPageBreak/>
              <w:t>Įvertinę visas galimas rizikas, įskaitant C</w:t>
            </w:r>
            <w:r w:rsidR="00077641" w:rsidRPr="00077641">
              <w:rPr>
                <w:iCs/>
              </w:rPr>
              <w:t>OVID</w:t>
            </w:r>
            <w:r w:rsidRPr="00077641">
              <w:rPr>
                <w:iCs/>
              </w:rPr>
              <w:t xml:space="preserve">–19 poveikį, palaikome Europos Komisijos požiūrį dėl terminų vėlinimo, tačiau kartu laikomės nuomonės, kad diskusijos dėl termino patvirtinimo turėtų vykti vėliau, nes šiuo metu nėra pakankamai informacijos tokiam sprendimui priimti. Svarbu sutarti siekti AIS įgyvendinimo visiems priimtinu laiku, nes tik tokiu būdu galime užtikrinti tinkamą sistemų funkcionavimą. Siekiant išvengti neigiamo poveikio dėl termino pratęsimo, numatant naująjį terminą, jis turėtų būti pagrįstas objektyvia informacija ir neturėtų sudaryti prielaidų valstybėms narėms sulėtinti kuo spartesnio AIS įgyvendinimo pastangas. </w:t>
            </w:r>
          </w:p>
        </w:tc>
      </w:tr>
    </w:tbl>
    <w:p w14:paraId="6B2B0C34" w14:textId="77777777" w:rsidR="004B217F" w:rsidRPr="00077641" w:rsidRDefault="004B217F" w:rsidP="00946AC6">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BF7037" w:rsidRPr="00077641" w14:paraId="45E03ADE" w14:textId="77777777" w:rsidTr="003A425D">
        <w:trPr>
          <w:trHeight w:val="6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6D80134F" w14:textId="77777777" w:rsidR="00BF7037" w:rsidRPr="00077641" w:rsidRDefault="00BF7037" w:rsidP="00BF7037">
            <w:pPr>
              <w:pStyle w:val="BodyA"/>
              <w:tabs>
                <w:tab w:val="left" w:pos="0"/>
              </w:tabs>
              <w:ind w:hanging="222"/>
              <w:rPr>
                <w:rFonts w:hAnsi="Times New Roman" w:cs="Times New Roman"/>
                <w:b/>
                <w:lang w:val="lt-LT"/>
              </w:rPr>
            </w:pPr>
            <w:r w:rsidRPr="00077641">
              <w:rPr>
                <w:rFonts w:hAnsi="Times New Roman" w:cs="Times New Roman"/>
                <w:b/>
                <w:lang w:val="lt-LT"/>
              </w:rPr>
              <w:t xml:space="preserve">4. Išvados dėl vidaus saugumo ir Europos policijos partnerystės / Kiti su vidaus saugumu susiję klausimai </w:t>
            </w:r>
          </w:p>
          <w:p w14:paraId="6571B79B" w14:textId="77777777" w:rsidR="00BF7037" w:rsidRPr="00077641" w:rsidRDefault="00BF7037" w:rsidP="00BF7037">
            <w:pPr>
              <w:pStyle w:val="BodyA"/>
              <w:tabs>
                <w:tab w:val="left" w:pos="0"/>
              </w:tabs>
              <w:ind w:hanging="222"/>
              <w:rPr>
                <w:rFonts w:hAnsi="Times New Roman" w:cs="Times New Roman"/>
                <w:i/>
                <w:lang w:val="lt-LT"/>
              </w:rPr>
            </w:pPr>
            <w:r w:rsidRPr="00077641">
              <w:rPr>
                <w:rFonts w:hAnsi="Times New Roman" w:cs="Times New Roman"/>
                <w:i/>
                <w:lang w:val="lt-LT"/>
              </w:rPr>
              <w:t xml:space="preserve">- Pasikeitimas nuomonėmis </w:t>
            </w:r>
          </w:p>
          <w:p w14:paraId="569DA387" w14:textId="77777777" w:rsidR="00BF7037" w:rsidRPr="00077641" w:rsidRDefault="00BF7037" w:rsidP="00BF7037">
            <w:pPr>
              <w:pStyle w:val="BodyA"/>
              <w:tabs>
                <w:tab w:val="left" w:pos="0"/>
              </w:tabs>
              <w:ind w:hanging="222"/>
              <w:rPr>
                <w:rFonts w:hAnsi="Times New Roman" w:cs="Times New Roman"/>
                <w:i/>
                <w:u w:val="single"/>
                <w:lang w:val="lt-LT"/>
              </w:rPr>
            </w:pPr>
            <w:r w:rsidRPr="00077641">
              <w:rPr>
                <w:rFonts w:hAnsi="Times New Roman" w:cs="Times New Roman"/>
                <w:i/>
                <w:lang w:val="lt-LT"/>
              </w:rPr>
              <w:t>- Patvirtinimas</w:t>
            </w:r>
          </w:p>
          <w:p w14:paraId="7897534C" w14:textId="77777777" w:rsidR="00BF7037" w:rsidRPr="00077641" w:rsidRDefault="00BF7037" w:rsidP="003A425D">
            <w:pPr>
              <w:pStyle w:val="BodyA"/>
              <w:tabs>
                <w:tab w:val="left" w:pos="284"/>
              </w:tabs>
              <w:ind w:left="284" w:hanging="506"/>
              <w:rPr>
                <w:rFonts w:hAnsi="Times New Roman" w:cs="Times New Roman"/>
                <w:lang w:val="lt-LT"/>
              </w:rPr>
            </w:pPr>
          </w:p>
          <w:p w14:paraId="606381F8" w14:textId="77777777" w:rsidR="00BF7037" w:rsidRPr="00077641" w:rsidRDefault="00BF7037" w:rsidP="00080285">
            <w:pPr>
              <w:pStyle w:val="BodyA"/>
              <w:tabs>
                <w:tab w:val="left" w:pos="284"/>
              </w:tabs>
              <w:spacing w:after="120"/>
              <w:ind w:left="284" w:hanging="505"/>
              <w:rPr>
                <w:rFonts w:hAnsi="Times New Roman" w:cs="Times New Roman"/>
                <w:b/>
                <w:u w:val="single"/>
                <w:lang w:val="lt-LT"/>
              </w:rPr>
            </w:pPr>
            <w:r w:rsidRPr="00077641">
              <w:rPr>
                <w:rFonts w:hAnsi="Times New Roman" w:cs="Times New Roman"/>
                <w:b/>
                <w:u w:val="single"/>
                <w:lang w:val="lt-LT"/>
              </w:rPr>
              <w:t>Klausimo esmė:</w:t>
            </w:r>
          </w:p>
          <w:p w14:paraId="647DEE91" w14:textId="77777777" w:rsidR="00BF7037" w:rsidRPr="00077641" w:rsidRDefault="00BF7037" w:rsidP="00CA640F">
            <w:pPr>
              <w:pStyle w:val="xmsonormal"/>
              <w:spacing w:before="0" w:beforeAutospacing="0" w:after="120" w:afterAutospacing="0"/>
              <w:ind w:left="-221"/>
              <w:jc w:val="both"/>
              <w:rPr>
                <w:color w:val="000000"/>
              </w:rPr>
            </w:pPr>
            <w:r w:rsidRPr="00077641">
              <w:rPr>
                <w:color w:val="000000"/>
              </w:rPr>
              <w:t>Europos Policijos partnerystės (EPP) iniciatyva yra vienas iš ES Tarybai pirmininkaujančios DE prioritetų TVR srityje.</w:t>
            </w:r>
          </w:p>
          <w:p w14:paraId="4E362AF5" w14:textId="6E0ABC19" w:rsidR="00BF7037" w:rsidRPr="00077641" w:rsidRDefault="00BF7037" w:rsidP="00CA640F">
            <w:pPr>
              <w:pStyle w:val="xmsonormal"/>
              <w:spacing w:before="0" w:beforeAutospacing="0" w:after="120" w:afterAutospacing="0"/>
              <w:ind w:left="-221"/>
              <w:jc w:val="both"/>
              <w:rPr>
                <w:color w:val="000000"/>
              </w:rPr>
            </w:pPr>
            <w:r w:rsidRPr="00077641">
              <w:rPr>
                <w:color w:val="000000"/>
              </w:rPr>
              <w:t>Šia iniciatyva siekiama toliau stiprinti ES teisėsaugos bendradarbiavimą, kad policijos pareigūnai visada galėtų operatyviai pasiekti jiems reikiamą informaciją, kuria disponuoja kit</w:t>
            </w:r>
            <w:r w:rsidR="00D31597">
              <w:rPr>
                <w:color w:val="000000"/>
              </w:rPr>
              <w:t>ų valstybių narių</w:t>
            </w:r>
            <w:r w:rsidRPr="00077641">
              <w:rPr>
                <w:color w:val="000000"/>
              </w:rPr>
              <w:t xml:space="preserve">  teisėsaugos institucijos. Todėl siekiama optimizuoti esamus tarptautinio policijos bendradarbiavimo įrankius ir kanalus, gerinti keitimąsi informacija tarp </w:t>
            </w:r>
            <w:r w:rsidR="00D31597">
              <w:rPr>
                <w:color w:val="000000"/>
              </w:rPr>
              <w:t>valstybių narių</w:t>
            </w:r>
            <w:r w:rsidRPr="00077641">
              <w:rPr>
                <w:color w:val="000000"/>
              </w:rPr>
              <w:t xml:space="preserve"> ir TVR agentūrų, stiprinti TVR agentūrų veiklą, skiriant joms pakankamus finansinius resursus, reikalingus efektyviai vykdyti joms keliamas užduotis ir funkcijas.</w:t>
            </w:r>
          </w:p>
          <w:p w14:paraId="0F1AE3A1" w14:textId="77777777" w:rsidR="00BF7037" w:rsidRPr="00077641" w:rsidRDefault="00BF7037" w:rsidP="00CA640F">
            <w:pPr>
              <w:pStyle w:val="xmsonormal"/>
              <w:spacing w:before="0" w:beforeAutospacing="0" w:after="120" w:afterAutospacing="0"/>
              <w:ind w:left="-221"/>
              <w:jc w:val="both"/>
              <w:rPr>
                <w:color w:val="000000"/>
              </w:rPr>
            </w:pPr>
            <w:r w:rsidRPr="00077641">
              <w:rPr>
                <w:color w:val="000000"/>
              </w:rPr>
              <w:t>Tarybai pirmininkaujanti šalis dėl EPP nori suplanuoti (laikotarpiui iki 2025 m.) prioritetus, veiksmus ir priemones ir norimų rezultatų pasiekiamumą. Į EPP įtrauktos 5 sritys: Europos teisėsaugos bendradarbiavimo stiprinimas; technologinės pažangos vystymas; Pasauliniai iššūkiai ir tarptautinis bendradarbiavimas saugumo srityje (tarptautinė dimensija); kova su tarptautiniu organizuotu nusikalstamu; Terorizmo ir smurtinio ekstremizmo prevencija ir kova su juo.</w:t>
            </w:r>
          </w:p>
          <w:p w14:paraId="159B5D2D" w14:textId="07DA0B41" w:rsidR="00BF7037" w:rsidRPr="00077641" w:rsidRDefault="00BF7037" w:rsidP="00CA640F">
            <w:pPr>
              <w:pStyle w:val="xmsonormal"/>
              <w:spacing w:before="0" w:beforeAutospacing="0" w:after="120" w:afterAutospacing="0"/>
              <w:ind w:left="-221"/>
              <w:jc w:val="both"/>
              <w:rPr>
                <w:color w:val="000000"/>
              </w:rPr>
            </w:pPr>
            <w:r w:rsidRPr="00077641">
              <w:rPr>
                <w:color w:val="000000"/>
              </w:rPr>
              <w:t xml:space="preserve">Politinių diskusijų išvados po spalio </w:t>
            </w:r>
            <w:r w:rsidR="007824A0" w:rsidRPr="00077641">
              <w:rPr>
                <w:color w:val="000000"/>
              </w:rPr>
              <w:t>8</w:t>
            </w:r>
            <w:r w:rsidRPr="00077641">
              <w:rPr>
                <w:color w:val="000000"/>
              </w:rPr>
              <w:t xml:space="preserve"> d.</w:t>
            </w:r>
            <w:r w:rsidR="007824A0" w:rsidRPr="00077641">
              <w:rPr>
                <w:color w:val="000000"/>
              </w:rPr>
              <w:t xml:space="preserve"> </w:t>
            </w:r>
            <w:r w:rsidRPr="00077641">
              <w:rPr>
                <w:color w:val="000000"/>
              </w:rPr>
              <w:t xml:space="preserve">ir  lapkričio 13 d. vykusių TVR ministrų tarybos posėdžių buvo inkorporuotos </w:t>
            </w:r>
            <w:r w:rsidR="007824A0" w:rsidRPr="00077641">
              <w:rPr>
                <w:color w:val="000000"/>
              </w:rPr>
              <w:t xml:space="preserve">į Tarybos išvadas dėl vidaus saugumo ir </w:t>
            </w:r>
            <w:r w:rsidRPr="00077641">
              <w:rPr>
                <w:color w:val="000000"/>
              </w:rPr>
              <w:t>EPP,</w:t>
            </w:r>
            <w:r w:rsidR="00077641" w:rsidRPr="00077641">
              <w:rPr>
                <w:color w:val="000000"/>
              </w:rPr>
              <w:t xml:space="preserve"> </w:t>
            </w:r>
            <w:bookmarkStart w:id="0" w:name="_GoBack"/>
            <w:bookmarkEnd w:id="0"/>
            <w:r w:rsidR="00077641" w:rsidRPr="00077641">
              <w:rPr>
                <w:color w:val="000000"/>
              </w:rPr>
              <w:t>buvo</w:t>
            </w:r>
            <w:r w:rsidRPr="00077641">
              <w:rPr>
                <w:color w:val="000000"/>
              </w:rPr>
              <w:t xml:space="preserve"> išplėsta taikym</w:t>
            </w:r>
            <w:r w:rsidR="00077641" w:rsidRPr="00077641">
              <w:rPr>
                <w:color w:val="000000"/>
              </w:rPr>
              <w:t>o sritis</w:t>
            </w:r>
            <w:r w:rsidRPr="00077641">
              <w:rPr>
                <w:color w:val="000000"/>
              </w:rPr>
              <w:t xml:space="preserve">, </w:t>
            </w:r>
            <w:r w:rsidR="00077641" w:rsidRPr="00077641">
              <w:rPr>
                <w:color w:val="000000"/>
              </w:rPr>
              <w:t>apimant</w:t>
            </w:r>
            <w:r w:rsidRPr="00077641">
              <w:rPr>
                <w:color w:val="000000"/>
              </w:rPr>
              <w:t xml:space="preserve"> ne tik policij</w:t>
            </w:r>
            <w:r w:rsidR="00077641" w:rsidRPr="00077641">
              <w:rPr>
                <w:color w:val="000000"/>
              </w:rPr>
              <w:t>ą</w:t>
            </w:r>
            <w:r w:rsidRPr="00077641">
              <w:rPr>
                <w:color w:val="000000"/>
              </w:rPr>
              <w:t>, bet vis</w:t>
            </w:r>
            <w:r w:rsidR="00077641" w:rsidRPr="00077641">
              <w:rPr>
                <w:color w:val="000000"/>
              </w:rPr>
              <w:t>a</w:t>
            </w:r>
            <w:r w:rsidRPr="00077641">
              <w:rPr>
                <w:color w:val="000000"/>
              </w:rPr>
              <w:t>s teisėsaugos institucij</w:t>
            </w:r>
            <w:r w:rsidR="00077641" w:rsidRPr="00077641">
              <w:rPr>
                <w:color w:val="000000"/>
              </w:rPr>
              <w:t>a</w:t>
            </w:r>
            <w:r w:rsidRPr="00077641">
              <w:rPr>
                <w:color w:val="000000"/>
              </w:rPr>
              <w:t>s,</w:t>
            </w:r>
            <w:r w:rsidR="00077641" w:rsidRPr="00077641">
              <w:rPr>
                <w:color w:val="000000"/>
              </w:rPr>
              <w:t xml:space="preserve"> </w:t>
            </w:r>
            <w:r w:rsidRPr="00077641">
              <w:rPr>
                <w:color w:val="000000"/>
              </w:rPr>
              <w:t xml:space="preserve">  įtraukti ir  horizontalūs klausimai </w:t>
            </w:r>
            <w:r w:rsidR="007824A0" w:rsidRPr="00077641">
              <w:rPr>
                <w:color w:val="000000"/>
              </w:rPr>
              <w:t>–</w:t>
            </w:r>
            <w:r w:rsidRPr="00077641">
              <w:rPr>
                <w:color w:val="000000"/>
              </w:rPr>
              <w:t xml:space="preserve"> TVR</w:t>
            </w:r>
            <w:r w:rsidR="007824A0" w:rsidRPr="00077641">
              <w:rPr>
                <w:color w:val="000000"/>
              </w:rPr>
              <w:t xml:space="preserve"> </w:t>
            </w:r>
            <w:r w:rsidRPr="00077641">
              <w:rPr>
                <w:color w:val="000000"/>
              </w:rPr>
              <w:t>agentūros, hibridinės grėsmės, narkotikų ir ginklų prekyba.</w:t>
            </w:r>
          </w:p>
          <w:p w14:paraId="045237FB" w14:textId="77777777" w:rsidR="00BD43DF" w:rsidRPr="00077641" w:rsidRDefault="00BF7037" w:rsidP="00CA640F">
            <w:pPr>
              <w:pStyle w:val="xmsonormal"/>
              <w:spacing w:before="0" w:beforeAutospacing="0" w:after="120" w:afterAutospacing="0"/>
              <w:ind w:left="-221"/>
              <w:jc w:val="both"/>
              <w:rPr>
                <w:color w:val="000000"/>
              </w:rPr>
            </w:pPr>
            <w:r w:rsidRPr="00077641">
              <w:rPr>
                <w:color w:val="000000"/>
              </w:rPr>
              <w:t>Tarybos išvados dėl vidaus saugumo ir EPP yra tampriai susijusios ir su kitais Tarybos dokumentais, pvz. Tarybos Deklaracija dėl Europolo ateities, Tarybos Deklaracija dėl šifravimo,  Tarybos Išvadomis dėl narkotikų politikos, Tarybos išvadomis dėl Antisemitizmo ir Tarybos išvadomis dėl tarpvalstybinio teisėsaugos bendradarbiavimo</w:t>
            </w:r>
            <w:r w:rsidRPr="00077641">
              <w:rPr>
                <w:color w:val="000000"/>
                <w:sz w:val="18"/>
                <w:szCs w:val="18"/>
              </w:rPr>
              <w:t xml:space="preserve"> </w:t>
            </w:r>
            <w:r w:rsidRPr="00077641">
              <w:rPr>
                <w:color w:val="000000"/>
              </w:rPr>
              <w:t>gerinimo.</w:t>
            </w:r>
          </w:p>
          <w:p w14:paraId="613A473D" w14:textId="21576822" w:rsidR="00BF7037" w:rsidRPr="00077641" w:rsidRDefault="007824A0" w:rsidP="00CA640F">
            <w:pPr>
              <w:pStyle w:val="xmsonormal"/>
              <w:spacing w:before="0" w:beforeAutospacing="0" w:after="120" w:afterAutospacing="0"/>
              <w:ind w:left="-221"/>
              <w:jc w:val="both"/>
              <w:rPr>
                <w:color w:val="000000"/>
                <w:sz w:val="18"/>
                <w:szCs w:val="18"/>
              </w:rPr>
            </w:pPr>
            <w:r w:rsidRPr="00077641">
              <w:rPr>
                <w:color w:val="000000"/>
              </w:rPr>
              <w:t xml:space="preserve">Gruodžio 14 d. Vidaus reikalų </w:t>
            </w:r>
            <w:r w:rsidR="00BD43DF" w:rsidRPr="00077641">
              <w:rPr>
                <w:color w:val="000000"/>
              </w:rPr>
              <w:t>ministrų tarybos metu planuojam</w:t>
            </w:r>
            <w:r w:rsidRPr="00077641">
              <w:rPr>
                <w:color w:val="000000"/>
              </w:rPr>
              <w:t>as</w:t>
            </w:r>
            <w:r w:rsidR="00077641" w:rsidRPr="00077641">
              <w:rPr>
                <w:color w:val="000000"/>
              </w:rPr>
              <w:t xml:space="preserve"> minėtųjų</w:t>
            </w:r>
            <w:r w:rsidRPr="00077641">
              <w:rPr>
                <w:color w:val="000000"/>
              </w:rPr>
              <w:t xml:space="preserve"> Tarybos išvadų priėmimas ir/ar </w:t>
            </w:r>
            <w:r w:rsidR="00BD43DF" w:rsidRPr="00077641">
              <w:rPr>
                <w:color w:val="000000"/>
              </w:rPr>
              <w:t xml:space="preserve">diskusijos dėl ateities bendradarbiavimo gerinimo vidaus saugumo srityje, tačiau </w:t>
            </w:r>
            <w:r w:rsidR="00BD43DF" w:rsidRPr="00077641">
              <w:rPr>
                <w:b/>
                <w:color w:val="000000"/>
              </w:rPr>
              <w:t>diskusinis dokumentas dar nėra išplatintas.</w:t>
            </w:r>
          </w:p>
          <w:p w14:paraId="13CBCBB3" w14:textId="77777777" w:rsidR="00BF7037" w:rsidRPr="00077641" w:rsidRDefault="00BF7037" w:rsidP="00080285">
            <w:pPr>
              <w:pStyle w:val="BodyA"/>
              <w:tabs>
                <w:tab w:val="left" w:pos="-222"/>
                <w:tab w:val="left" w:pos="62"/>
              </w:tabs>
              <w:spacing w:after="120"/>
              <w:ind w:left="-221"/>
              <w:jc w:val="both"/>
              <w:rPr>
                <w:rFonts w:hAnsi="Times New Roman" w:cs="Times New Roman"/>
                <w:b/>
                <w:u w:val="single"/>
                <w:lang w:val="lt-LT"/>
              </w:rPr>
            </w:pPr>
            <w:r w:rsidRPr="00077641">
              <w:rPr>
                <w:rFonts w:hAnsi="Times New Roman" w:cs="Times New Roman"/>
                <w:b/>
                <w:u w:val="single"/>
                <w:lang w:val="lt-LT"/>
              </w:rPr>
              <w:t>Lietuvos pozicija:</w:t>
            </w:r>
          </w:p>
          <w:p w14:paraId="0C525205" w14:textId="62C936B4" w:rsidR="00BF7037" w:rsidRPr="00077641" w:rsidRDefault="00BF7037" w:rsidP="00E90989">
            <w:pPr>
              <w:pStyle w:val="BodyA"/>
              <w:tabs>
                <w:tab w:val="left" w:pos="-222"/>
                <w:tab w:val="left" w:pos="62"/>
              </w:tabs>
              <w:spacing w:before="120"/>
              <w:ind w:left="-221"/>
              <w:jc w:val="both"/>
              <w:rPr>
                <w:rFonts w:hAnsi="Times New Roman" w:cs="Times New Roman"/>
                <w:lang w:val="lt-LT"/>
              </w:rPr>
            </w:pPr>
            <w:r w:rsidRPr="00077641">
              <w:rPr>
                <w:rFonts w:hAnsi="Times New Roman" w:cs="Times New Roman"/>
                <w:lang w:val="lt-LT"/>
              </w:rPr>
              <w:t xml:space="preserve">Norime padėkoti pirmininkaujančiai </w:t>
            </w:r>
            <w:r w:rsidR="00077641" w:rsidRPr="00077641">
              <w:rPr>
                <w:rFonts w:hAnsi="Times New Roman" w:cs="Times New Roman"/>
                <w:lang w:val="lt-LT"/>
              </w:rPr>
              <w:t xml:space="preserve">šaliai </w:t>
            </w:r>
            <w:r w:rsidRPr="00077641">
              <w:rPr>
                <w:rFonts w:hAnsi="Times New Roman" w:cs="Times New Roman"/>
                <w:lang w:val="lt-LT"/>
              </w:rPr>
              <w:t>už kokybišką ir išs</w:t>
            </w:r>
            <w:r w:rsidR="00077641" w:rsidRPr="00077641">
              <w:rPr>
                <w:rFonts w:hAnsi="Times New Roman" w:cs="Times New Roman"/>
                <w:lang w:val="lt-LT"/>
              </w:rPr>
              <w:t>a</w:t>
            </w:r>
            <w:r w:rsidRPr="00077641">
              <w:rPr>
                <w:rFonts w:hAnsi="Times New Roman" w:cs="Times New Roman"/>
                <w:lang w:val="lt-LT"/>
              </w:rPr>
              <w:t xml:space="preserve">mų Tarybos išvadų projektą bei įdėtas pastangas ieškant visoms </w:t>
            </w:r>
            <w:r w:rsidR="00D31597">
              <w:rPr>
                <w:rFonts w:hAnsi="Times New Roman" w:cs="Times New Roman"/>
                <w:lang w:val="lt-LT"/>
              </w:rPr>
              <w:t>valstybėms narėms</w:t>
            </w:r>
            <w:r w:rsidR="00D31597" w:rsidRPr="00077641">
              <w:rPr>
                <w:rFonts w:hAnsi="Times New Roman" w:cs="Times New Roman"/>
                <w:lang w:val="lt-LT"/>
              </w:rPr>
              <w:t xml:space="preserve"> </w:t>
            </w:r>
            <w:r w:rsidRPr="00077641">
              <w:rPr>
                <w:rFonts w:hAnsi="Times New Roman" w:cs="Times New Roman"/>
                <w:lang w:val="lt-LT"/>
              </w:rPr>
              <w:t xml:space="preserve">priimtino kompromiso. Atnaujintam išvadų projektui pastabų nebeturime ir esame pasirengę jam pritarti. Tikime, kad išsikelti </w:t>
            </w:r>
            <w:r w:rsidRPr="00077641">
              <w:rPr>
                <w:rFonts w:hAnsi="Times New Roman" w:cs="Times New Roman"/>
                <w:lang w:val="lt-LT"/>
              </w:rPr>
              <w:lastRenderedPageBreak/>
              <w:t>Europos Policijos partneryst</w:t>
            </w:r>
            <w:r w:rsidR="00CA640F" w:rsidRPr="00077641">
              <w:rPr>
                <w:rFonts w:hAnsi="Times New Roman" w:cs="Times New Roman"/>
                <w:lang w:val="lt-LT"/>
              </w:rPr>
              <w:t>ės</w:t>
            </w:r>
            <w:r w:rsidRPr="00077641">
              <w:rPr>
                <w:rFonts w:hAnsi="Times New Roman" w:cs="Times New Roman"/>
                <w:lang w:val="lt-LT"/>
              </w:rPr>
              <w:t xml:space="preserve"> vystym</w:t>
            </w:r>
            <w:r w:rsidR="00CA640F" w:rsidRPr="00077641">
              <w:rPr>
                <w:rFonts w:hAnsi="Times New Roman" w:cs="Times New Roman"/>
                <w:lang w:val="lt-LT"/>
              </w:rPr>
              <w:t>o tikslai</w:t>
            </w:r>
            <w:r w:rsidRPr="00077641">
              <w:rPr>
                <w:rFonts w:hAnsi="Times New Roman" w:cs="Times New Roman"/>
                <w:lang w:val="lt-LT"/>
              </w:rPr>
              <w:t xml:space="preserve"> reikšmingai prisidės prie tvaraus ir ilgalaikio ES vidaus saugumo užtikrinimo. </w:t>
            </w:r>
          </w:p>
          <w:p w14:paraId="4D2141F0" w14:textId="77777777" w:rsidR="00077641" w:rsidRPr="00077641" w:rsidRDefault="008E4444" w:rsidP="00E90989">
            <w:pPr>
              <w:spacing w:before="120" w:after="120"/>
              <w:ind w:left="-221"/>
              <w:jc w:val="both"/>
              <w:rPr>
                <w:bCs/>
                <w:lang w:val="lt-LT"/>
              </w:rPr>
            </w:pPr>
            <w:r w:rsidRPr="00077641">
              <w:rPr>
                <w:bCs/>
                <w:lang w:val="lt-LT"/>
              </w:rPr>
              <w:t>Palaikome</w:t>
            </w:r>
            <w:r w:rsidRPr="00077641">
              <w:rPr>
                <w:color w:val="000000"/>
                <w:lang w:val="lt-LT"/>
              </w:rPr>
              <w:t xml:space="preserve"> teisėsaugos institucijų skaitmenizavim</w:t>
            </w:r>
            <w:r w:rsidRPr="00077641">
              <w:rPr>
                <w:lang w:val="lt-LT"/>
              </w:rPr>
              <w:t>o</w:t>
            </w:r>
            <w:r w:rsidRPr="00077641">
              <w:rPr>
                <w:color w:val="000000"/>
                <w:lang w:val="lt-LT"/>
              </w:rPr>
              <w:t xml:space="preserve"> ir naujųjų technologijų išnaudojim</w:t>
            </w:r>
            <w:r w:rsidRPr="00077641">
              <w:rPr>
                <w:lang w:val="lt-LT"/>
              </w:rPr>
              <w:t>o</w:t>
            </w:r>
            <w:r w:rsidRPr="00077641">
              <w:rPr>
                <w:color w:val="000000"/>
                <w:lang w:val="lt-LT"/>
              </w:rPr>
              <w:t xml:space="preserve"> j</w:t>
            </w:r>
            <w:r w:rsidRPr="00077641">
              <w:rPr>
                <w:lang w:val="lt-LT"/>
              </w:rPr>
              <w:t>ų</w:t>
            </w:r>
            <w:r w:rsidRPr="00077641">
              <w:rPr>
                <w:color w:val="000000"/>
                <w:lang w:val="lt-LT"/>
              </w:rPr>
              <w:t xml:space="preserve"> veikloje</w:t>
            </w:r>
            <w:r w:rsidRPr="00077641">
              <w:rPr>
                <w:lang w:val="lt-LT"/>
              </w:rPr>
              <w:t xml:space="preserve"> siekius. </w:t>
            </w:r>
            <w:r w:rsidRPr="00077641">
              <w:rPr>
                <w:bCs/>
                <w:lang w:val="lt-LT"/>
              </w:rPr>
              <w:t xml:space="preserve">Atsižvelgdami į pažangą dirbtinio intelekto srityje, palaikome tikslą, kad dirbtinis intelektas taptų prieinama kasdienio policijos darbo priemone, kartu pripažįstant ir kruopščiai sprendžiant iššūkius susijusius su pagrindinių teisių ir duomenų apsaugos klausimais. </w:t>
            </w:r>
          </w:p>
          <w:p w14:paraId="0FEB6FE7" w14:textId="77777777" w:rsidR="00077641" w:rsidRPr="00077641" w:rsidRDefault="00077641" w:rsidP="00077641">
            <w:pPr>
              <w:spacing w:after="120"/>
              <w:ind w:left="-222"/>
              <w:jc w:val="both"/>
              <w:rPr>
                <w:color w:val="000000"/>
                <w:lang w:val="lt-LT"/>
              </w:rPr>
            </w:pPr>
            <w:r w:rsidRPr="00077641">
              <w:rPr>
                <w:color w:val="000000"/>
                <w:lang w:val="lt-LT"/>
              </w:rPr>
              <w:t>Kitas siektinas tikslas - teisminėms institucijoms labiau skaitmenizuoti baudžiamosios bylos procesą, kad teisėsauga kuo didesnę dalį procesinių veiksmų galėtų perkelti į elektroninę erdvę ir tai būtų užskaitoma kaip įrodymai ne tik nacionaliniu, bet ir ES lygiu. Tokiu būdu teisėsauga, tirianti tarpvalstybinius nusikaltimus, galėtų greičiau ir paprasčiau perduo</w:t>
            </w:r>
            <w:r w:rsidR="00D31597">
              <w:rPr>
                <w:color w:val="000000"/>
                <w:lang w:val="lt-LT"/>
              </w:rPr>
              <w:t>ti surinktą medžiagą kitai ES valstybei narei</w:t>
            </w:r>
            <w:r w:rsidRPr="00077641">
              <w:rPr>
                <w:color w:val="000000"/>
                <w:lang w:val="lt-LT"/>
              </w:rPr>
              <w:t>.</w:t>
            </w:r>
          </w:p>
          <w:p w14:paraId="5630B0FB" w14:textId="77777777" w:rsidR="008E4444" w:rsidRPr="00077641" w:rsidRDefault="008E4444" w:rsidP="00E90989">
            <w:pPr>
              <w:spacing w:before="120" w:after="120"/>
              <w:ind w:left="-221"/>
              <w:jc w:val="both"/>
              <w:rPr>
                <w:bCs/>
                <w:lang w:val="lt-LT"/>
              </w:rPr>
            </w:pPr>
            <w:r w:rsidRPr="00077641">
              <w:rPr>
                <w:bCs/>
                <w:lang w:val="lt-LT"/>
              </w:rPr>
              <w:t>Manome, kad bendro ES požiūrio ir bendros teisinės bazės vystymas yra svarbiausi tolesni žingsniai šioje srityje. Taip pat palaikome informacijos prieinamumo principo taikymą ir policijos informacijos integravimą į bendrą ES informacijos architektūrą.</w:t>
            </w:r>
          </w:p>
          <w:p w14:paraId="250272A3" w14:textId="77777777" w:rsidR="008E4444" w:rsidRPr="00077641" w:rsidRDefault="008E4444" w:rsidP="008E4444">
            <w:pPr>
              <w:spacing w:after="120"/>
              <w:ind w:left="-222"/>
              <w:jc w:val="both"/>
              <w:rPr>
                <w:color w:val="000000"/>
                <w:lang w:val="lt-LT"/>
              </w:rPr>
            </w:pPr>
            <w:r w:rsidRPr="00077641">
              <w:rPr>
                <w:bCs/>
                <w:lang w:val="lt-LT"/>
              </w:rPr>
              <w:t>Efektyvesnei teisėsaugos partnerystei ES viduje labai svarbus ES Agentūrų vaidmuo, todėl siektinas</w:t>
            </w:r>
            <w:r w:rsidRPr="00077641">
              <w:rPr>
                <w:color w:val="000000"/>
                <w:lang w:val="lt-LT"/>
              </w:rPr>
              <w:t xml:space="preserve"> glaudesnio Europolo bendradarbiavimo su kitomis ES agentūromis – OLAF, EPPO ir Eurojustu, užtikrinimas.</w:t>
            </w:r>
          </w:p>
          <w:p w14:paraId="20DC7E26" w14:textId="77777777" w:rsidR="00CA640F" w:rsidRPr="00077641" w:rsidRDefault="008E4444" w:rsidP="008E4444">
            <w:pPr>
              <w:spacing w:after="120"/>
              <w:ind w:left="-222"/>
              <w:jc w:val="both"/>
              <w:rPr>
                <w:color w:val="000000"/>
                <w:lang w:val="lt-LT"/>
              </w:rPr>
            </w:pPr>
            <w:r w:rsidRPr="00077641">
              <w:rPr>
                <w:color w:val="000000"/>
                <w:lang w:val="lt-LT"/>
              </w:rPr>
              <w:t xml:space="preserve">Taip pat būtina stiprinti policijos bendradarbiavimą su trečiosiomis šalimis, plečiant teisėsaugos  galimybes ir instrumentus efektyviai keistis informacija su jomis. Prie šio tikslo taip pat pridėtume, kad </w:t>
            </w:r>
            <w:r w:rsidRPr="00077641">
              <w:rPr>
                <w:lang w:val="lt-LT"/>
              </w:rPr>
              <w:t xml:space="preserve"> </w:t>
            </w:r>
            <w:r w:rsidRPr="00077641">
              <w:rPr>
                <w:color w:val="000000"/>
                <w:lang w:val="lt-LT"/>
              </w:rPr>
              <w:t>bendradarbiavimas turėtų būti vystomas ir su tarptautinėmis organizacijomis, visų pirma Interpolu ir Jungtinėmis Tautomis, ypač kai kalba eina apie vaikų seksualinį išnaudojimą, organizuotą nusikalstamumą ir prekybą narkotikais.</w:t>
            </w:r>
          </w:p>
        </w:tc>
      </w:tr>
    </w:tbl>
    <w:p w14:paraId="463F1FEE" w14:textId="77777777" w:rsidR="00BF7037" w:rsidRPr="00077641" w:rsidRDefault="00BF7037" w:rsidP="00946AC6">
      <w:pPr>
        <w:pStyle w:val="BodyA"/>
        <w:rPr>
          <w:rFonts w:hAnsi="Times New Roman" w:cs="Times New Roman"/>
          <w:lang w:val="lt-LT"/>
        </w:rPr>
      </w:pPr>
    </w:p>
    <w:sectPr w:rsidR="00BF7037" w:rsidRPr="00077641">
      <w:headerReference w:type="default" r:id="rId7"/>
      <w:footerReference w:type="default" r:id="rId8"/>
      <w:headerReference w:type="first" r:id="rId9"/>
      <w:footerReference w:type="first" r:id="rId10"/>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872B5" w14:textId="77777777" w:rsidR="007547A4" w:rsidRDefault="007547A4">
      <w:r>
        <w:separator/>
      </w:r>
    </w:p>
  </w:endnote>
  <w:endnote w:type="continuationSeparator" w:id="0">
    <w:p w14:paraId="2E3C1595" w14:textId="77777777" w:rsidR="007547A4" w:rsidRDefault="0075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C30E2" w14:textId="77777777" w:rsidR="004B217F" w:rsidRPr="00F526F9" w:rsidRDefault="004B217F">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29B4D" w14:textId="77777777" w:rsidR="00B70894" w:rsidRDefault="00B70894" w:rsidP="00B70894">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p w14:paraId="427C9F2E" w14:textId="77777777" w:rsidR="00B70894" w:rsidRDefault="00B708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CF03E" w14:textId="77777777" w:rsidR="007547A4" w:rsidRDefault="007547A4">
      <w:r>
        <w:separator/>
      </w:r>
    </w:p>
  </w:footnote>
  <w:footnote w:type="continuationSeparator" w:id="0">
    <w:p w14:paraId="3D8453F1" w14:textId="77777777" w:rsidR="007547A4" w:rsidRDefault="00754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7DE77" w14:textId="77777777" w:rsidR="00F526F9" w:rsidRDefault="00EE1216" w:rsidP="00F526F9">
    <w:pPr>
      <w:pStyle w:val="BodyA"/>
      <w:tabs>
        <w:tab w:val="center" w:pos="4153"/>
        <w:tab w:val="right" w:pos="8306"/>
      </w:tabs>
      <w:jc w:val="right"/>
      <w:rPr>
        <w:rFonts w:hAnsi="Times New Roman" w:cs="Times New Roman"/>
        <w:i/>
        <w:iCs/>
      </w:rPr>
    </w:pPr>
    <w:r>
      <w:t xml:space="preserve">                                         </w:t>
    </w:r>
    <w:r w:rsidR="00F526F9" w:rsidRPr="002C7E0C">
      <w:rPr>
        <w:rFonts w:hAnsi="Times New Roman" w:cs="Times New Roman"/>
        <w:i/>
        <w:iCs/>
      </w:rPr>
      <w:t>Parengė: Lietuvos Respubl</w:t>
    </w:r>
    <w:r w:rsidR="00F526F9">
      <w:rPr>
        <w:rFonts w:hAnsi="Times New Roman" w:cs="Times New Roman"/>
        <w:i/>
        <w:iCs/>
      </w:rPr>
      <w:t>ikos vidaus reikalų ministerija</w:t>
    </w:r>
  </w:p>
  <w:p w14:paraId="6CEE5FB5" w14:textId="77777777" w:rsidR="00F526F9" w:rsidRPr="002C7E0C" w:rsidRDefault="00F526F9" w:rsidP="00F526F9">
    <w:pPr>
      <w:pStyle w:val="BodyA"/>
      <w:tabs>
        <w:tab w:val="center" w:pos="4153"/>
        <w:tab w:val="right" w:pos="8306"/>
      </w:tabs>
      <w:jc w:val="right"/>
      <w:rPr>
        <w:rFonts w:hAnsi="Times New Roman" w:cs="Times New Roman"/>
        <w:i/>
        <w:iCs/>
      </w:rPr>
    </w:pPr>
    <w:r w:rsidRPr="002C7E0C">
      <w:rPr>
        <w:rFonts w:hAnsi="Times New Roman" w:cs="Times New Roman"/>
        <w:i/>
        <w:iCs/>
      </w:rPr>
      <w:t>(Tarptautinio bendradarbiavimo grupė)</w:t>
    </w:r>
  </w:p>
  <w:p w14:paraId="0FDA92ED" w14:textId="77777777" w:rsidR="00F526F9" w:rsidRPr="002C7E0C" w:rsidRDefault="00F526F9" w:rsidP="00F526F9">
    <w:pPr>
      <w:pStyle w:val="BodyA"/>
      <w:tabs>
        <w:tab w:val="center" w:pos="4153"/>
        <w:tab w:val="right" w:pos="8306"/>
      </w:tabs>
      <w:jc w:val="right"/>
      <w:rPr>
        <w:rFonts w:hAnsi="Times New Roman" w:cs="Times New Roman"/>
      </w:rPr>
    </w:pPr>
    <w:r w:rsidRPr="002C7E0C">
      <w:rPr>
        <w:rFonts w:hAnsi="Times New Roman" w:cs="Times New Roman"/>
        <w:i/>
        <w:iCs/>
      </w:rPr>
      <w:t xml:space="preserve">2020 m. </w:t>
    </w:r>
    <w:r w:rsidR="007430FE">
      <w:rPr>
        <w:rFonts w:hAnsi="Times New Roman" w:cs="Times New Roman"/>
        <w:i/>
        <w:iCs/>
      </w:rPr>
      <w:t>lapkričio</w:t>
    </w:r>
    <w:r w:rsidRPr="002C7E0C">
      <w:rPr>
        <w:rFonts w:hAnsi="Times New Roman" w:cs="Times New Roman"/>
        <w:i/>
        <w:iCs/>
      </w:rPr>
      <w:t xml:space="preserve"> 30 d.</w:t>
    </w:r>
  </w:p>
  <w:p w14:paraId="4F433E6D" w14:textId="77777777" w:rsidR="004B217F" w:rsidRDefault="004B217F" w:rsidP="00F526F9">
    <w:pPr>
      <w:pStyle w:val="BodyA"/>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BA75D" w14:textId="77777777" w:rsidR="002C7E0C" w:rsidRDefault="00EF0DF3" w:rsidP="00B03FB8">
    <w:pPr>
      <w:pStyle w:val="BodyA"/>
      <w:tabs>
        <w:tab w:val="center" w:pos="4153"/>
        <w:tab w:val="right" w:pos="8306"/>
      </w:tabs>
      <w:jc w:val="right"/>
      <w:rPr>
        <w:rFonts w:hAnsi="Times New Roman" w:cs="Times New Roman"/>
        <w:i/>
        <w:iCs/>
      </w:rPr>
    </w:pPr>
    <w:r w:rsidRPr="002C7E0C">
      <w:rPr>
        <w:rFonts w:hAnsi="Times New Roman" w:cs="Times New Roman"/>
        <w:i/>
        <w:iCs/>
      </w:rPr>
      <w:t>Parengė:</w:t>
    </w:r>
    <w:r w:rsidR="002C7E0C" w:rsidRPr="002C7E0C">
      <w:rPr>
        <w:rFonts w:hAnsi="Times New Roman" w:cs="Times New Roman"/>
        <w:i/>
        <w:iCs/>
      </w:rPr>
      <w:t xml:space="preserve"> Lietuvos Respubl</w:t>
    </w:r>
    <w:r w:rsidR="002C7E0C">
      <w:rPr>
        <w:rFonts w:hAnsi="Times New Roman" w:cs="Times New Roman"/>
        <w:i/>
        <w:iCs/>
      </w:rPr>
      <w:t>ikos vidaus reikalų ministerija</w:t>
    </w:r>
  </w:p>
  <w:p w14:paraId="26F063C4" w14:textId="77777777" w:rsidR="00EF0DF3" w:rsidRPr="002C7E0C" w:rsidRDefault="002C7E0C" w:rsidP="00B03FB8">
    <w:pPr>
      <w:pStyle w:val="BodyA"/>
      <w:tabs>
        <w:tab w:val="center" w:pos="4153"/>
        <w:tab w:val="right" w:pos="8306"/>
      </w:tabs>
      <w:jc w:val="right"/>
      <w:rPr>
        <w:rFonts w:hAnsi="Times New Roman" w:cs="Times New Roman"/>
        <w:i/>
        <w:iCs/>
      </w:rPr>
    </w:pPr>
    <w:r w:rsidRPr="002C7E0C">
      <w:rPr>
        <w:rFonts w:hAnsi="Times New Roman" w:cs="Times New Roman"/>
        <w:i/>
        <w:iCs/>
      </w:rPr>
      <w:t>(Tarptautinio bendradarbiavimo grupė)</w:t>
    </w:r>
  </w:p>
  <w:p w14:paraId="6F302CE5" w14:textId="77777777" w:rsidR="00EF0DF3" w:rsidRPr="002C7E0C" w:rsidRDefault="00416028" w:rsidP="00B03FB8">
    <w:pPr>
      <w:pStyle w:val="BodyA"/>
      <w:tabs>
        <w:tab w:val="center" w:pos="4153"/>
        <w:tab w:val="right" w:pos="8306"/>
      </w:tabs>
      <w:jc w:val="right"/>
      <w:rPr>
        <w:rFonts w:hAnsi="Times New Roman" w:cs="Times New Roman"/>
      </w:rPr>
    </w:pPr>
    <w:r>
      <w:rPr>
        <w:rFonts w:hAnsi="Times New Roman" w:cs="Times New Roman"/>
        <w:i/>
        <w:iCs/>
      </w:rPr>
      <w:t>2020 m. lapkričio</w:t>
    </w:r>
    <w:r w:rsidR="002C7E0C" w:rsidRPr="002C7E0C">
      <w:rPr>
        <w:rFonts w:hAnsi="Times New Roman" w:cs="Times New Roman"/>
        <w:i/>
        <w:iCs/>
      </w:rPr>
      <w:t xml:space="preserve"> 30 d.</w:t>
    </w:r>
  </w:p>
  <w:p w14:paraId="26372D1A" w14:textId="77777777" w:rsidR="00EF0DF3" w:rsidRDefault="00EF0DF3" w:rsidP="00EF0DF3">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15:restartNumberingAfterBreak="0">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1BDD3672"/>
    <w:multiLevelType w:val="hybridMultilevel"/>
    <w:tmpl w:val="946EEF06"/>
    <w:lvl w:ilvl="0" w:tplc="61A4341C">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0" w15:restartNumberingAfterBreak="0">
    <w:nsid w:val="1E002890"/>
    <w:multiLevelType w:val="hybridMultilevel"/>
    <w:tmpl w:val="D16C91A0"/>
    <w:lvl w:ilvl="0" w:tplc="04270001">
      <w:start w:val="1"/>
      <w:numFmt w:val="bullet"/>
      <w:lvlText w:val=""/>
      <w:lvlJc w:val="left"/>
      <w:pPr>
        <w:ind w:left="498" w:hanging="360"/>
      </w:pPr>
      <w:rPr>
        <w:rFonts w:ascii="Symbol" w:hAnsi="Symbol" w:hint="default"/>
      </w:rPr>
    </w:lvl>
    <w:lvl w:ilvl="1" w:tplc="04270003" w:tentative="1">
      <w:start w:val="1"/>
      <w:numFmt w:val="bullet"/>
      <w:lvlText w:val="o"/>
      <w:lvlJc w:val="left"/>
      <w:pPr>
        <w:ind w:left="1218" w:hanging="360"/>
      </w:pPr>
      <w:rPr>
        <w:rFonts w:ascii="Courier New" w:hAnsi="Courier New" w:cs="Courier New" w:hint="default"/>
      </w:rPr>
    </w:lvl>
    <w:lvl w:ilvl="2" w:tplc="04270005" w:tentative="1">
      <w:start w:val="1"/>
      <w:numFmt w:val="bullet"/>
      <w:lvlText w:val=""/>
      <w:lvlJc w:val="left"/>
      <w:pPr>
        <w:ind w:left="1938" w:hanging="360"/>
      </w:pPr>
      <w:rPr>
        <w:rFonts w:ascii="Wingdings" w:hAnsi="Wingdings" w:hint="default"/>
      </w:rPr>
    </w:lvl>
    <w:lvl w:ilvl="3" w:tplc="04270001" w:tentative="1">
      <w:start w:val="1"/>
      <w:numFmt w:val="bullet"/>
      <w:lvlText w:val=""/>
      <w:lvlJc w:val="left"/>
      <w:pPr>
        <w:ind w:left="2658" w:hanging="360"/>
      </w:pPr>
      <w:rPr>
        <w:rFonts w:ascii="Symbol" w:hAnsi="Symbol" w:hint="default"/>
      </w:rPr>
    </w:lvl>
    <w:lvl w:ilvl="4" w:tplc="04270003" w:tentative="1">
      <w:start w:val="1"/>
      <w:numFmt w:val="bullet"/>
      <w:lvlText w:val="o"/>
      <w:lvlJc w:val="left"/>
      <w:pPr>
        <w:ind w:left="3378" w:hanging="360"/>
      </w:pPr>
      <w:rPr>
        <w:rFonts w:ascii="Courier New" w:hAnsi="Courier New" w:cs="Courier New" w:hint="default"/>
      </w:rPr>
    </w:lvl>
    <w:lvl w:ilvl="5" w:tplc="04270005" w:tentative="1">
      <w:start w:val="1"/>
      <w:numFmt w:val="bullet"/>
      <w:lvlText w:val=""/>
      <w:lvlJc w:val="left"/>
      <w:pPr>
        <w:ind w:left="4098" w:hanging="360"/>
      </w:pPr>
      <w:rPr>
        <w:rFonts w:ascii="Wingdings" w:hAnsi="Wingdings" w:hint="default"/>
      </w:rPr>
    </w:lvl>
    <w:lvl w:ilvl="6" w:tplc="04270001" w:tentative="1">
      <w:start w:val="1"/>
      <w:numFmt w:val="bullet"/>
      <w:lvlText w:val=""/>
      <w:lvlJc w:val="left"/>
      <w:pPr>
        <w:ind w:left="4818" w:hanging="360"/>
      </w:pPr>
      <w:rPr>
        <w:rFonts w:ascii="Symbol" w:hAnsi="Symbol" w:hint="default"/>
      </w:rPr>
    </w:lvl>
    <w:lvl w:ilvl="7" w:tplc="04270003" w:tentative="1">
      <w:start w:val="1"/>
      <w:numFmt w:val="bullet"/>
      <w:lvlText w:val="o"/>
      <w:lvlJc w:val="left"/>
      <w:pPr>
        <w:ind w:left="5538" w:hanging="360"/>
      </w:pPr>
      <w:rPr>
        <w:rFonts w:ascii="Courier New" w:hAnsi="Courier New" w:cs="Courier New" w:hint="default"/>
      </w:rPr>
    </w:lvl>
    <w:lvl w:ilvl="8" w:tplc="04270005" w:tentative="1">
      <w:start w:val="1"/>
      <w:numFmt w:val="bullet"/>
      <w:lvlText w:val=""/>
      <w:lvlJc w:val="left"/>
      <w:pPr>
        <w:ind w:left="6258" w:hanging="360"/>
      </w:pPr>
      <w:rPr>
        <w:rFonts w:ascii="Wingdings" w:hAnsi="Wingdings" w:hint="default"/>
      </w:rPr>
    </w:lvl>
  </w:abstractNum>
  <w:abstractNum w:abstractNumId="11" w15:restartNumberingAfterBreak="0">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2"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3" w15:restartNumberingAfterBreak="0">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15:restartNumberingAfterBreak="0">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15:restartNumberingAfterBreak="0">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9"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0"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1"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2" w15:restartNumberingAfterBreak="0">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3" w15:restartNumberingAfterBreak="0">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4" w15:restartNumberingAfterBreak="0">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15:restartNumberingAfterBreak="0">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7" w15:restartNumberingAfterBreak="0">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9"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0" w15:restartNumberingAfterBreak="0">
    <w:nsid w:val="46D22F3B"/>
    <w:multiLevelType w:val="hybridMultilevel"/>
    <w:tmpl w:val="3E06F662"/>
    <w:lvl w:ilvl="0" w:tplc="7CBCDC70">
      <w:start w:val="1"/>
      <w:numFmt w:val="decimal"/>
      <w:lvlText w:val="%1."/>
      <w:lvlJc w:val="left"/>
      <w:pPr>
        <w:ind w:left="138" w:hanging="360"/>
      </w:pPr>
      <w:rPr>
        <w:rFonts w:hint="default"/>
      </w:rPr>
    </w:lvl>
    <w:lvl w:ilvl="1" w:tplc="04270019" w:tentative="1">
      <w:start w:val="1"/>
      <w:numFmt w:val="lowerLetter"/>
      <w:lvlText w:val="%2."/>
      <w:lvlJc w:val="left"/>
      <w:pPr>
        <w:ind w:left="858" w:hanging="360"/>
      </w:pPr>
    </w:lvl>
    <w:lvl w:ilvl="2" w:tplc="0427001B" w:tentative="1">
      <w:start w:val="1"/>
      <w:numFmt w:val="lowerRoman"/>
      <w:lvlText w:val="%3."/>
      <w:lvlJc w:val="right"/>
      <w:pPr>
        <w:ind w:left="1578" w:hanging="180"/>
      </w:pPr>
    </w:lvl>
    <w:lvl w:ilvl="3" w:tplc="0427000F" w:tentative="1">
      <w:start w:val="1"/>
      <w:numFmt w:val="decimal"/>
      <w:lvlText w:val="%4."/>
      <w:lvlJc w:val="left"/>
      <w:pPr>
        <w:ind w:left="2298" w:hanging="360"/>
      </w:pPr>
    </w:lvl>
    <w:lvl w:ilvl="4" w:tplc="04270019" w:tentative="1">
      <w:start w:val="1"/>
      <w:numFmt w:val="lowerLetter"/>
      <w:lvlText w:val="%5."/>
      <w:lvlJc w:val="left"/>
      <w:pPr>
        <w:ind w:left="3018" w:hanging="360"/>
      </w:pPr>
    </w:lvl>
    <w:lvl w:ilvl="5" w:tplc="0427001B" w:tentative="1">
      <w:start w:val="1"/>
      <w:numFmt w:val="lowerRoman"/>
      <w:lvlText w:val="%6."/>
      <w:lvlJc w:val="right"/>
      <w:pPr>
        <w:ind w:left="3738" w:hanging="180"/>
      </w:pPr>
    </w:lvl>
    <w:lvl w:ilvl="6" w:tplc="0427000F" w:tentative="1">
      <w:start w:val="1"/>
      <w:numFmt w:val="decimal"/>
      <w:lvlText w:val="%7."/>
      <w:lvlJc w:val="left"/>
      <w:pPr>
        <w:ind w:left="4458" w:hanging="360"/>
      </w:pPr>
    </w:lvl>
    <w:lvl w:ilvl="7" w:tplc="04270019" w:tentative="1">
      <w:start w:val="1"/>
      <w:numFmt w:val="lowerLetter"/>
      <w:lvlText w:val="%8."/>
      <w:lvlJc w:val="left"/>
      <w:pPr>
        <w:ind w:left="5178" w:hanging="360"/>
      </w:pPr>
    </w:lvl>
    <w:lvl w:ilvl="8" w:tplc="0427001B" w:tentative="1">
      <w:start w:val="1"/>
      <w:numFmt w:val="lowerRoman"/>
      <w:lvlText w:val="%9."/>
      <w:lvlJc w:val="right"/>
      <w:pPr>
        <w:ind w:left="5898" w:hanging="180"/>
      </w:pPr>
    </w:lvl>
  </w:abstractNum>
  <w:abstractNum w:abstractNumId="31" w15:restartNumberingAfterBreak="0">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 w15:restartNumberingAfterBreak="0">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3" w15:restartNumberingAfterBreak="0">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4" w15:restartNumberingAfterBreak="0">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5" w15:restartNumberingAfterBreak="0">
    <w:nsid w:val="4FC5768F"/>
    <w:multiLevelType w:val="hybridMultilevel"/>
    <w:tmpl w:val="619E5186"/>
    <w:lvl w:ilvl="0" w:tplc="04270001">
      <w:start w:val="1"/>
      <w:numFmt w:val="bullet"/>
      <w:lvlText w:val=""/>
      <w:lvlJc w:val="left"/>
      <w:pPr>
        <w:ind w:left="138" w:hanging="360"/>
      </w:pPr>
      <w:rPr>
        <w:rFonts w:ascii="Symbol" w:hAnsi="Symbol" w:hint="default"/>
        <w:i/>
      </w:rPr>
    </w:lvl>
    <w:lvl w:ilvl="1" w:tplc="04270003" w:tentative="1">
      <w:start w:val="1"/>
      <w:numFmt w:val="bullet"/>
      <w:lvlText w:val="o"/>
      <w:lvlJc w:val="left"/>
      <w:pPr>
        <w:ind w:left="858" w:hanging="360"/>
      </w:pPr>
      <w:rPr>
        <w:rFonts w:ascii="Courier New" w:hAnsi="Courier New" w:cs="Courier New" w:hint="default"/>
      </w:rPr>
    </w:lvl>
    <w:lvl w:ilvl="2" w:tplc="04270005" w:tentative="1">
      <w:start w:val="1"/>
      <w:numFmt w:val="bullet"/>
      <w:lvlText w:val=""/>
      <w:lvlJc w:val="left"/>
      <w:pPr>
        <w:ind w:left="1578" w:hanging="360"/>
      </w:pPr>
      <w:rPr>
        <w:rFonts w:ascii="Wingdings" w:hAnsi="Wingdings" w:hint="default"/>
      </w:rPr>
    </w:lvl>
    <w:lvl w:ilvl="3" w:tplc="04270001" w:tentative="1">
      <w:start w:val="1"/>
      <w:numFmt w:val="bullet"/>
      <w:lvlText w:val=""/>
      <w:lvlJc w:val="left"/>
      <w:pPr>
        <w:ind w:left="2298" w:hanging="360"/>
      </w:pPr>
      <w:rPr>
        <w:rFonts w:ascii="Symbol" w:hAnsi="Symbol" w:hint="default"/>
      </w:rPr>
    </w:lvl>
    <w:lvl w:ilvl="4" w:tplc="04270003" w:tentative="1">
      <w:start w:val="1"/>
      <w:numFmt w:val="bullet"/>
      <w:lvlText w:val="o"/>
      <w:lvlJc w:val="left"/>
      <w:pPr>
        <w:ind w:left="3018" w:hanging="360"/>
      </w:pPr>
      <w:rPr>
        <w:rFonts w:ascii="Courier New" w:hAnsi="Courier New" w:cs="Courier New" w:hint="default"/>
      </w:rPr>
    </w:lvl>
    <w:lvl w:ilvl="5" w:tplc="04270005" w:tentative="1">
      <w:start w:val="1"/>
      <w:numFmt w:val="bullet"/>
      <w:lvlText w:val=""/>
      <w:lvlJc w:val="left"/>
      <w:pPr>
        <w:ind w:left="3738" w:hanging="360"/>
      </w:pPr>
      <w:rPr>
        <w:rFonts w:ascii="Wingdings" w:hAnsi="Wingdings" w:hint="default"/>
      </w:rPr>
    </w:lvl>
    <w:lvl w:ilvl="6" w:tplc="04270001" w:tentative="1">
      <w:start w:val="1"/>
      <w:numFmt w:val="bullet"/>
      <w:lvlText w:val=""/>
      <w:lvlJc w:val="left"/>
      <w:pPr>
        <w:ind w:left="4458" w:hanging="360"/>
      </w:pPr>
      <w:rPr>
        <w:rFonts w:ascii="Symbol" w:hAnsi="Symbol" w:hint="default"/>
      </w:rPr>
    </w:lvl>
    <w:lvl w:ilvl="7" w:tplc="04270003" w:tentative="1">
      <w:start w:val="1"/>
      <w:numFmt w:val="bullet"/>
      <w:lvlText w:val="o"/>
      <w:lvlJc w:val="left"/>
      <w:pPr>
        <w:ind w:left="5178" w:hanging="360"/>
      </w:pPr>
      <w:rPr>
        <w:rFonts w:ascii="Courier New" w:hAnsi="Courier New" w:cs="Courier New" w:hint="default"/>
      </w:rPr>
    </w:lvl>
    <w:lvl w:ilvl="8" w:tplc="04270005" w:tentative="1">
      <w:start w:val="1"/>
      <w:numFmt w:val="bullet"/>
      <w:lvlText w:val=""/>
      <w:lvlJc w:val="left"/>
      <w:pPr>
        <w:ind w:left="5898" w:hanging="360"/>
      </w:pPr>
      <w:rPr>
        <w:rFonts w:ascii="Wingdings" w:hAnsi="Wingdings" w:hint="default"/>
      </w:rPr>
    </w:lvl>
  </w:abstractNum>
  <w:abstractNum w:abstractNumId="36" w15:restartNumberingAfterBreak="0">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15:restartNumberingAfterBreak="0">
    <w:nsid w:val="6212280A"/>
    <w:multiLevelType w:val="hybridMultilevel"/>
    <w:tmpl w:val="6A908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9"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40" w15:restartNumberingAfterBreak="0">
    <w:nsid w:val="69EF42CC"/>
    <w:multiLevelType w:val="hybridMultilevel"/>
    <w:tmpl w:val="4FA843CC"/>
    <w:lvl w:ilvl="0" w:tplc="DC9016A6">
      <w:numFmt w:val="bullet"/>
      <w:lvlText w:val="·"/>
      <w:lvlJc w:val="left"/>
      <w:pPr>
        <w:ind w:left="-222" w:hanging="360"/>
      </w:pPr>
      <w:rPr>
        <w:rFonts w:ascii="Times New Roman" w:eastAsia="Times New Roman" w:hAnsi="Times New Roman" w:cs="Times New Roman" w:hint="default"/>
        <w:sz w:val="24"/>
      </w:rPr>
    </w:lvl>
    <w:lvl w:ilvl="1" w:tplc="04270003" w:tentative="1">
      <w:start w:val="1"/>
      <w:numFmt w:val="bullet"/>
      <w:lvlText w:val="o"/>
      <w:lvlJc w:val="left"/>
      <w:pPr>
        <w:ind w:left="498" w:hanging="360"/>
      </w:pPr>
      <w:rPr>
        <w:rFonts w:ascii="Courier New" w:hAnsi="Courier New" w:cs="Courier New" w:hint="default"/>
      </w:rPr>
    </w:lvl>
    <w:lvl w:ilvl="2" w:tplc="04270005" w:tentative="1">
      <w:start w:val="1"/>
      <w:numFmt w:val="bullet"/>
      <w:lvlText w:val=""/>
      <w:lvlJc w:val="left"/>
      <w:pPr>
        <w:ind w:left="1218" w:hanging="360"/>
      </w:pPr>
      <w:rPr>
        <w:rFonts w:ascii="Wingdings" w:hAnsi="Wingdings" w:hint="default"/>
      </w:rPr>
    </w:lvl>
    <w:lvl w:ilvl="3" w:tplc="04270001" w:tentative="1">
      <w:start w:val="1"/>
      <w:numFmt w:val="bullet"/>
      <w:lvlText w:val=""/>
      <w:lvlJc w:val="left"/>
      <w:pPr>
        <w:ind w:left="1938" w:hanging="360"/>
      </w:pPr>
      <w:rPr>
        <w:rFonts w:ascii="Symbol" w:hAnsi="Symbol" w:hint="default"/>
      </w:rPr>
    </w:lvl>
    <w:lvl w:ilvl="4" w:tplc="04270003" w:tentative="1">
      <w:start w:val="1"/>
      <w:numFmt w:val="bullet"/>
      <w:lvlText w:val="o"/>
      <w:lvlJc w:val="left"/>
      <w:pPr>
        <w:ind w:left="2658" w:hanging="360"/>
      </w:pPr>
      <w:rPr>
        <w:rFonts w:ascii="Courier New" w:hAnsi="Courier New" w:cs="Courier New" w:hint="default"/>
      </w:rPr>
    </w:lvl>
    <w:lvl w:ilvl="5" w:tplc="04270005" w:tentative="1">
      <w:start w:val="1"/>
      <w:numFmt w:val="bullet"/>
      <w:lvlText w:val=""/>
      <w:lvlJc w:val="left"/>
      <w:pPr>
        <w:ind w:left="3378" w:hanging="360"/>
      </w:pPr>
      <w:rPr>
        <w:rFonts w:ascii="Wingdings" w:hAnsi="Wingdings" w:hint="default"/>
      </w:rPr>
    </w:lvl>
    <w:lvl w:ilvl="6" w:tplc="04270001" w:tentative="1">
      <w:start w:val="1"/>
      <w:numFmt w:val="bullet"/>
      <w:lvlText w:val=""/>
      <w:lvlJc w:val="left"/>
      <w:pPr>
        <w:ind w:left="4098" w:hanging="360"/>
      </w:pPr>
      <w:rPr>
        <w:rFonts w:ascii="Symbol" w:hAnsi="Symbol" w:hint="default"/>
      </w:rPr>
    </w:lvl>
    <w:lvl w:ilvl="7" w:tplc="04270003" w:tentative="1">
      <w:start w:val="1"/>
      <w:numFmt w:val="bullet"/>
      <w:lvlText w:val="o"/>
      <w:lvlJc w:val="left"/>
      <w:pPr>
        <w:ind w:left="4818" w:hanging="360"/>
      </w:pPr>
      <w:rPr>
        <w:rFonts w:ascii="Courier New" w:hAnsi="Courier New" w:cs="Courier New" w:hint="default"/>
      </w:rPr>
    </w:lvl>
    <w:lvl w:ilvl="8" w:tplc="04270005" w:tentative="1">
      <w:start w:val="1"/>
      <w:numFmt w:val="bullet"/>
      <w:lvlText w:val=""/>
      <w:lvlJc w:val="left"/>
      <w:pPr>
        <w:ind w:left="5538" w:hanging="360"/>
      </w:pPr>
      <w:rPr>
        <w:rFonts w:ascii="Wingdings" w:hAnsi="Wingdings" w:hint="default"/>
      </w:rPr>
    </w:lvl>
  </w:abstractNum>
  <w:abstractNum w:abstractNumId="41" w15:restartNumberingAfterBreak="0">
    <w:nsid w:val="702801A6"/>
    <w:multiLevelType w:val="hybridMultilevel"/>
    <w:tmpl w:val="C688E758"/>
    <w:lvl w:ilvl="0" w:tplc="31223DA2">
      <w:numFmt w:val="bullet"/>
      <w:lvlText w:val=""/>
      <w:lvlJc w:val="left"/>
      <w:pPr>
        <w:ind w:left="825" w:hanging="465"/>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201E1C"/>
    <w:multiLevelType w:val="hybridMultilevel"/>
    <w:tmpl w:val="A8E2726A"/>
    <w:lvl w:ilvl="0" w:tplc="61A4341C">
      <w:numFmt w:val="bullet"/>
      <w:lvlText w:val="-"/>
      <w:lvlJc w:val="left"/>
      <w:pPr>
        <w:ind w:left="138" w:hanging="360"/>
      </w:pPr>
      <w:rPr>
        <w:rFonts w:ascii="Times New Roman" w:eastAsia="Arial Unicode MS" w:hAnsi="Times New Roman" w:cs="Times New Roman" w:hint="default"/>
        <w:i/>
      </w:rPr>
    </w:lvl>
    <w:lvl w:ilvl="1" w:tplc="04270003" w:tentative="1">
      <w:start w:val="1"/>
      <w:numFmt w:val="bullet"/>
      <w:lvlText w:val="o"/>
      <w:lvlJc w:val="left"/>
      <w:pPr>
        <w:ind w:left="858" w:hanging="360"/>
      </w:pPr>
      <w:rPr>
        <w:rFonts w:ascii="Courier New" w:hAnsi="Courier New" w:cs="Courier New" w:hint="default"/>
      </w:rPr>
    </w:lvl>
    <w:lvl w:ilvl="2" w:tplc="04270005" w:tentative="1">
      <w:start w:val="1"/>
      <w:numFmt w:val="bullet"/>
      <w:lvlText w:val=""/>
      <w:lvlJc w:val="left"/>
      <w:pPr>
        <w:ind w:left="1578" w:hanging="360"/>
      </w:pPr>
      <w:rPr>
        <w:rFonts w:ascii="Wingdings" w:hAnsi="Wingdings" w:hint="default"/>
      </w:rPr>
    </w:lvl>
    <w:lvl w:ilvl="3" w:tplc="04270001" w:tentative="1">
      <w:start w:val="1"/>
      <w:numFmt w:val="bullet"/>
      <w:lvlText w:val=""/>
      <w:lvlJc w:val="left"/>
      <w:pPr>
        <w:ind w:left="2298" w:hanging="360"/>
      </w:pPr>
      <w:rPr>
        <w:rFonts w:ascii="Symbol" w:hAnsi="Symbol" w:hint="default"/>
      </w:rPr>
    </w:lvl>
    <w:lvl w:ilvl="4" w:tplc="04270003" w:tentative="1">
      <w:start w:val="1"/>
      <w:numFmt w:val="bullet"/>
      <w:lvlText w:val="o"/>
      <w:lvlJc w:val="left"/>
      <w:pPr>
        <w:ind w:left="3018" w:hanging="360"/>
      </w:pPr>
      <w:rPr>
        <w:rFonts w:ascii="Courier New" w:hAnsi="Courier New" w:cs="Courier New" w:hint="default"/>
      </w:rPr>
    </w:lvl>
    <w:lvl w:ilvl="5" w:tplc="04270005" w:tentative="1">
      <w:start w:val="1"/>
      <w:numFmt w:val="bullet"/>
      <w:lvlText w:val=""/>
      <w:lvlJc w:val="left"/>
      <w:pPr>
        <w:ind w:left="3738" w:hanging="360"/>
      </w:pPr>
      <w:rPr>
        <w:rFonts w:ascii="Wingdings" w:hAnsi="Wingdings" w:hint="default"/>
      </w:rPr>
    </w:lvl>
    <w:lvl w:ilvl="6" w:tplc="04270001" w:tentative="1">
      <w:start w:val="1"/>
      <w:numFmt w:val="bullet"/>
      <w:lvlText w:val=""/>
      <w:lvlJc w:val="left"/>
      <w:pPr>
        <w:ind w:left="4458" w:hanging="360"/>
      </w:pPr>
      <w:rPr>
        <w:rFonts w:ascii="Symbol" w:hAnsi="Symbol" w:hint="default"/>
      </w:rPr>
    </w:lvl>
    <w:lvl w:ilvl="7" w:tplc="04270003" w:tentative="1">
      <w:start w:val="1"/>
      <w:numFmt w:val="bullet"/>
      <w:lvlText w:val="o"/>
      <w:lvlJc w:val="left"/>
      <w:pPr>
        <w:ind w:left="5178" w:hanging="360"/>
      </w:pPr>
      <w:rPr>
        <w:rFonts w:ascii="Courier New" w:hAnsi="Courier New" w:cs="Courier New" w:hint="default"/>
      </w:rPr>
    </w:lvl>
    <w:lvl w:ilvl="8" w:tplc="04270005" w:tentative="1">
      <w:start w:val="1"/>
      <w:numFmt w:val="bullet"/>
      <w:lvlText w:val=""/>
      <w:lvlJc w:val="left"/>
      <w:pPr>
        <w:ind w:left="5898" w:hanging="360"/>
      </w:pPr>
      <w:rPr>
        <w:rFonts w:ascii="Wingdings" w:hAnsi="Wingdings" w:hint="default"/>
      </w:rPr>
    </w:lvl>
  </w:abstractNum>
  <w:num w:numId="1">
    <w:abstractNumId w:val="22"/>
  </w:num>
  <w:num w:numId="2">
    <w:abstractNumId w:val="9"/>
  </w:num>
  <w:num w:numId="3">
    <w:abstractNumId w:val="6"/>
  </w:num>
  <w:num w:numId="4">
    <w:abstractNumId w:val="24"/>
  </w:num>
  <w:num w:numId="5">
    <w:abstractNumId w:val="15"/>
  </w:num>
  <w:num w:numId="6">
    <w:abstractNumId w:val="11"/>
  </w:num>
  <w:num w:numId="7">
    <w:abstractNumId w:val="13"/>
  </w:num>
  <w:num w:numId="8">
    <w:abstractNumId w:val="19"/>
  </w:num>
  <w:num w:numId="9">
    <w:abstractNumId w:val="32"/>
  </w:num>
  <w:num w:numId="10">
    <w:abstractNumId w:val="14"/>
  </w:num>
  <w:num w:numId="11">
    <w:abstractNumId w:val="21"/>
  </w:num>
  <w:num w:numId="12">
    <w:abstractNumId w:val="2"/>
  </w:num>
  <w:num w:numId="13">
    <w:abstractNumId w:val="25"/>
  </w:num>
  <w:num w:numId="14">
    <w:abstractNumId w:val="26"/>
  </w:num>
  <w:num w:numId="15">
    <w:abstractNumId w:val="3"/>
  </w:num>
  <w:num w:numId="16">
    <w:abstractNumId w:val="27"/>
  </w:num>
  <w:num w:numId="17">
    <w:abstractNumId w:val="29"/>
  </w:num>
  <w:num w:numId="18">
    <w:abstractNumId w:val="34"/>
  </w:num>
  <w:num w:numId="19">
    <w:abstractNumId w:val="5"/>
  </w:num>
  <w:num w:numId="20">
    <w:abstractNumId w:val="4"/>
  </w:num>
  <w:num w:numId="21">
    <w:abstractNumId w:val="17"/>
  </w:num>
  <w:num w:numId="22">
    <w:abstractNumId w:val="38"/>
  </w:num>
  <w:num w:numId="23">
    <w:abstractNumId w:val="0"/>
  </w:num>
  <w:num w:numId="24">
    <w:abstractNumId w:val="28"/>
  </w:num>
  <w:num w:numId="25">
    <w:abstractNumId w:val="36"/>
  </w:num>
  <w:num w:numId="26">
    <w:abstractNumId w:val="1"/>
  </w:num>
  <w:num w:numId="27">
    <w:abstractNumId w:val="23"/>
  </w:num>
  <w:num w:numId="28">
    <w:abstractNumId w:val="16"/>
  </w:num>
  <w:num w:numId="29">
    <w:abstractNumId w:val="20"/>
  </w:num>
  <w:num w:numId="30">
    <w:abstractNumId w:val="18"/>
  </w:num>
  <w:num w:numId="31">
    <w:abstractNumId w:val="31"/>
  </w:num>
  <w:num w:numId="32">
    <w:abstractNumId w:val="12"/>
  </w:num>
  <w:num w:numId="33">
    <w:abstractNumId w:val="33"/>
  </w:num>
  <w:num w:numId="34">
    <w:abstractNumId w:val="7"/>
  </w:num>
  <w:num w:numId="35">
    <w:abstractNumId w:val="39"/>
  </w:num>
  <w:num w:numId="36">
    <w:abstractNumId w:val="10"/>
  </w:num>
  <w:num w:numId="37">
    <w:abstractNumId w:val="30"/>
  </w:num>
  <w:num w:numId="38">
    <w:abstractNumId w:val="8"/>
  </w:num>
  <w:num w:numId="39">
    <w:abstractNumId w:val="42"/>
  </w:num>
  <w:num w:numId="40">
    <w:abstractNumId w:val="40"/>
  </w:num>
  <w:num w:numId="41">
    <w:abstractNumId w:val="35"/>
  </w:num>
  <w:num w:numId="42">
    <w:abstractNumId w:val="37"/>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autoHyphenation/>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F"/>
    <w:rsid w:val="0004381B"/>
    <w:rsid w:val="00056429"/>
    <w:rsid w:val="00077641"/>
    <w:rsid w:val="00080285"/>
    <w:rsid w:val="000B1E25"/>
    <w:rsid w:val="000E1695"/>
    <w:rsid w:val="0011594A"/>
    <w:rsid w:val="001363EE"/>
    <w:rsid w:val="0019164D"/>
    <w:rsid w:val="002C67CC"/>
    <w:rsid w:val="002C7E0C"/>
    <w:rsid w:val="00302D04"/>
    <w:rsid w:val="003264C9"/>
    <w:rsid w:val="00342C7D"/>
    <w:rsid w:val="0037691B"/>
    <w:rsid w:val="003B0824"/>
    <w:rsid w:val="003C4B90"/>
    <w:rsid w:val="003C6810"/>
    <w:rsid w:val="003E0211"/>
    <w:rsid w:val="003E2F37"/>
    <w:rsid w:val="003F58E0"/>
    <w:rsid w:val="00412526"/>
    <w:rsid w:val="00416028"/>
    <w:rsid w:val="004360A1"/>
    <w:rsid w:val="00442FF4"/>
    <w:rsid w:val="00444377"/>
    <w:rsid w:val="00452360"/>
    <w:rsid w:val="0049434A"/>
    <w:rsid w:val="004B217F"/>
    <w:rsid w:val="004E38B4"/>
    <w:rsid w:val="004E3E97"/>
    <w:rsid w:val="00554DC5"/>
    <w:rsid w:val="00557D5B"/>
    <w:rsid w:val="00573FCF"/>
    <w:rsid w:val="0058250F"/>
    <w:rsid w:val="00600385"/>
    <w:rsid w:val="00661546"/>
    <w:rsid w:val="006B1A71"/>
    <w:rsid w:val="006C1908"/>
    <w:rsid w:val="006D6C5E"/>
    <w:rsid w:val="0071096D"/>
    <w:rsid w:val="00731F0F"/>
    <w:rsid w:val="007430FE"/>
    <w:rsid w:val="007547A4"/>
    <w:rsid w:val="007824A0"/>
    <w:rsid w:val="00797067"/>
    <w:rsid w:val="007B63FB"/>
    <w:rsid w:val="007C3085"/>
    <w:rsid w:val="007E1F14"/>
    <w:rsid w:val="008466F9"/>
    <w:rsid w:val="008B2A52"/>
    <w:rsid w:val="008E4444"/>
    <w:rsid w:val="009469ED"/>
    <w:rsid w:val="00946AC6"/>
    <w:rsid w:val="00963406"/>
    <w:rsid w:val="009B6FB3"/>
    <w:rsid w:val="009D0CCE"/>
    <w:rsid w:val="00A26397"/>
    <w:rsid w:val="00A31080"/>
    <w:rsid w:val="00A33567"/>
    <w:rsid w:val="00A46916"/>
    <w:rsid w:val="00A62AB3"/>
    <w:rsid w:val="00A82DF1"/>
    <w:rsid w:val="00AD7E3A"/>
    <w:rsid w:val="00B02F33"/>
    <w:rsid w:val="00B03FB8"/>
    <w:rsid w:val="00B227C5"/>
    <w:rsid w:val="00B67F14"/>
    <w:rsid w:val="00B70894"/>
    <w:rsid w:val="00BA186A"/>
    <w:rsid w:val="00BC62D4"/>
    <w:rsid w:val="00BD43DF"/>
    <w:rsid w:val="00BF7037"/>
    <w:rsid w:val="00C02130"/>
    <w:rsid w:val="00C71C4E"/>
    <w:rsid w:val="00C842BA"/>
    <w:rsid w:val="00CA640F"/>
    <w:rsid w:val="00D31597"/>
    <w:rsid w:val="00D34348"/>
    <w:rsid w:val="00D76041"/>
    <w:rsid w:val="00D90E71"/>
    <w:rsid w:val="00DC7618"/>
    <w:rsid w:val="00DE2D88"/>
    <w:rsid w:val="00E01BFC"/>
    <w:rsid w:val="00E4299A"/>
    <w:rsid w:val="00E90989"/>
    <w:rsid w:val="00EA3E49"/>
    <w:rsid w:val="00EC384A"/>
    <w:rsid w:val="00EE1216"/>
    <w:rsid w:val="00EF0DF3"/>
    <w:rsid w:val="00F526F9"/>
    <w:rsid w:val="00FA625F"/>
    <w:rsid w:val="00FF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CD618"/>
  <w15:docId w15:val="{DCFE5A3A-14A1-4298-A162-6BA3DF27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Sraopastraipa">
    <w:name w:val="List Paragraph"/>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character" w:customStyle="1" w:styleId="tlid-translation">
    <w:name w:val="tlid-translation"/>
    <w:basedOn w:val="Numatytasispastraiposriftas"/>
    <w:rsid w:val="002C7E0C"/>
  </w:style>
  <w:style w:type="character" w:styleId="Emfaz">
    <w:name w:val="Emphasis"/>
    <w:uiPriority w:val="20"/>
    <w:qFormat/>
    <w:rsid w:val="000E1695"/>
    <w:rPr>
      <w:i/>
      <w:iCs/>
    </w:rPr>
  </w:style>
  <w:style w:type="paragraph" w:customStyle="1" w:styleId="xmsonormal">
    <w:name w:val="xmsonormal"/>
    <w:basedOn w:val="prastasis"/>
    <w:rsid w:val="00BF70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rastasiniatinklio">
    <w:name w:val="Normal (Web)"/>
    <w:basedOn w:val="prastasis"/>
    <w:uiPriority w:val="99"/>
    <w:unhideWhenUsed/>
    <w:rsid w:val="008B2A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0">
    <w:name w:val="x_msonormal"/>
    <w:basedOn w:val="prastasis"/>
    <w:rsid w:val="008B2A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listparagraph">
    <w:name w:val="x_msolistparagraph"/>
    <w:basedOn w:val="prastasis"/>
    <w:rsid w:val="00A82D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a">
    <w:name w:val="x_bodya"/>
    <w:basedOn w:val="prastasis"/>
    <w:rsid w:val="000B1E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default">
    <w:name w:val="x_default"/>
    <w:basedOn w:val="prastasis"/>
    <w:rsid w:val="000B1E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Grietas">
    <w:name w:val="Strong"/>
    <w:basedOn w:val="Numatytasispastraiposriftas"/>
    <w:uiPriority w:val="22"/>
    <w:qFormat/>
    <w:rsid w:val="00A31080"/>
    <w:rPr>
      <w:b/>
      <w:bCs/>
    </w:rPr>
  </w:style>
  <w:style w:type="paragraph" w:styleId="Debesliotekstas">
    <w:name w:val="Balloon Text"/>
    <w:basedOn w:val="prastasis"/>
    <w:link w:val="DebesliotekstasDiagrama"/>
    <w:uiPriority w:val="99"/>
    <w:semiHidden/>
    <w:unhideWhenUsed/>
    <w:rsid w:val="00731F0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F0F"/>
    <w:rPr>
      <w:rFonts w:ascii="Segoe UI" w:hAnsi="Segoe UI" w:cs="Segoe UI"/>
      <w:sz w:val="18"/>
      <w:szCs w:val="18"/>
    </w:rPr>
  </w:style>
  <w:style w:type="character" w:styleId="Komentaronuoroda">
    <w:name w:val="annotation reference"/>
    <w:basedOn w:val="Numatytasispastraiposriftas"/>
    <w:uiPriority w:val="99"/>
    <w:semiHidden/>
    <w:unhideWhenUsed/>
    <w:rsid w:val="00077641"/>
    <w:rPr>
      <w:sz w:val="16"/>
      <w:szCs w:val="16"/>
    </w:rPr>
  </w:style>
  <w:style w:type="paragraph" w:styleId="Komentarotekstas">
    <w:name w:val="annotation text"/>
    <w:basedOn w:val="prastasis"/>
    <w:link w:val="KomentarotekstasDiagrama"/>
    <w:uiPriority w:val="99"/>
    <w:semiHidden/>
    <w:unhideWhenUsed/>
    <w:rsid w:val="00077641"/>
    <w:rPr>
      <w:sz w:val="20"/>
      <w:szCs w:val="20"/>
    </w:rPr>
  </w:style>
  <w:style w:type="character" w:customStyle="1" w:styleId="KomentarotekstasDiagrama">
    <w:name w:val="Komentaro tekstas Diagrama"/>
    <w:basedOn w:val="Numatytasispastraiposriftas"/>
    <w:link w:val="Komentarotekstas"/>
    <w:uiPriority w:val="99"/>
    <w:semiHidden/>
    <w:rsid w:val="00077641"/>
  </w:style>
  <w:style w:type="paragraph" w:styleId="Komentarotema">
    <w:name w:val="annotation subject"/>
    <w:basedOn w:val="Komentarotekstas"/>
    <w:next w:val="Komentarotekstas"/>
    <w:link w:val="KomentarotemaDiagrama"/>
    <w:uiPriority w:val="99"/>
    <w:semiHidden/>
    <w:unhideWhenUsed/>
    <w:rsid w:val="00077641"/>
    <w:rPr>
      <w:b/>
      <w:bCs/>
    </w:rPr>
  </w:style>
  <w:style w:type="character" w:customStyle="1" w:styleId="KomentarotemaDiagrama">
    <w:name w:val="Komentaro tema Diagrama"/>
    <w:basedOn w:val="KomentarotekstasDiagrama"/>
    <w:link w:val="Komentarotema"/>
    <w:uiPriority w:val="99"/>
    <w:semiHidden/>
    <w:rsid w:val="00077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8099">
      <w:bodyDiv w:val="1"/>
      <w:marLeft w:val="0"/>
      <w:marRight w:val="0"/>
      <w:marTop w:val="0"/>
      <w:marBottom w:val="0"/>
      <w:divBdr>
        <w:top w:val="none" w:sz="0" w:space="0" w:color="auto"/>
        <w:left w:val="none" w:sz="0" w:space="0" w:color="auto"/>
        <w:bottom w:val="none" w:sz="0" w:space="0" w:color="auto"/>
        <w:right w:val="none" w:sz="0" w:space="0" w:color="auto"/>
      </w:divBdr>
    </w:div>
    <w:div w:id="248080118">
      <w:bodyDiv w:val="1"/>
      <w:marLeft w:val="0"/>
      <w:marRight w:val="0"/>
      <w:marTop w:val="0"/>
      <w:marBottom w:val="0"/>
      <w:divBdr>
        <w:top w:val="none" w:sz="0" w:space="0" w:color="auto"/>
        <w:left w:val="none" w:sz="0" w:space="0" w:color="auto"/>
        <w:bottom w:val="none" w:sz="0" w:space="0" w:color="auto"/>
        <w:right w:val="none" w:sz="0" w:space="0" w:color="auto"/>
      </w:divBdr>
    </w:div>
    <w:div w:id="295530071">
      <w:bodyDiv w:val="1"/>
      <w:marLeft w:val="0"/>
      <w:marRight w:val="0"/>
      <w:marTop w:val="0"/>
      <w:marBottom w:val="0"/>
      <w:divBdr>
        <w:top w:val="none" w:sz="0" w:space="0" w:color="auto"/>
        <w:left w:val="none" w:sz="0" w:space="0" w:color="auto"/>
        <w:bottom w:val="none" w:sz="0" w:space="0" w:color="auto"/>
        <w:right w:val="none" w:sz="0" w:space="0" w:color="auto"/>
      </w:divBdr>
    </w:div>
    <w:div w:id="330720847">
      <w:bodyDiv w:val="1"/>
      <w:marLeft w:val="0"/>
      <w:marRight w:val="0"/>
      <w:marTop w:val="0"/>
      <w:marBottom w:val="0"/>
      <w:divBdr>
        <w:top w:val="none" w:sz="0" w:space="0" w:color="auto"/>
        <w:left w:val="none" w:sz="0" w:space="0" w:color="auto"/>
        <w:bottom w:val="none" w:sz="0" w:space="0" w:color="auto"/>
        <w:right w:val="none" w:sz="0" w:space="0" w:color="auto"/>
      </w:divBdr>
    </w:div>
    <w:div w:id="776487427">
      <w:bodyDiv w:val="1"/>
      <w:marLeft w:val="0"/>
      <w:marRight w:val="0"/>
      <w:marTop w:val="0"/>
      <w:marBottom w:val="0"/>
      <w:divBdr>
        <w:top w:val="none" w:sz="0" w:space="0" w:color="auto"/>
        <w:left w:val="none" w:sz="0" w:space="0" w:color="auto"/>
        <w:bottom w:val="none" w:sz="0" w:space="0" w:color="auto"/>
        <w:right w:val="none" w:sz="0" w:space="0" w:color="auto"/>
      </w:divBdr>
    </w:div>
    <w:div w:id="1609120014">
      <w:bodyDiv w:val="1"/>
      <w:marLeft w:val="0"/>
      <w:marRight w:val="0"/>
      <w:marTop w:val="0"/>
      <w:marBottom w:val="0"/>
      <w:divBdr>
        <w:top w:val="none" w:sz="0" w:space="0" w:color="auto"/>
        <w:left w:val="none" w:sz="0" w:space="0" w:color="auto"/>
        <w:bottom w:val="none" w:sz="0" w:space="0" w:color="auto"/>
        <w:right w:val="none" w:sz="0" w:space="0" w:color="auto"/>
      </w:divBdr>
    </w:div>
    <w:div w:id="1899318813">
      <w:bodyDiv w:val="1"/>
      <w:marLeft w:val="0"/>
      <w:marRight w:val="0"/>
      <w:marTop w:val="0"/>
      <w:marBottom w:val="0"/>
      <w:divBdr>
        <w:top w:val="none" w:sz="0" w:space="0" w:color="auto"/>
        <w:left w:val="none" w:sz="0" w:space="0" w:color="auto"/>
        <w:bottom w:val="none" w:sz="0" w:space="0" w:color="auto"/>
        <w:right w:val="none" w:sz="0" w:space="0" w:color="auto"/>
      </w:divBdr>
    </w:div>
    <w:div w:id="2007128116">
      <w:bodyDiv w:val="1"/>
      <w:marLeft w:val="0"/>
      <w:marRight w:val="0"/>
      <w:marTop w:val="0"/>
      <w:marBottom w:val="0"/>
      <w:divBdr>
        <w:top w:val="none" w:sz="0" w:space="0" w:color="auto"/>
        <w:left w:val="none" w:sz="0" w:space="0" w:color="auto"/>
        <w:bottom w:val="none" w:sz="0" w:space="0" w:color="auto"/>
        <w:right w:val="none" w:sz="0" w:space="0" w:color="auto"/>
      </w:divBdr>
    </w:div>
    <w:div w:id="211979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11119</Words>
  <Characters>6339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 Antanaitė</dc:creator>
  <cp:lastModifiedBy>Jurgis Stirblys</cp:lastModifiedBy>
  <cp:revision>4</cp:revision>
  <dcterms:created xsi:type="dcterms:W3CDTF">2020-11-29T14:45:00Z</dcterms:created>
  <dcterms:modified xsi:type="dcterms:W3CDTF">2020-11-30T07:36:00Z</dcterms:modified>
</cp:coreProperties>
</file>