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C9" w:rsidRPr="00327B43" w:rsidRDefault="00785BC9" w:rsidP="00785BC9">
      <w:pPr>
        <w:spacing w:after="0" w:line="252" w:lineRule="auto"/>
        <w:jc w:val="center"/>
        <w:outlineLvl w:val="0"/>
        <w:rPr>
          <w:rFonts w:eastAsia="Calibri" w:cs="Times New Roman"/>
          <w:b/>
          <w:caps/>
          <w:szCs w:val="24"/>
        </w:rPr>
      </w:pPr>
      <w:r w:rsidRPr="00327B43">
        <w:rPr>
          <w:rFonts w:eastAsia="Calibri" w:cs="Times New Roman"/>
          <w:b/>
          <w:caps/>
          <w:szCs w:val="24"/>
        </w:rPr>
        <w:t>Derinimo pažyma</w:t>
      </w:r>
    </w:p>
    <w:p w:rsidR="00785BC9" w:rsidRPr="00327B43" w:rsidRDefault="00785BC9" w:rsidP="00785BC9">
      <w:pPr>
        <w:spacing w:after="0" w:line="252" w:lineRule="auto"/>
        <w:jc w:val="center"/>
        <w:outlineLvl w:val="0"/>
        <w:rPr>
          <w:rFonts w:eastAsia="Calibri" w:cs="Times New Roman"/>
          <w:b/>
          <w:caps/>
          <w:szCs w:val="24"/>
        </w:rPr>
      </w:pPr>
    </w:p>
    <w:p w:rsidR="00785BC9" w:rsidRPr="00497513" w:rsidRDefault="00785BC9" w:rsidP="00785BC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rPr>
          <w:rFonts w:eastAsia="Times New Roman"/>
          <w:b/>
          <w:szCs w:val="24"/>
          <w:lang w:eastAsia="lt-LT"/>
        </w:rPr>
      </w:pPr>
      <w:r w:rsidRPr="00057CE4">
        <w:rPr>
          <w:b/>
        </w:rPr>
        <w:t xml:space="preserve">DĖL </w:t>
      </w:r>
      <w:r w:rsidRPr="00497513">
        <w:rPr>
          <w:rFonts w:eastAsia="Times New Roman"/>
          <w:b/>
          <w:szCs w:val="24"/>
          <w:lang w:eastAsia="lt-LT"/>
        </w:rPr>
        <w:t xml:space="preserve">LIETUVOS RESPUBLIKOS ADMINISTRACINIŲ NUSIŽENGIMŲ KODEKSO </w:t>
      </w:r>
      <w:r w:rsidR="0082671B" w:rsidRPr="00077678">
        <w:rPr>
          <w:rFonts w:cs="Times New Roman"/>
          <w:b/>
          <w:szCs w:val="24"/>
        </w:rPr>
        <w:t xml:space="preserve">33, 223, 321, </w:t>
      </w:r>
      <w:r w:rsidR="0082671B">
        <w:rPr>
          <w:rFonts w:cs="Times New Roman"/>
          <w:b/>
          <w:szCs w:val="24"/>
        </w:rPr>
        <w:t xml:space="preserve">327, </w:t>
      </w:r>
      <w:r w:rsidR="0082671B" w:rsidRPr="00077678">
        <w:rPr>
          <w:rFonts w:cs="Times New Roman"/>
          <w:b/>
          <w:szCs w:val="24"/>
        </w:rPr>
        <w:t xml:space="preserve">401, </w:t>
      </w:r>
      <w:r w:rsidR="0082671B" w:rsidRPr="00077678">
        <w:rPr>
          <w:rFonts w:cs="Times New Roman"/>
          <w:b/>
          <w:bCs/>
          <w:szCs w:val="24"/>
        </w:rPr>
        <w:t>413</w:t>
      </w:r>
      <w:r w:rsidR="0082671B" w:rsidRPr="00077678">
        <w:rPr>
          <w:rFonts w:cs="Times New Roman"/>
          <w:b/>
          <w:bCs/>
          <w:szCs w:val="24"/>
          <w:vertAlign w:val="superscript"/>
        </w:rPr>
        <w:t>1</w:t>
      </w:r>
      <w:r w:rsidR="0082671B" w:rsidRPr="00077678">
        <w:rPr>
          <w:rFonts w:cs="Times New Roman"/>
          <w:b/>
          <w:szCs w:val="24"/>
        </w:rPr>
        <w:t xml:space="preserve"> 558, 560, 569, </w:t>
      </w:r>
      <w:r w:rsidR="00AD04D7">
        <w:rPr>
          <w:rFonts w:cs="Times New Roman"/>
          <w:b/>
          <w:szCs w:val="24"/>
        </w:rPr>
        <w:t>579</w:t>
      </w:r>
      <w:bookmarkStart w:id="0" w:name="_GoBack"/>
      <w:bookmarkEnd w:id="0"/>
      <w:r w:rsidR="0082671B">
        <w:rPr>
          <w:rFonts w:cs="Times New Roman"/>
          <w:b/>
          <w:szCs w:val="24"/>
        </w:rPr>
        <w:t xml:space="preserve">, </w:t>
      </w:r>
      <w:r w:rsidR="0082671B" w:rsidRPr="00077678">
        <w:rPr>
          <w:rFonts w:cs="Times New Roman"/>
          <w:b/>
          <w:szCs w:val="24"/>
        </w:rPr>
        <w:t>589, 610, 611, 620, 621</w:t>
      </w:r>
      <w:r w:rsidR="0082671B">
        <w:rPr>
          <w:rFonts w:cs="Times New Roman"/>
          <w:b/>
          <w:szCs w:val="24"/>
        </w:rPr>
        <w:t>, 644</w:t>
      </w:r>
      <w:r w:rsidR="0082671B">
        <w:rPr>
          <w:rFonts w:cs="Times New Roman"/>
          <w:b/>
          <w:szCs w:val="24"/>
          <w:lang w:val="en-GB"/>
        </w:rPr>
        <w:t xml:space="preserve"> </w:t>
      </w:r>
      <w:r w:rsidR="0082671B" w:rsidRPr="00077678">
        <w:rPr>
          <w:rFonts w:cs="Times New Roman"/>
          <w:b/>
          <w:szCs w:val="24"/>
        </w:rPr>
        <w:t>STRAIPSNIŲ IR PRIEDO PAKEITIMO</w:t>
      </w:r>
    </w:p>
    <w:p w:rsidR="00785BC9" w:rsidRPr="00057CE4" w:rsidRDefault="00785BC9" w:rsidP="00785BC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97513">
        <w:rPr>
          <w:rFonts w:eastAsia="Times New Roman"/>
          <w:b/>
          <w:szCs w:val="24"/>
          <w:lang w:eastAsia="lt-LT"/>
        </w:rPr>
        <w:t>ĮSTATYMO PROJEKTO</w:t>
      </w:r>
    </w:p>
    <w:p w:rsidR="00785BC9" w:rsidRDefault="00785BC9" w:rsidP="00785BC9">
      <w:pPr>
        <w:spacing w:after="0" w:line="252" w:lineRule="auto"/>
        <w:jc w:val="center"/>
        <w:outlineLvl w:val="0"/>
        <w:rPr>
          <w:rFonts w:eastAsia="Calibri" w:cs="Times New Roman"/>
          <w:b/>
          <w:caps/>
          <w:color w:val="000000" w:themeColor="text1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90"/>
        <w:gridCol w:w="6274"/>
        <w:gridCol w:w="5634"/>
      </w:tblGrid>
      <w:tr w:rsidR="00785BC9" w:rsidTr="00466C9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C9" w:rsidRDefault="00C9755B" w:rsidP="00466C97">
            <w:r>
              <w:t>Pastabų autorius</w:t>
            </w:r>
            <w:r w:rsidR="00785BC9"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C9" w:rsidRPr="00502EF6" w:rsidRDefault="00785BC9" w:rsidP="00C9755B">
            <w:pPr>
              <w:pStyle w:val="Preformatted"/>
              <w:tabs>
                <w:tab w:val="clear" w:pos="959"/>
                <w:tab w:val="clear" w:pos="1918"/>
                <w:tab w:val="left" w:pos="1276"/>
              </w:tabs>
              <w:spacing w:line="276" w:lineRule="auto"/>
              <w:ind w:left="709" w:hanging="639"/>
              <w:rPr>
                <w:rFonts w:ascii="Times New Roman" w:hAnsi="Times New Roman"/>
                <w:sz w:val="24"/>
                <w:szCs w:val="24"/>
              </w:rPr>
            </w:pPr>
            <w:r w:rsidRPr="00502EF6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C9" w:rsidRDefault="00785BC9" w:rsidP="00466C97">
            <w:r>
              <w:t>Įvertinimas</w:t>
            </w:r>
          </w:p>
        </w:tc>
      </w:tr>
      <w:tr w:rsidR="00785BC9" w:rsidTr="00466C97"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785BC9" w:rsidRDefault="0079666B" w:rsidP="00466C97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Policijos departamentas prie Lietuvos Respublikos vidaus reikalų ministerijos</w:t>
            </w:r>
          </w:p>
          <w:p w:rsidR="0079666B" w:rsidRDefault="00AF24E5" w:rsidP="0079666B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</w:t>
            </w:r>
            <w:r w:rsidR="0079666B">
              <w:rPr>
                <w:rFonts w:ascii="Liberation Serif" w:hAnsi="Liberation Serif" w:cs="Liberation Serif"/>
                <w:szCs w:val="24"/>
              </w:rPr>
              <w:t>20 </w:t>
            </w:r>
            <w:r>
              <w:rPr>
                <w:rFonts w:ascii="Liberation Serif" w:hAnsi="Liberation Serif" w:cs="Liberation Serif"/>
                <w:szCs w:val="24"/>
              </w:rPr>
              <w:t xml:space="preserve">m. </w:t>
            </w:r>
            <w:r w:rsidR="0079666B">
              <w:rPr>
                <w:rFonts w:ascii="Liberation Serif" w:hAnsi="Liberation Serif" w:cs="Liberation Serif"/>
                <w:szCs w:val="24"/>
              </w:rPr>
              <w:t>rugsėjo</w:t>
            </w:r>
            <w:r>
              <w:rPr>
                <w:rFonts w:ascii="Liberation Serif" w:hAnsi="Liberation Serif" w:cs="Liberation Serif"/>
                <w:szCs w:val="24"/>
              </w:rPr>
              <w:t xml:space="preserve"> 1</w:t>
            </w:r>
            <w:r w:rsidR="0079666B">
              <w:rPr>
                <w:rFonts w:ascii="Liberation Serif" w:hAnsi="Liberation Serif" w:cs="Liberation Serif"/>
                <w:szCs w:val="24"/>
              </w:rPr>
              <w:t xml:space="preserve">1 d. raštas </w:t>
            </w:r>
          </w:p>
          <w:p w:rsidR="00AF24E5" w:rsidRDefault="0079666B" w:rsidP="0079666B">
            <w:r>
              <w:rPr>
                <w:rFonts w:ascii="Liberation Serif" w:hAnsi="Liberation Serif" w:cs="Liberation Serif"/>
                <w:szCs w:val="24"/>
              </w:rPr>
              <w:t>Nr. 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5-S-12315</w:t>
            </w:r>
          </w:p>
        </w:tc>
        <w:tc>
          <w:tcPr>
            <w:tcW w:w="6274" w:type="dxa"/>
            <w:tcBorders>
              <w:top w:val="single" w:sz="4" w:space="0" w:color="auto"/>
              <w:bottom w:val="single" w:sz="4" w:space="0" w:color="auto"/>
            </w:tcBorders>
          </w:tcPr>
          <w:p w:rsidR="0079666B" w:rsidRDefault="0079666B" w:rsidP="00C9755B">
            <w:pPr>
              <w:autoSpaceDE w:val="0"/>
              <w:autoSpaceDN w:val="0"/>
              <w:adjustRightInd w:val="0"/>
              <w:ind w:firstLine="354"/>
              <w:jc w:val="both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Nepritariame ANK projekto 9, 13, 14, 15 straipsnių nuostatoms:</w:t>
            </w:r>
          </w:p>
          <w:p w:rsidR="0079666B" w:rsidRDefault="0079666B" w:rsidP="00C9755B">
            <w:pPr>
              <w:autoSpaceDE w:val="0"/>
              <w:autoSpaceDN w:val="0"/>
              <w:adjustRightInd w:val="0"/>
              <w:ind w:firstLine="354"/>
              <w:jc w:val="both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1) nustatyti, kad, priėmus nutarimą nutraukti administracinio nusižengimo bylos teiseną, jį įteikti (išsiųsti) asmeniui, pranešusiam apie galimai padarytą administracinį nusižengimą ir, jo manymu, patyrusiam dėl jo žalą;</w:t>
            </w:r>
          </w:p>
          <w:p w:rsidR="0079666B" w:rsidRDefault="0079666B" w:rsidP="00C9755B">
            <w:pPr>
              <w:autoSpaceDE w:val="0"/>
              <w:autoSpaceDN w:val="0"/>
              <w:adjustRightInd w:val="0"/>
              <w:ind w:firstLine="354"/>
              <w:jc w:val="both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2) asmenims, pranešusiems apie administracinį nusižengimą ir, jų manymu, patyrusiems dėl jo žalą, suteikti teisę apskųsti tokį nutarimą.</w:t>
            </w:r>
          </w:p>
          <w:p w:rsidR="0079666B" w:rsidRDefault="0079666B" w:rsidP="00C9755B">
            <w:pPr>
              <w:autoSpaceDE w:val="0"/>
              <w:autoSpaceDN w:val="0"/>
              <w:adjustRightInd w:val="0"/>
              <w:ind w:firstLine="354"/>
              <w:jc w:val="both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Manome, kad siūlomam teisiniam reglamentavimui reikės daug darbo laiko sąnaudų, tačiau abejojame efektyvumu. Procesinio dokumento, šiuo atveju – nutarimo dėl administracinio nusižengimo bylos teisenos nutraukimo, įteikimas negali būti savitikslis. Taip pat ir teisė apskųsti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priimtą nutarimą negali būti absoliuti. Lietuvos Respublikos administracinių nusižengimų kodeksas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(toliau – ANK), reglamentuojantis administracinės atsakomybės, kaip nesudėtingos atsakomybės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taikymą, negali nustatyti neefektyvių ir nereikalingų veiksmų. Pvz., ANK 39 straipsnyje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„Administracinių nuobaudų skyrimo terminai“ nustatyta, kad administracinė nuobauda gali būti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paskirta ne vėliau kaip per dvejus metus nuo administracinio nusižengimo padarymo dienos, o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trunkamojo administracinio nusižengimo atveju – per dvejus metus nuo jo paaiškėjimo dienos.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Todėl, nutraukus teiseną, suėjus nuobaudos skyrimo senaties terminui, priimti kitokį sprendimą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administracinio nusižengimo byloje nėra jokių galimybių. Analogiška situacija ir kai teisena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lastRenderedPageBreak/>
              <w:t>nutraukiama tais atvejais, kai administracinėn atsakomybėn traukiamas asmuo miršta.</w:t>
            </w:r>
          </w:p>
          <w:p w:rsidR="00785BC9" w:rsidRPr="00135962" w:rsidRDefault="0079666B" w:rsidP="00C9755B">
            <w:pPr>
              <w:autoSpaceDE w:val="0"/>
              <w:autoSpaceDN w:val="0"/>
              <w:adjustRightInd w:val="0"/>
              <w:ind w:firstLine="354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Todėl, siekdami išvengti nereikalingų bei neefektyvių pareigūnų, tiriančių administracinius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nusižengimus, veiksmų atlikimo, manome, kad būtų tikslinga tobulinti pripažinimo nukentėjusiuoju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teisinį reglamentavimą. Siūlome nustatyti, kad tais atvejais, kai pranešime apie galimai padarytą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nusižengimą nurodoma galimai padaryta žala, administracinį nusižengimą tiriantis pareigūnas turėtų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priimti sprendimą dėl asmens pripažinimo nukentėjusiuoju arba dėl atsisakymo pripažinti asmenį</w:t>
            </w:r>
            <w:r w:rsidR="00F32CD0">
              <w:rPr>
                <w:rFonts w:ascii="TimesNewRomanPSMT" w:hAnsi="TimesNewRomanPSMT" w:cs="TimesNewRomanPSMT"/>
                <w:szCs w:val="24"/>
              </w:rPr>
              <w:t xml:space="preserve"> nukentėjusiuoju. Taip pat siūlome nustatyti galimybę apskųsti sprendimą atsisakyti asmenį pripažinti nukentėjusiuoju</w:t>
            </w:r>
          </w:p>
          <w:p w:rsidR="00785BC9" w:rsidRPr="009A267D" w:rsidRDefault="00785BC9" w:rsidP="00C9755B">
            <w:pPr>
              <w:widowControl w:val="0"/>
              <w:autoSpaceDE w:val="0"/>
              <w:autoSpaceDN w:val="0"/>
              <w:adjustRightInd w:val="0"/>
              <w:spacing w:before="29"/>
              <w:ind w:left="114" w:right="47" w:firstLine="354"/>
              <w:jc w:val="both"/>
              <w:rPr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F04B6F" w:rsidRDefault="00F32CD0" w:rsidP="00466C97">
            <w:pPr>
              <w:ind w:left="8" w:firstLine="425"/>
              <w:jc w:val="both"/>
            </w:pPr>
            <w:r>
              <w:rPr>
                <w:b/>
              </w:rPr>
              <w:lastRenderedPageBreak/>
              <w:t>Iš dalies atsižvelgta</w:t>
            </w:r>
          </w:p>
          <w:p w:rsidR="00740C1C" w:rsidRPr="00F32CD0" w:rsidRDefault="00740C1C" w:rsidP="00466C97">
            <w:pPr>
              <w:ind w:left="8" w:firstLine="425"/>
              <w:jc w:val="both"/>
            </w:pPr>
            <w:r>
              <w:t>ANK projektas patikslintas.</w:t>
            </w:r>
            <w:r w:rsidRPr="008811F6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Jame </w:t>
            </w:r>
            <w:r w:rsidRPr="008811F6">
              <w:rPr>
                <w:rFonts w:cs="Times New Roman"/>
                <w:bCs/>
                <w:szCs w:val="24"/>
              </w:rPr>
              <w:t>siūloma</w:t>
            </w:r>
            <w:r>
              <w:rPr>
                <w:rFonts w:cs="Times New Roman"/>
                <w:bCs/>
                <w:szCs w:val="24"/>
              </w:rPr>
              <w:t xml:space="preserve"> įtvirtinti </w:t>
            </w:r>
            <w:r w:rsidRPr="008811F6">
              <w:rPr>
                <w:rFonts w:cs="Times New Roman"/>
                <w:bCs/>
                <w:szCs w:val="24"/>
              </w:rPr>
              <w:t xml:space="preserve">ANK 608 straipsnio 6 dalyje nurodyto nutarimo nutraukti administracinio nusižengimo teiseną </w:t>
            </w:r>
            <w:r w:rsidRPr="005814D5">
              <w:rPr>
                <w:rFonts w:cs="Times New Roman"/>
                <w:bCs/>
                <w:szCs w:val="24"/>
              </w:rPr>
              <w:t>kopijos (nuorašo) išsiuntimą asmeniui, pranešusiam apie administracinio nusižengimo požymių turinčios veikos padarymą ir nurodžiusiam, kad šia veika jam padaryta fizinė, turtinė ar neturtinė žala</w:t>
            </w:r>
            <w:r w:rsidR="00201B50">
              <w:rPr>
                <w:rFonts w:cs="Times New Roman"/>
                <w:bCs/>
                <w:szCs w:val="24"/>
              </w:rPr>
              <w:t>, tik tuo atveju, jei toks nutarimas buvo priimtas ANK</w:t>
            </w:r>
            <w:r w:rsidR="00201B50" w:rsidRPr="008811F6">
              <w:rPr>
                <w:rFonts w:cs="Times New Roman"/>
                <w:bCs/>
                <w:szCs w:val="24"/>
              </w:rPr>
              <w:t xml:space="preserve"> 591 straipsnio 1 punkte numatytu </w:t>
            </w:r>
            <w:r w:rsidR="00201B50" w:rsidRPr="005814D5">
              <w:rPr>
                <w:rFonts w:cs="Times New Roman"/>
                <w:bCs/>
                <w:szCs w:val="24"/>
              </w:rPr>
              <w:t>pagrindu</w:t>
            </w:r>
            <w:r w:rsidR="00201B50">
              <w:rPr>
                <w:rFonts w:cs="Times New Roman"/>
                <w:bCs/>
                <w:szCs w:val="24"/>
              </w:rPr>
              <w:t xml:space="preserve"> (</w:t>
            </w:r>
            <w:r w:rsidR="00201B50" w:rsidRPr="00201B50">
              <w:t>kai padaryta veika neturi administracinio nusižengimo požymių</w:t>
            </w:r>
            <w:r w:rsidR="00201B50">
              <w:rPr>
                <w:rFonts w:cs="Times New Roman"/>
                <w:bCs/>
                <w:szCs w:val="24"/>
              </w:rPr>
              <w:t>)</w:t>
            </w:r>
            <w:r w:rsidRPr="005814D5">
              <w:rPr>
                <w:rFonts w:cs="Times New Roman"/>
                <w:bCs/>
                <w:szCs w:val="24"/>
              </w:rPr>
              <w:t>. Tai</w:t>
            </w:r>
            <w:r>
              <w:rPr>
                <w:rFonts w:cs="Times New Roman"/>
                <w:bCs/>
                <w:szCs w:val="24"/>
              </w:rPr>
              <w:t>p</w:t>
            </w:r>
            <w:r w:rsidRPr="005814D5">
              <w:rPr>
                <w:rFonts w:cs="Times New Roman"/>
                <w:bCs/>
                <w:szCs w:val="24"/>
              </w:rPr>
              <w:t xml:space="preserve"> pat siekiama numatyti galimybę asmeniui, pranešusiam apie administracinio nusižengimo požymių turinčios veikos padarymą ir nurodžiusiam, kad šia veika jam padaryta fizinė, turtinė ar neturtinė žala, ANK 608 straipsnio 6 dalyje nurodytus nutarimus, priimtus šio kodekso </w:t>
            </w:r>
            <w:r w:rsidRPr="005814D5">
              <w:rPr>
                <w:rFonts w:cs="Times New Roman"/>
                <w:bCs/>
                <w:szCs w:val="24"/>
                <w:lang w:val="en-US"/>
              </w:rPr>
              <w:t xml:space="preserve">591 </w:t>
            </w:r>
            <w:r w:rsidRPr="005814D5">
              <w:rPr>
                <w:rFonts w:cs="Times New Roman"/>
                <w:bCs/>
                <w:szCs w:val="24"/>
              </w:rPr>
              <w:t>straipsnio 1 punkte numatytu pagrindu, apskųsti apylinkės teismui, o taip pat apeliacine tvarka apygardos teismui. Be to, tokiam asmeniui siūloma suteikti tas pačias teises ir pareigas, kaip ir nukentėjusiajam.</w:t>
            </w:r>
          </w:p>
          <w:p w:rsidR="003837A6" w:rsidRPr="00F04B6F" w:rsidRDefault="003837A6" w:rsidP="00F32CD0">
            <w:pPr>
              <w:ind w:left="8" w:firstLine="425"/>
              <w:jc w:val="both"/>
            </w:pPr>
          </w:p>
        </w:tc>
      </w:tr>
    </w:tbl>
    <w:p w:rsidR="00740C1C" w:rsidRDefault="00740C1C" w:rsidP="00785BC9"/>
    <w:p w:rsidR="00C8327B" w:rsidRDefault="00740C1C" w:rsidP="00740C1C">
      <w:pPr>
        <w:jc w:val="center"/>
      </w:pPr>
      <w:r>
        <w:t>_____________________________________________________</w:t>
      </w:r>
    </w:p>
    <w:sectPr w:rsidR="00C8327B" w:rsidSect="00E001B4">
      <w:headerReference w:type="default" r:id="rId7"/>
      <w:pgSz w:w="16838" w:h="11906" w:orient="landscape"/>
      <w:pgMar w:top="1560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5D" w:rsidRDefault="00A5715D">
      <w:pPr>
        <w:spacing w:after="0" w:line="240" w:lineRule="auto"/>
      </w:pPr>
      <w:r>
        <w:separator/>
      </w:r>
    </w:p>
  </w:endnote>
  <w:endnote w:type="continuationSeparator" w:id="0">
    <w:p w:rsidR="00A5715D" w:rsidRDefault="00A5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5D" w:rsidRDefault="00A5715D">
      <w:pPr>
        <w:spacing w:after="0" w:line="240" w:lineRule="auto"/>
      </w:pPr>
      <w:r>
        <w:separator/>
      </w:r>
    </w:p>
  </w:footnote>
  <w:footnote w:type="continuationSeparator" w:id="0">
    <w:p w:rsidR="00A5715D" w:rsidRDefault="00A5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97980"/>
      <w:docPartObj>
        <w:docPartGallery w:val="Page Numbers (Top of Page)"/>
        <w:docPartUnique/>
      </w:docPartObj>
    </w:sdtPr>
    <w:sdtEndPr/>
    <w:sdtContent>
      <w:p w:rsidR="001A74E1" w:rsidRDefault="00785B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D7">
          <w:rPr>
            <w:noProof/>
          </w:rPr>
          <w:t>2</w:t>
        </w:r>
        <w:r>
          <w:fldChar w:fldCharType="end"/>
        </w:r>
      </w:p>
    </w:sdtContent>
  </w:sdt>
  <w:p w:rsidR="001A74E1" w:rsidRDefault="00A57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C9"/>
    <w:rsid w:val="00015AC0"/>
    <w:rsid w:val="00026AFF"/>
    <w:rsid w:val="00076A33"/>
    <w:rsid w:val="000A57D4"/>
    <w:rsid w:val="000C4149"/>
    <w:rsid w:val="00201B50"/>
    <w:rsid w:val="002061E3"/>
    <w:rsid w:val="002459D2"/>
    <w:rsid w:val="002834E9"/>
    <w:rsid w:val="002E5561"/>
    <w:rsid w:val="00320491"/>
    <w:rsid w:val="00330A58"/>
    <w:rsid w:val="00361415"/>
    <w:rsid w:val="00374521"/>
    <w:rsid w:val="003837A6"/>
    <w:rsid w:val="003C0B45"/>
    <w:rsid w:val="003D2807"/>
    <w:rsid w:val="00423D55"/>
    <w:rsid w:val="004931C8"/>
    <w:rsid w:val="0051244B"/>
    <w:rsid w:val="0056721B"/>
    <w:rsid w:val="005814D5"/>
    <w:rsid w:val="00642179"/>
    <w:rsid w:val="006464D7"/>
    <w:rsid w:val="006766CA"/>
    <w:rsid w:val="006B6DF4"/>
    <w:rsid w:val="007041DB"/>
    <w:rsid w:val="00707328"/>
    <w:rsid w:val="00716133"/>
    <w:rsid w:val="00740C1C"/>
    <w:rsid w:val="00785BC9"/>
    <w:rsid w:val="0079666B"/>
    <w:rsid w:val="008104AA"/>
    <w:rsid w:val="0082671B"/>
    <w:rsid w:val="008811F6"/>
    <w:rsid w:val="008C7F2E"/>
    <w:rsid w:val="00A05CDA"/>
    <w:rsid w:val="00A20646"/>
    <w:rsid w:val="00A541FB"/>
    <w:rsid w:val="00A5715D"/>
    <w:rsid w:val="00A71C9B"/>
    <w:rsid w:val="00A824A9"/>
    <w:rsid w:val="00AC7734"/>
    <w:rsid w:val="00AD04D7"/>
    <w:rsid w:val="00AF24E5"/>
    <w:rsid w:val="00B32047"/>
    <w:rsid w:val="00B7548F"/>
    <w:rsid w:val="00B7559E"/>
    <w:rsid w:val="00BC111B"/>
    <w:rsid w:val="00C01478"/>
    <w:rsid w:val="00C65F6E"/>
    <w:rsid w:val="00C8327B"/>
    <w:rsid w:val="00C9755B"/>
    <w:rsid w:val="00DA0C36"/>
    <w:rsid w:val="00DC0BD7"/>
    <w:rsid w:val="00DF47F2"/>
    <w:rsid w:val="00F04B6F"/>
    <w:rsid w:val="00F3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C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85BC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5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C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85B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85BC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5BC9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85BC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Textbody">
    <w:name w:val="Text body"/>
    <w:basedOn w:val="Standard"/>
    <w:rsid w:val="00785BC9"/>
    <w:pPr>
      <w:spacing w:after="140" w:line="288" w:lineRule="auto"/>
    </w:pPr>
  </w:style>
  <w:style w:type="character" w:customStyle="1" w:styleId="Teletype">
    <w:name w:val="Teletype"/>
    <w:rsid w:val="00785BC9"/>
    <w:rPr>
      <w:rFonts w:ascii="Liberation Mono" w:eastAsia="NSimSun" w:hAnsi="Liberation Mono" w:cs="Liberation Mono"/>
    </w:rPr>
  </w:style>
  <w:style w:type="paragraph" w:customStyle="1" w:styleId="Tekstas">
    <w:name w:val="Tekstas"/>
    <w:basedOn w:val="Normal"/>
    <w:rsid w:val="00785BC9"/>
    <w:pPr>
      <w:spacing w:before="40" w:after="40" w:line="240" w:lineRule="auto"/>
      <w:ind w:right="40" w:firstLine="1247"/>
      <w:jc w:val="both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975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4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C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85BC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5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C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85B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85BC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5BC9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85BC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Textbody">
    <w:name w:val="Text body"/>
    <w:basedOn w:val="Standard"/>
    <w:rsid w:val="00785BC9"/>
    <w:pPr>
      <w:spacing w:after="140" w:line="288" w:lineRule="auto"/>
    </w:pPr>
  </w:style>
  <w:style w:type="character" w:customStyle="1" w:styleId="Teletype">
    <w:name w:val="Teletype"/>
    <w:rsid w:val="00785BC9"/>
    <w:rPr>
      <w:rFonts w:ascii="Liberation Mono" w:eastAsia="NSimSun" w:hAnsi="Liberation Mono" w:cs="Liberation Mono"/>
    </w:rPr>
  </w:style>
  <w:style w:type="paragraph" w:customStyle="1" w:styleId="Tekstas">
    <w:name w:val="Tekstas"/>
    <w:basedOn w:val="Normal"/>
    <w:rsid w:val="00785BC9"/>
    <w:pPr>
      <w:spacing w:before="40" w:after="40" w:line="240" w:lineRule="auto"/>
      <w:ind w:right="40" w:firstLine="1247"/>
      <w:jc w:val="both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975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4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2020-10-09T07:46:00Z</dcterms:created>
  <dc:creator>Sonata Gendvilaitė</dc:creator>
  <cp:lastModifiedBy>Sonata</cp:lastModifiedBy>
  <dcterms:modified xsi:type="dcterms:W3CDTF">2020-10-09T07:57:00Z</dcterms:modified>
  <cp:revision>4</cp:revision>
</cp:coreProperties>
</file>