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892E" w14:textId="7A84BC31" w:rsidR="00A00C4F" w:rsidRPr="00581015" w:rsidRDefault="00A00C4F" w:rsidP="00D007A4">
      <w:pPr>
        <w:jc w:val="center"/>
        <w:rPr>
          <w:rFonts w:ascii="Times New Roman" w:hAnsi="Times New Roman" w:cs="Times New Roman"/>
          <w:b/>
          <w:bCs/>
          <w:sz w:val="24"/>
          <w:szCs w:val="24"/>
        </w:rPr>
      </w:pPr>
      <w:r w:rsidRPr="00581015">
        <w:rPr>
          <w:rFonts w:ascii="Times New Roman" w:hAnsi="Times New Roman" w:cs="Times New Roman"/>
          <w:b/>
          <w:bCs/>
          <w:sz w:val="24"/>
          <w:szCs w:val="24"/>
        </w:rPr>
        <w:t>PASIRENGIMO CENTRALIZUOTI VALSTYBĖS ĮSTAIGŲ PERSONALO ADMINISTRAVIMO FUNKCIJAS NACIONALINIAME BENDRŲJŲ FUNKCIJŲ CENTRE PRIEMONIŲ PLANO ĮVYKDYMO ATASKAITA</w:t>
      </w:r>
    </w:p>
    <w:p w14:paraId="65622A6D" w14:textId="02028825" w:rsidR="00A00C4F" w:rsidRPr="00581015" w:rsidRDefault="00A00C4F" w:rsidP="00D007A4">
      <w:pPr>
        <w:rPr>
          <w:rFonts w:ascii="Times New Roman" w:hAnsi="Times New Roman" w:cs="Times New Roman"/>
          <w:sz w:val="24"/>
          <w:szCs w:val="24"/>
        </w:rPr>
      </w:pPr>
    </w:p>
    <w:tbl>
      <w:tblPr>
        <w:tblStyle w:val="TableGrid"/>
        <w:tblW w:w="5001" w:type="pct"/>
        <w:tblLook w:val="0620" w:firstRow="1" w:lastRow="0" w:firstColumn="0" w:lastColumn="0" w:noHBand="1" w:noVBand="1"/>
      </w:tblPr>
      <w:tblGrid>
        <w:gridCol w:w="571"/>
        <w:gridCol w:w="4301"/>
        <w:gridCol w:w="2274"/>
        <w:gridCol w:w="2355"/>
        <w:gridCol w:w="2032"/>
        <w:gridCol w:w="2032"/>
      </w:tblGrid>
      <w:tr w:rsidR="0030596F" w:rsidRPr="00581015" w14:paraId="01447F47" w14:textId="77777777" w:rsidTr="0030596F">
        <w:trPr>
          <w:tblHeader/>
        </w:trPr>
        <w:tc>
          <w:tcPr>
            <w:tcW w:w="210" w:type="pct"/>
          </w:tcPr>
          <w:p w14:paraId="76EBFE57" w14:textId="0E75B65F"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b/>
                <w:bCs/>
                <w:sz w:val="24"/>
                <w:szCs w:val="24"/>
              </w:rPr>
              <w:t>Eil. Nr.</w:t>
            </w:r>
          </w:p>
        </w:tc>
        <w:tc>
          <w:tcPr>
            <w:tcW w:w="1585" w:type="pct"/>
          </w:tcPr>
          <w:p w14:paraId="56893642" w14:textId="54E20EBC"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b/>
                <w:bCs/>
                <w:sz w:val="24"/>
                <w:szCs w:val="24"/>
              </w:rPr>
              <w:t>Priemonė</w:t>
            </w:r>
          </w:p>
        </w:tc>
        <w:tc>
          <w:tcPr>
            <w:tcW w:w="838" w:type="pct"/>
          </w:tcPr>
          <w:p w14:paraId="7F5C3349" w14:textId="77777777" w:rsidR="0030596F" w:rsidRPr="00581015" w:rsidRDefault="0030596F" w:rsidP="0030596F">
            <w:pPr>
              <w:jc w:val="center"/>
              <w:rPr>
                <w:rFonts w:ascii="Times New Roman" w:hAnsi="Times New Roman" w:cs="Times New Roman"/>
                <w:b/>
                <w:bCs/>
                <w:sz w:val="24"/>
                <w:szCs w:val="24"/>
              </w:rPr>
            </w:pPr>
            <w:r w:rsidRPr="00581015">
              <w:rPr>
                <w:rFonts w:ascii="Times New Roman" w:hAnsi="Times New Roman" w:cs="Times New Roman"/>
                <w:b/>
                <w:bCs/>
                <w:sz w:val="24"/>
                <w:szCs w:val="24"/>
              </w:rPr>
              <w:t>Terminas</w:t>
            </w:r>
          </w:p>
          <w:p w14:paraId="68F3561E" w14:textId="0F28746E"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b/>
                <w:bCs/>
                <w:sz w:val="24"/>
                <w:szCs w:val="24"/>
              </w:rPr>
              <w:t>(</w:t>
            </w:r>
            <w:r w:rsidRPr="00581015">
              <w:rPr>
                <w:rFonts w:ascii="Times New Roman" w:hAnsi="Times New Roman" w:cs="Times New Roman"/>
                <w:b/>
                <w:bCs/>
                <w:i/>
                <w:sz w:val="24"/>
                <w:szCs w:val="24"/>
              </w:rPr>
              <w:t>įskaitytinai</w:t>
            </w:r>
            <w:r w:rsidRPr="00581015">
              <w:rPr>
                <w:rFonts w:ascii="Times New Roman" w:hAnsi="Times New Roman" w:cs="Times New Roman"/>
                <w:b/>
                <w:bCs/>
                <w:sz w:val="24"/>
                <w:szCs w:val="24"/>
              </w:rPr>
              <w:t>)</w:t>
            </w:r>
          </w:p>
        </w:tc>
        <w:tc>
          <w:tcPr>
            <w:tcW w:w="868" w:type="pct"/>
          </w:tcPr>
          <w:p w14:paraId="5A3BBC6D" w14:textId="1E074BA6"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b/>
                <w:bCs/>
                <w:sz w:val="24"/>
                <w:szCs w:val="24"/>
              </w:rPr>
              <w:t>Atsakinga įstaiga</w:t>
            </w:r>
          </w:p>
        </w:tc>
        <w:tc>
          <w:tcPr>
            <w:tcW w:w="749" w:type="pct"/>
          </w:tcPr>
          <w:p w14:paraId="284E70B8" w14:textId="030B9A65" w:rsidR="0030596F" w:rsidRPr="00581015" w:rsidRDefault="0030596F" w:rsidP="0030596F">
            <w:pPr>
              <w:jc w:val="center"/>
              <w:rPr>
                <w:rFonts w:ascii="Times New Roman" w:hAnsi="Times New Roman" w:cs="Times New Roman"/>
                <w:b/>
                <w:bCs/>
                <w:sz w:val="24"/>
                <w:szCs w:val="24"/>
              </w:rPr>
            </w:pPr>
            <w:r>
              <w:rPr>
                <w:rFonts w:ascii="Times New Roman" w:hAnsi="Times New Roman" w:cs="Times New Roman"/>
                <w:b/>
                <w:bCs/>
                <w:sz w:val="24"/>
                <w:szCs w:val="24"/>
              </w:rPr>
              <w:t>Konsoliduojamų įstaigų nuo 2020 m.  liepos 1 d. p</w:t>
            </w:r>
            <w:r w:rsidRPr="001C393C">
              <w:rPr>
                <w:rFonts w:ascii="Times New Roman" w:hAnsi="Times New Roman" w:cs="Times New Roman"/>
                <w:b/>
                <w:bCs/>
                <w:sz w:val="24"/>
                <w:szCs w:val="24"/>
              </w:rPr>
              <w:t>riemonės įvykdymo lygis, proc.</w:t>
            </w:r>
          </w:p>
        </w:tc>
        <w:tc>
          <w:tcPr>
            <w:tcW w:w="749" w:type="pct"/>
          </w:tcPr>
          <w:p w14:paraId="23809CC4" w14:textId="0CCB8808" w:rsidR="0030596F" w:rsidRDefault="0030596F" w:rsidP="0030596F">
            <w:pPr>
              <w:jc w:val="center"/>
              <w:rPr>
                <w:rFonts w:ascii="Times New Roman" w:hAnsi="Times New Roman" w:cs="Times New Roman"/>
                <w:b/>
                <w:bCs/>
                <w:sz w:val="24"/>
                <w:szCs w:val="24"/>
              </w:rPr>
            </w:pPr>
            <w:r>
              <w:rPr>
                <w:rFonts w:ascii="Times New Roman" w:hAnsi="Times New Roman" w:cs="Times New Roman"/>
                <w:b/>
                <w:bCs/>
                <w:sz w:val="24"/>
                <w:szCs w:val="24"/>
              </w:rPr>
              <w:t>Konsoliduojamų įstaigų nuo 2020 m.  spalio 1 d. p</w:t>
            </w:r>
            <w:r w:rsidRPr="00581015">
              <w:rPr>
                <w:rFonts w:ascii="Times New Roman" w:hAnsi="Times New Roman" w:cs="Times New Roman"/>
                <w:b/>
                <w:bCs/>
                <w:sz w:val="24"/>
                <w:szCs w:val="24"/>
              </w:rPr>
              <w:t>riemonės įvykdymo lygis, proc.</w:t>
            </w:r>
          </w:p>
        </w:tc>
      </w:tr>
      <w:tr w:rsidR="0030596F" w:rsidRPr="00581015" w14:paraId="168C7C9F" w14:textId="77777777" w:rsidTr="0030596F">
        <w:tc>
          <w:tcPr>
            <w:tcW w:w="210" w:type="pct"/>
          </w:tcPr>
          <w:p w14:paraId="3BD36B49" w14:textId="5EC05D7F"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1.</w:t>
            </w:r>
          </w:p>
        </w:tc>
        <w:tc>
          <w:tcPr>
            <w:tcW w:w="1585" w:type="pct"/>
          </w:tcPr>
          <w:p w14:paraId="38C7949B" w14:textId="7D46B158" w:rsidR="0030596F" w:rsidRPr="00581015" w:rsidRDefault="0030596F" w:rsidP="0030596F">
            <w:pPr>
              <w:rPr>
                <w:rFonts w:ascii="Times New Roman" w:hAnsi="Times New Roman" w:cs="Times New Roman"/>
                <w:sz w:val="24"/>
                <w:szCs w:val="24"/>
              </w:rPr>
            </w:pPr>
            <w:r w:rsidRPr="00581015">
              <w:rPr>
                <w:rStyle w:val="Bodytext212ptNotBold"/>
                <w:rFonts w:eastAsiaTheme="minorHAnsi"/>
                <w:b w:val="0"/>
                <w:bCs w:val="0"/>
                <w:color w:val="auto"/>
              </w:rPr>
              <w:t xml:space="preserve">Parengti ir pateikti Nacionaliniam bendrųjų funkcijų centrui (toliau </w:t>
            </w:r>
            <w:r w:rsidRPr="00581015">
              <w:rPr>
                <w:rFonts w:ascii="Times New Roman" w:hAnsi="Times New Roman" w:cs="Times New Roman"/>
                <w:sz w:val="24"/>
                <w:szCs w:val="24"/>
              </w:rPr>
              <w:t>–</w:t>
            </w:r>
            <w:r w:rsidRPr="00581015">
              <w:rPr>
                <w:rStyle w:val="Bodytext212ptNotBold"/>
                <w:rFonts w:eastAsiaTheme="minorHAnsi"/>
                <w:b w:val="0"/>
                <w:bCs w:val="0"/>
                <w:color w:val="auto"/>
              </w:rPr>
              <w:t xml:space="preserve"> Centras) informaciją apie įstaigoje naudojamą (-</w:t>
            </w:r>
            <w:proofErr w:type="spellStart"/>
            <w:r w:rsidRPr="00581015">
              <w:rPr>
                <w:rStyle w:val="Bodytext212ptNotBold"/>
                <w:rFonts w:eastAsiaTheme="minorHAnsi"/>
                <w:b w:val="0"/>
                <w:bCs w:val="0"/>
                <w:color w:val="auto"/>
              </w:rPr>
              <w:t>as</w:t>
            </w:r>
            <w:proofErr w:type="spellEnd"/>
            <w:r w:rsidRPr="00581015">
              <w:rPr>
                <w:rStyle w:val="Bodytext212ptNotBold"/>
                <w:rFonts w:eastAsiaTheme="minorHAnsi"/>
                <w:b w:val="0"/>
                <w:bCs w:val="0"/>
                <w:color w:val="auto"/>
              </w:rPr>
              <w:t>) personalo administravimo informacinę (-</w:t>
            </w:r>
            <w:proofErr w:type="spellStart"/>
            <w:r w:rsidRPr="00581015">
              <w:rPr>
                <w:rStyle w:val="Bodytext212ptNotBold"/>
                <w:rFonts w:eastAsiaTheme="minorHAnsi"/>
                <w:b w:val="0"/>
                <w:bCs w:val="0"/>
                <w:color w:val="auto"/>
              </w:rPr>
              <w:t>es</w:t>
            </w:r>
            <w:proofErr w:type="spellEnd"/>
            <w:r w:rsidRPr="00581015">
              <w:rPr>
                <w:rStyle w:val="Bodytext212ptNotBold"/>
                <w:rFonts w:eastAsiaTheme="minorHAnsi"/>
                <w:b w:val="0"/>
                <w:bCs w:val="0"/>
                <w:color w:val="auto"/>
              </w:rPr>
              <w:t>) sistemą (-</w:t>
            </w:r>
            <w:proofErr w:type="spellStart"/>
            <w:r w:rsidRPr="00581015">
              <w:rPr>
                <w:rStyle w:val="Bodytext212ptNotBold"/>
                <w:rFonts w:eastAsiaTheme="minorHAnsi"/>
                <w:b w:val="0"/>
                <w:bCs w:val="0"/>
                <w:color w:val="auto"/>
              </w:rPr>
              <w:t>as</w:t>
            </w:r>
            <w:proofErr w:type="spellEnd"/>
            <w:r w:rsidRPr="00581015">
              <w:rPr>
                <w:rStyle w:val="Bodytext212ptNotBold"/>
                <w:rFonts w:eastAsiaTheme="minorHAnsi"/>
                <w:b w:val="0"/>
                <w:bCs w:val="0"/>
                <w:color w:val="auto"/>
              </w:rPr>
              <w:t>)</w:t>
            </w:r>
          </w:p>
        </w:tc>
        <w:tc>
          <w:tcPr>
            <w:tcW w:w="838" w:type="pct"/>
            <w:vAlign w:val="center"/>
          </w:tcPr>
          <w:p w14:paraId="5B9CCF61" w14:textId="711047BC"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 xml:space="preserve">10 savaičių iki personalo administravimo funkcijų konsolidavimo Centre (toliau </w:t>
            </w:r>
            <w:r w:rsidRPr="00581015">
              <w:rPr>
                <w:rFonts w:ascii="Times New Roman" w:hAnsi="Times New Roman" w:cs="Times New Roman"/>
                <w:b/>
                <w:bCs/>
                <w:sz w:val="24"/>
                <w:szCs w:val="24"/>
              </w:rPr>
              <w:t>–</w:t>
            </w:r>
            <w:r w:rsidRPr="00581015">
              <w:rPr>
                <w:rStyle w:val="Bodytext212ptNotBold"/>
                <w:rFonts w:eastAsiaTheme="minorHAnsi"/>
                <w:b w:val="0"/>
                <w:bCs w:val="0"/>
                <w:color w:val="auto"/>
              </w:rPr>
              <w:t xml:space="preserve"> konsolidavimas) pradžios</w:t>
            </w:r>
          </w:p>
        </w:tc>
        <w:tc>
          <w:tcPr>
            <w:tcW w:w="868" w:type="pct"/>
            <w:shd w:val="clear" w:color="auto" w:fill="auto"/>
            <w:vAlign w:val="bottom"/>
          </w:tcPr>
          <w:p w14:paraId="29CCAA9C" w14:textId="55ECFC8F"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 xml:space="preserve">Įstaigos, nurodytos Atitinkamo ministro valdymo sritims priskirtų įstaigų prie ministerijos, kitų biudžetinių įstaigų, kurių savininko teises ar pareigas įgyvendina Lietuvos Respublikos Vyriausybė arba jos įgaliota institucija, kurių personalo administravimo funkcijos atliekamos centralizuotai, sąraše, patvirtintame Lietuvos Respublikos Vyriausybės 2018 m. vasario 7 d. nutarimu Nr. 126 (toliau </w:t>
            </w:r>
            <w:r w:rsidRPr="00581015">
              <w:rPr>
                <w:rFonts w:ascii="Times New Roman" w:hAnsi="Times New Roman" w:cs="Times New Roman"/>
                <w:sz w:val="24"/>
                <w:szCs w:val="24"/>
              </w:rPr>
              <w:t>–</w:t>
            </w:r>
            <w:r w:rsidRPr="00581015">
              <w:rPr>
                <w:rStyle w:val="Bodytext212ptNotBold"/>
                <w:rFonts w:eastAsiaTheme="minorHAnsi"/>
                <w:b w:val="0"/>
                <w:bCs w:val="0"/>
                <w:color w:val="auto"/>
              </w:rPr>
              <w:t xml:space="preserve"> Įstaigos)</w:t>
            </w:r>
          </w:p>
        </w:tc>
        <w:tc>
          <w:tcPr>
            <w:tcW w:w="749" w:type="pct"/>
          </w:tcPr>
          <w:p w14:paraId="156C6B09" w14:textId="5DFD3F16" w:rsidR="0030596F" w:rsidRPr="00581015" w:rsidRDefault="0030596F" w:rsidP="0030596F">
            <w:pPr>
              <w:rPr>
                <w:rFonts w:ascii="Times New Roman" w:hAnsi="Times New Roman" w:cs="Times New Roman"/>
                <w:sz w:val="24"/>
                <w:szCs w:val="24"/>
              </w:rPr>
            </w:pPr>
            <w:r w:rsidRPr="001C393C">
              <w:rPr>
                <w:rFonts w:ascii="Times New Roman" w:hAnsi="Times New Roman" w:cs="Times New Roman"/>
                <w:sz w:val="24"/>
                <w:szCs w:val="24"/>
              </w:rPr>
              <w:t>100</w:t>
            </w:r>
          </w:p>
        </w:tc>
        <w:tc>
          <w:tcPr>
            <w:tcW w:w="749" w:type="pct"/>
          </w:tcPr>
          <w:p w14:paraId="7083DC65" w14:textId="3469FA9D"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100</w:t>
            </w:r>
          </w:p>
        </w:tc>
      </w:tr>
      <w:tr w:rsidR="0030596F" w:rsidRPr="00581015" w14:paraId="448E0F4B" w14:textId="77777777" w:rsidTr="0030596F">
        <w:tc>
          <w:tcPr>
            <w:tcW w:w="210" w:type="pct"/>
          </w:tcPr>
          <w:p w14:paraId="41A67F86" w14:textId="016E1CFE"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2.</w:t>
            </w:r>
          </w:p>
        </w:tc>
        <w:tc>
          <w:tcPr>
            <w:tcW w:w="1585" w:type="pct"/>
          </w:tcPr>
          <w:p w14:paraId="2B7715FA" w14:textId="5AE95AD7"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 xml:space="preserve">Parengti, patvirtinti ir pateikti Centrui Įstaigos valstybės tarnautojų ir darbuotojų, dirbančių pagal darbo sutartis </w:t>
            </w:r>
            <w:r w:rsidRPr="00581015">
              <w:rPr>
                <w:rStyle w:val="Bodytext212ptNotBold"/>
                <w:rFonts w:eastAsiaTheme="minorHAnsi"/>
                <w:b w:val="0"/>
                <w:bCs w:val="0"/>
                <w:color w:val="auto"/>
              </w:rPr>
              <w:lastRenderedPageBreak/>
              <w:t xml:space="preserve">(toliau </w:t>
            </w:r>
            <w:r w:rsidRPr="00581015">
              <w:rPr>
                <w:rFonts w:ascii="Times New Roman" w:hAnsi="Times New Roman" w:cs="Times New Roman"/>
                <w:sz w:val="24"/>
                <w:szCs w:val="24"/>
              </w:rPr>
              <w:t>–</w:t>
            </w:r>
            <w:r w:rsidRPr="00581015">
              <w:rPr>
                <w:rStyle w:val="Bodytext212ptNotBold"/>
                <w:rFonts w:eastAsiaTheme="minorHAnsi"/>
                <w:b w:val="0"/>
                <w:bCs w:val="0"/>
                <w:color w:val="auto"/>
              </w:rPr>
              <w:t xml:space="preserve"> darbuotojai), kasmetinių atostogų nuo konsolidavimo pradžios grafiką</w:t>
            </w:r>
          </w:p>
        </w:tc>
        <w:tc>
          <w:tcPr>
            <w:tcW w:w="838" w:type="pct"/>
          </w:tcPr>
          <w:p w14:paraId="1292E12E" w14:textId="46CEE7C7"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lastRenderedPageBreak/>
              <w:t>Iki konsolidavimo pradžios</w:t>
            </w:r>
          </w:p>
        </w:tc>
        <w:tc>
          <w:tcPr>
            <w:tcW w:w="868" w:type="pct"/>
          </w:tcPr>
          <w:p w14:paraId="27D54E85" w14:textId="0A9EA153"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t>Įstaigos</w:t>
            </w:r>
          </w:p>
        </w:tc>
        <w:tc>
          <w:tcPr>
            <w:tcW w:w="749" w:type="pct"/>
          </w:tcPr>
          <w:p w14:paraId="399A93FF" w14:textId="576A277A" w:rsidR="0030596F" w:rsidRPr="00F23D2E" w:rsidRDefault="0030596F" w:rsidP="0030596F">
            <w:pPr>
              <w:rPr>
                <w:rFonts w:ascii="Times New Roman" w:hAnsi="Times New Roman" w:cs="Times New Roman"/>
                <w:sz w:val="24"/>
                <w:szCs w:val="24"/>
              </w:rPr>
            </w:pPr>
            <w:r w:rsidRPr="001C393C">
              <w:rPr>
                <w:rFonts w:ascii="Times New Roman" w:hAnsi="Times New Roman" w:cs="Times New Roman"/>
                <w:sz w:val="24"/>
                <w:szCs w:val="24"/>
              </w:rPr>
              <w:t>100</w:t>
            </w:r>
          </w:p>
        </w:tc>
        <w:tc>
          <w:tcPr>
            <w:tcW w:w="749" w:type="pct"/>
          </w:tcPr>
          <w:p w14:paraId="60C026E2"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46A0A1BD"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 xml:space="preserve">2 Įstaigos (Lietuvos </w:t>
            </w:r>
            <w:r>
              <w:rPr>
                <w:rFonts w:ascii="Times New Roman" w:hAnsi="Times New Roman" w:cs="Times New Roman"/>
                <w:sz w:val="24"/>
                <w:szCs w:val="24"/>
              </w:rPr>
              <w:lastRenderedPageBreak/>
              <w:t>nacionalinis dailės muziejus ir Kultūros paveldo centras) iš 42 informacijos nėra pateikusios, Kultūros paveldo centras raštu informavo, kad stengsis informaciją pateikti kuo greičiau)</w:t>
            </w:r>
          </w:p>
          <w:p w14:paraId="7627FBC8" w14:textId="77777777" w:rsidR="0030596F" w:rsidRPr="00F23D2E" w:rsidRDefault="0030596F" w:rsidP="0030596F">
            <w:pPr>
              <w:rPr>
                <w:rFonts w:ascii="Times New Roman" w:hAnsi="Times New Roman" w:cs="Times New Roman"/>
                <w:sz w:val="24"/>
                <w:szCs w:val="24"/>
              </w:rPr>
            </w:pPr>
          </w:p>
        </w:tc>
      </w:tr>
      <w:tr w:rsidR="0030596F" w:rsidRPr="00581015" w14:paraId="02B7FB9D" w14:textId="77777777" w:rsidTr="0030596F">
        <w:tc>
          <w:tcPr>
            <w:tcW w:w="210" w:type="pct"/>
          </w:tcPr>
          <w:p w14:paraId="2695A18D" w14:textId="371B5666"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3.</w:t>
            </w:r>
          </w:p>
        </w:tc>
        <w:tc>
          <w:tcPr>
            <w:tcW w:w="1585" w:type="pct"/>
          </w:tcPr>
          <w:p w14:paraId="55636421" w14:textId="344A2E2C"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Parengti darbuotojų, kuriems leista dirbti pagal atskirą darbo grafiką, sąrašą, nurodant kiekvieno į sąrašą įtraukto darbuotojo darbo laiko režimą, ir pateikti šį sąrašą Centrui</w:t>
            </w:r>
          </w:p>
        </w:tc>
        <w:tc>
          <w:tcPr>
            <w:tcW w:w="838" w:type="pct"/>
          </w:tcPr>
          <w:p w14:paraId="610531E2" w14:textId="398EB236"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t>Iki konsolidavimo pradžios</w:t>
            </w:r>
          </w:p>
        </w:tc>
        <w:tc>
          <w:tcPr>
            <w:tcW w:w="868" w:type="pct"/>
          </w:tcPr>
          <w:p w14:paraId="1F579A86" w14:textId="65911004"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t>Įstaigos</w:t>
            </w:r>
          </w:p>
        </w:tc>
        <w:tc>
          <w:tcPr>
            <w:tcW w:w="749" w:type="pct"/>
          </w:tcPr>
          <w:p w14:paraId="1518EA34" w14:textId="1E795029" w:rsidR="0030596F" w:rsidRPr="00F23D2E" w:rsidRDefault="0030596F" w:rsidP="0030596F">
            <w:pPr>
              <w:rPr>
                <w:rFonts w:ascii="Times New Roman" w:hAnsi="Times New Roman" w:cs="Times New Roman"/>
                <w:sz w:val="24"/>
                <w:szCs w:val="24"/>
              </w:rPr>
            </w:pPr>
            <w:r w:rsidRPr="001C393C">
              <w:rPr>
                <w:rFonts w:ascii="Times New Roman" w:hAnsi="Times New Roman" w:cs="Times New Roman"/>
                <w:sz w:val="24"/>
                <w:szCs w:val="24"/>
              </w:rPr>
              <w:t>100</w:t>
            </w:r>
          </w:p>
        </w:tc>
        <w:tc>
          <w:tcPr>
            <w:tcW w:w="749" w:type="pct"/>
          </w:tcPr>
          <w:p w14:paraId="1B69B03F"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409B1988"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 xml:space="preserve">2 Įstaigos (Lietuvos nacionalinis dailės muziejus ir Kultūros paveldo centras) iš 42 informacijos nėra pateikusios, Kultūros paveldo centras raštu informavo, kad stengsis informaciją </w:t>
            </w:r>
            <w:r>
              <w:rPr>
                <w:rFonts w:ascii="Times New Roman" w:hAnsi="Times New Roman" w:cs="Times New Roman"/>
                <w:sz w:val="24"/>
                <w:szCs w:val="24"/>
              </w:rPr>
              <w:lastRenderedPageBreak/>
              <w:t>pateikti kuo greičiau)</w:t>
            </w:r>
          </w:p>
          <w:p w14:paraId="669DF380" w14:textId="77777777" w:rsidR="0030596F" w:rsidRPr="00F23D2E" w:rsidRDefault="0030596F" w:rsidP="0030596F">
            <w:pPr>
              <w:rPr>
                <w:rFonts w:ascii="Times New Roman" w:hAnsi="Times New Roman" w:cs="Times New Roman"/>
                <w:sz w:val="24"/>
                <w:szCs w:val="24"/>
              </w:rPr>
            </w:pPr>
          </w:p>
        </w:tc>
      </w:tr>
      <w:tr w:rsidR="0030596F" w:rsidRPr="00581015" w14:paraId="0876AEED" w14:textId="77777777" w:rsidTr="0030596F">
        <w:tc>
          <w:tcPr>
            <w:tcW w:w="210" w:type="pct"/>
          </w:tcPr>
          <w:p w14:paraId="673C56C7" w14:textId="50A72D36"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4.</w:t>
            </w:r>
          </w:p>
        </w:tc>
        <w:tc>
          <w:tcPr>
            <w:tcW w:w="1585" w:type="pct"/>
          </w:tcPr>
          <w:p w14:paraId="10D9F899" w14:textId="38D8F921"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 xml:space="preserve">Suvesti visus privalomus duomenis, nurodytus Valstybės tarnautojų registro nuostatuose, patvirtintuose Lietuvos </w:t>
            </w:r>
            <w:proofErr w:type="spellStart"/>
            <w:r w:rsidRPr="00581015">
              <w:rPr>
                <w:rFonts w:ascii="Times New Roman" w:hAnsi="Times New Roman" w:cs="Times New Roman"/>
                <w:sz w:val="24"/>
                <w:szCs w:val="24"/>
              </w:rPr>
              <w:t>RespublikosVyriausybės</w:t>
            </w:r>
            <w:proofErr w:type="spellEnd"/>
            <w:r w:rsidRPr="00581015">
              <w:rPr>
                <w:rFonts w:ascii="Times New Roman" w:hAnsi="Times New Roman" w:cs="Times New Roman"/>
                <w:sz w:val="24"/>
                <w:szCs w:val="24"/>
              </w:rPr>
              <w:t xml:space="preserve"> 2002 m. rugpjūčio 10 d. nutarimu Nr. 1255, ir Valstybės tarnybos valdymo informacinės sistemos nuostatuose, patvirtintuose Valstybės tarnybos departamento prie Lietuvos Respublikos vidaus reikalų ministerijos direktoriaus 2007 m. sausio 8 d. įsakymu Nr. 27V-8 (toliau – VATARAS / VATIS), į VATARAS / VATIS, o Įstaigoms, kurios nenaudoja VATARAS / VATIS, – į kitas Įstaigos naudojamas personalo administravimo sistemas arba parengti Įstaigos darbuotojų sąrašą, kuriame būtų VATARAS / VATIS nurodyti duomenys, ir pateikti jį Centrui</w:t>
            </w:r>
          </w:p>
        </w:tc>
        <w:tc>
          <w:tcPr>
            <w:tcW w:w="838" w:type="pct"/>
          </w:tcPr>
          <w:p w14:paraId="1522CA12" w14:textId="1B2A155C"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t>4 savaitės Iki konsolidavimo pradžios</w:t>
            </w:r>
          </w:p>
        </w:tc>
        <w:tc>
          <w:tcPr>
            <w:tcW w:w="868" w:type="pct"/>
          </w:tcPr>
          <w:p w14:paraId="72AEC8C3" w14:textId="06678891"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t>Įstaigos</w:t>
            </w:r>
          </w:p>
        </w:tc>
        <w:tc>
          <w:tcPr>
            <w:tcW w:w="749" w:type="pct"/>
          </w:tcPr>
          <w:p w14:paraId="0B133F79" w14:textId="2F04EA65" w:rsidR="0030596F" w:rsidRPr="00F23D2E" w:rsidRDefault="0030596F" w:rsidP="0030596F">
            <w:pPr>
              <w:rPr>
                <w:rFonts w:ascii="Times New Roman" w:hAnsi="Times New Roman" w:cs="Times New Roman"/>
                <w:sz w:val="24"/>
                <w:szCs w:val="24"/>
              </w:rPr>
            </w:pPr>
            <w:r w:rsidRPr="001C393C">
              <w:rPr>
                <w:rFonts w:ascii="Times New Roman" w:hAnsi="Times New Roman" w:cs="Times New Roman"/>
                <w:sz w:val="24"/>
                <w:szCs w:val="24"/>
              </w:rPr>
              <w:t>100</w:t>
            </w:r>
          </w:p>
        </w:tc>
        <w:tc>
          <w:tcPr>
            <w:tcW w:w="749" w:type="pct"/>
          </w:tcPr>
          <w:p w14:paraId="192F5C89"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8</w:t>
            </w:r>
          </w:p>
          <w:p w14:paraId="48FDBD59"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1 Įstaiga (Lietuvos nacionalinis dailės muziejus) iš 42 informacijos nėra pateikusi)</w:t>
            </w:r>
          </w:p>
          <w:p w14:paraId="3628E24F" w14:textId="77777777" w:rsidR="0030596F" w:rsidRPr="00F23D2E" w:rsidRDefault="0030596F" w:rsidP="0030596F">
            <w:pPr>
              <w:rPr>
                <w:rFonts w:ascii="Times New Roman" w:hAnsi="Times New Roman" w:cs="Times New Roman"/>
                <w:sz w:val="24"/>
                <w:szCs w:val="24"/>
              </w:rPr>
            </w:pPr>
          </w:p>
        </w:tc>
      </w:tr>
      <w:tr w:rsidR="0030596F" w:rsidRPr="00581015" w14:paraId="7FBEE8EA" w14:textId="77777777" w:rsidTr="0030596F">
        <w:tc>
          <w:tcPr>
            <w:tcW w:w="210" w:type="pct"/>
          </w:tcPr>
          <w:p w14:paraId="4C2165B5" w14:textId="35FB477C"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5.</w:t>
            </w:r>
          </w:p>
        </w:tc>
        <w:tc>
          <w:tcPr>
            <w:tcW w:w="1585" w:type="pct"/>
          </w:tcPr>
          <w:p w14:paraId="38479FA7" w14:textId="12C0E63A"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 xml:space="preserve">Parengti darbuotojų, turinčių nepanaudotų kasmetinių atostogų iki konsolidavimo pradžios, sąrašą, nurodant jame nepanaudotų kasmetinių atostogų trukmę kalendorinėmis ir darbo dienomis, jei darbuotojas yra valstybės tarnautojas, darbo dienomis, – jei darbuotojas dirba Įstaigoje pagal darbo sutartį (abiem </w:t>
            </w:r>
            <w:r w:rsidRPr="00581015">
              <w:rPr>
                <w:rFonts w:ascii="Times New Roman" w:hAnsi="Times New Roman" w:cs="Times New Roman"/>
                <w:sz w:val="24"/>
                <w:szCs w:val="24"/>
              </w:rPr>
              <w:lastRenderedPageBreak/>
              <w:t>atvejais įtraukti darbuotojus, esančius vaiko priežiūros atostogose ir turinčius nepanaudotų kasmetinių atostogų), ir pateikti šį sąrašą Centrui</w:t>
            </w:r>
          </w:p>
        </w:tc>
        <w:tc>
          <w:tcPr>
            <w:tcW w:w="838" w:type="pct"/>
          </w:tcPr>
          <w:p w14:paraId="2EC4ADC6" w14:textId="02D16678"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lastRenderedPageBreak/>
              <w:t>Iki konsolidavimo pradžios</w:t>
            </w:r>
          </w:p>
        </w:tc>
        <w:tc>
          <w:tcPr>
            <w:tcW w:w="868" w:type="pct"/>
          </w:tcPr>
          <w:p w14:paraId="4A4B522E" w14:textId="6D505CEA"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t>Įstaigos</w:t>
            </w:r>
          </w:p>
        </w:tc>
        <w:tc>
          <w:tcPr>
            <w:tcW w:w="749" w:type="pct"/>
          </w:tcPr>
          <w:p w14:paraId="744BAC70" w14:textId="6AA0F2B1" w:rsidR="0030596F" w:rsidRPr="00F23D2E" w:rsidRDefault="0030596F" w:rsidP="0030596F">
            <w:pPr>
              <w:rPr>
                <w:rFonts w:ascii="Times New Roman" w:hAnsi="Times New Roman" w:cs="Times New Roman"/>
                <w:sz w:val="24"/>
                <w:szCs w:val="24"/>
              </w:rPr>
            </w:pPr>
            <w:r w:rsidRPr="001C393C">
              <w:rPr>
                <w:rFonts w:ascii="Times New Roman" w:hAnsi="Times New Roman" w:cs="Times New Roman"/>
                <w:sz w:val="24"/>
                <w:szCs w:val="24"/>
              </w:rPr>
              <w:t>100</w:t>
            </w:r>
          </w:p>
        </w:tc>
        <w:tc>
          <w:tcPr>
            <w:tcW w:w="749" w:type="pct"/>
          </w:tcPr>
          <w:p w14:paraId="4955E768"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7F9B6615"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 xml:space="preserve">2 Įstaigos (Lietuvos nacionalinis dailės muziejus ir Kultūros paveldo centras) iš 42 informacijos nėra </w:t>
            </w:r>
            <w:r>
              <w:rPr>
                <w:rFonts w:ascii="Times New Roman" w:hAnsi="Times New Roman" w:cs="Times New Roman"/>
                <w:sz w:val="24"/>
                <w:szCs w:val="24"/>
              </w:rPr>
              <w:lastRenderedPageBreak/>
              <w:t>pateikusios, Kultūros paveldo centras raštu informavo, kad stengsis informaciją pateikti kuo greičiau)</w:t>
            </w:r>
          </w:p>
          <w:p w14:paraId="6D19453D" w14:textId="77777777" w:rsidR="0030596F" w:rsidRPr="00F23D2E" w:rsidRDefault="0030596F" w:rsidP="0030596F">
            <w:pPr>
              <w:rPr>
                <w:rFonts w:ascii="Times New Roman" w:hAnsi="Times New Roman" w:cs="Times New Roman"/>
                <w:sz w:val="24"/>
                <w:szCs w:val="24"/>
              </w:rPr>
            </w:pPr>
          </w:p>
        </w:tc>
      </w:tr>
      <w:tr w:rsidR="0030596F" w:rsidRPr="00581015" w14:paraId="6C7A9C10" w14:textId="77777777" w:rsidTr="0030596F">
        <w:tc>
          <w:tcPr>
            <w:tcW w:w="210" w:type="pct"/>
          </w:tcPr>
          <w:p w14:paraId="59FA5B62" w14:textId="72DA9DB0"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6.</w:t>
            </w:r>
          </w:p>
        </w:tc>
        <w:tc>
          <w:tcPr>
            <w:tcW w:w="1585" w:type="pct"/>
          </w:tcPr>
          <w:p w14:paraId="74909A89" w14:textId="5D26D4A1"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Parengti darbuotojų, esančių vaiko priežiūros atostogose, sąrašą, nurodant jame darbuotojo vaiko priežiūros atostogų pradžios ir numatomos pabaigos datas, ir pateikti šį sąrašą Centrui</w:t>
            </w:r>
          </w:p>
        </w:tc>
        <w:tc>
          <w:tcPr>
            <w:tcW w:w="838" w:type="pct"/>
          </w:tcPr>
          <w:p w14:paraId="6A857519" w14:textId="384BF083"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t>2 savaitės Iki konsolidavimo pradžios</w:t>
            </w:r>
          </w:p>
        </w:tc>
        <w:tc>
          <w:tcPr>
            <w:tcW w:w="868" w:type="pct"/>
          </w:tcPr>
          <w:p w14:paraId="1CEA3FB0" w14:textId="656497DD" w:rsidR="0030596F" w:rsidRPr="00581015" w:rsidRDefault="0030596F" w:rsidP="0030596F">
            <w:pPr>
              <w:jc w:val="center"/>
              <w:rPr>
                <w:rFonts w:ascii="Times New Roman" w:hAnsi="Times New Roman" w:cs="Times New Roman"/>
                <w:sz w:val="24"/>
                <w:szCs w:val="24"/>
              </w:rPr>
            </w:pPr>
            <w:r w:rsidRPr="00581015">
              <w:rPr>
                <w:rFonts w:ascii="Times New Roman" w:hAnsi="Times New Roman" w:cs="Times New Roman"/>
                <w:sz w:val="24"/>
                <w:szCs w:val="24"/>
              </w:rPr>
              <w:t>Įstaigos</w:t>
            </w:r>
          </w:p>
        </w:tc>
        <w:tc>
          <w:tcPr>
            <w:tcW w:w="749" w:type="pct"/>
          </w:tcPr>
          <w:p w14:paraId="60D4BF0F" w14:textId="3B8B4D83" w:rsidR="0030596F" w:rsidRPr="00F23D2E" w:rsidRDefault="0030596F" w:rsidP="0030596F">
            <w:pPr>
              <w:rPr>
                <w:rFonts w:ascii="Times New Roman" w:hAnsi="Times New Roman" w:cs="Times New Roman"/>
                <w:sz w:val="24"/>
                <w:szCs w:val="24"/>
              </w:rPr>
            </w:pPr>
            <w:r w:rsidRPr="001C393C">
              <w:rPr>
                <w:rFonts w:ascii="Times New Roman" w:hAnsi="Times New Roman" w:cs="Times New Roman"/>
                <w:sz w:val="24"/>
                <w:szCs w:val="24"/>
              </w:rPr>
              <w:t>100</w:t>
            </w:r>
          </w:p>
        </w:tc>
        <w:tc>
          <w:tcPr>
            <w:tcW w:w="749" w:type="pct"/>
          </w:tcPr>
          <w:p w14:paraId="07A823A7"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586C600F"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2 Įstaigos (Lietuvos nacionalinis dailės muziejus ir Kultūros paveldo centras) iš 42 informacijos nėra pateikusios, Kultūros paveldo centras raštu informavo, kad stengsis informaciją pateikti kuo greičiau)</w:t>
            </w:r>
          </w:p>
          <w:p w14:paraId="03F328D1" w14:textId="77777777" w:rsidR="0030596F" w:rsidRPr="00F23D2E" w:rsidRDefault="0030596F" w:rsidP="0030596F">
            <w:pPr>
              <w:rPr>
                <w:rFonts w:ascii="Times New Roman" w:hAnsi="Times New Roman" w:cs="Times New Roman"/>
                <w:sz w:val="24"/>
                <w:szCs w:val="24"/>
              </w:rPr>
            </w:pPr>
          </w:p>
        </w:tc>
      </w:tr>
      <w:tr w:rsidR="0030596F" w:rsidRPr="00581015" w14:paraId="31149BF4" w14:textId="77777777" w:rsidTr="0030596F">
        <w:tc>
          <w:tcPr>
            <w:tcW w:w="210" w:type="pct"/>
          </w:tcPr>
          <w:p w14:paraId="36C20368" w14:textId="1F089C33"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7.</w:t>
            </w:r>
          </w:p>
        </w:tc>
        <w:tc>
          <w:tcPr>
            <w:tcW w:w="1585" w:type="pct"/>
            <w:vAlign w:val="bottom"/>
          </w:tcPr>
          <w:p w14:paraId="4C096E58" w14:textId="5B0B73B8"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 xml:space="preserve">Parengti darbuotojų, turinčių teisę į pailgintas atostogas, papildomas atostogas ir kitas lengvatas, sąrašą, nurodant jame </w:t>
            </w:r>
            <w:r w:rsidRPr="00581015">
              <w:rPr>
                <w:rStyle w:val="Bodytext212ptNotBold"/>
                <w:rFonts w:eastAsiaTheme="minorHAnsi"/>
                <w:b w:val="0"/>
                <w:bCs w:val="0"/>
                <w:color w:val="auto"/>
              </w:rPr>
              <w:lastRenderedPageBreak/>
              <w:t>priklausančių kasmetinių atostogų normą, priklausančių papildomų poilsio dienų skaičių ir terminus vadovaujantis Lietuvos Respublikos darbo kodekso 138 straipsniu ar Lietuvos Respublikos valstybės tarnybos įstatymo 31 straipsnio 2 dalies 4 punktu, 42 straipsniu, ir pateikti šį sąrašą Centrui</w:t>
            </w:r>
          </w:p>
        </w:tc>
        <w:tc>
          <w:tcPr>
            <w:tcW w:w="838" w:type="pct"/>
            <w:vAlign w:val="center"/>
          </w:tcPr>
          <w:p w14:paraId="20DAFD56" w14:textId="358914D5"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lastRenderedPageBreak/>
              <w:t>2 savaitės iki konsolidavimo pradžios</w:t>
            </w:r>
          </w:p>
        </w:tc>
        <w:tc>
          <w:tcPr>
            <w:tcW w:w="868" w:type="pct"/>
            <w:vAlign w:val="center"/>
          </w:tcPr>
          <w:p w14:paraId="0C359E24" w14:textId="48C4B1F6"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Įstaigos</w:t>
            </w:r>
          </w:p>
        </w:tc>
        <w:tc>
          <w:tcPr>
            <w:tcW w:w="749" w:type="pct"/>
          </w:tcPr>
          <w:p w14:paraId="477F073C" w14:textId="6A2972EE" w:rsidR="0030596F" w:rsidRPr="00F23D2E"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50AE0799"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3F6664DB"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 xml:space="preserve">2 Įstaigos (Lietuvos </w:t>
            </w:r>
            <w:r>
              <w:rPr>
                <w:rFonts w:ascii="Times New Roman" w:hAnsi="Times New Roman" w:cs="Times New Roman"/>
                <w:sz w:val="24"/>
                <w:szCs w:val="24"/>
              </w:rPr>
              <w:lastRenderedPageBreak/>
              <w:t>nacionalinis dailės muziejus ir Kultūros paveldo centras) iš 42 informacijos nėra pateikusios, Kultūros paveldo centras raštu informavo, kad stengsis informaciją pateikti kuo greičiau)</w:t>
            </w:r>
          </w:p>
          <w:p w14:paraId="791C7C28" w14:textId="77777777" w:rsidR="0030596F" w:rsidRPr="00F23D2E" w:rsidRDefault="0030596F" w:rsidP="0030596F">
            <w:pPr>
              <w:rPr>
                <w:rFonts w:ascii="Times New Roman" w:hAnsi="Times New Roman" w:cs="Times New Roman"/>
                <w:sz w:val="24"/>
                <w:szCs w:val="24"/>
              </w:rPr>
            </w:pPr>
          </w:p>
        </w:tc>
      </w:tr>
      <w:tr w:rsidR="0030596F" w:rsidRPr="00581015" w14:paraId="58A6E529" w14:textId="77777777" w:rsidTr="0030596F">
        <w:tc>
          <w:tcPr>
            <w:tcW w:w="210" w:type="pct"/>
          </w:tcPr>
          <w:p w14:paraId="7EAFAC84" w14:textId="49F8AFCA"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8.</w:t>
            </w:r>
          </w:p>
        </w:tc>
        <w:tc>
          <w:tcPr>
            <w:tcW w:w="1585" w:type="pct"/>
          </w:tcPr>
          <w:p w14:paraId="347A3984" w14:textId="654BA981"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Parengti darbuotojų, sukaupusių papildomų poilsio dienų ar laiko už dirbtą darbą poilsio ar švenčių dienomis, viršvalandinį darbą ir komandiruotės metu sugaištą kelionės į komandiruotės vietą ir atgal laiką po darbo dienos valandų, poilsio ar švenčių dienomis, sąrašą, nurodant jame sukauptų (-o) papildomų poilsio dienų ar laiko likutį ir teisės akto, pagrindžiančio teisę į papildomą (-</w:t>
            </w:r>
            <w:proofErr w:type="spellStart"/>
            <w:r w:rsidRPr="00581015">
              <w:rPr>
                <w:rStyle w:val="Bodytext212ptNotBold"/>
                <w:rFonts w:eastAsiaTheme="minorHAnsi"/>
                <w:b w:val="0"/>
                <w:bCs w:val="0"/>
                <w:color w:val="auto"/>
              </w:rPr>
              <w:t>as</w:t>
            </w:r>
            <w:proofErr w:type="spellEnd"/>
            <w:r w:rsidRPr="00581015">
              <w:rPr>
                <w:rStyle w:val="Bodytext212ptNotBold"/>
                <w:rFonts w:eastAsiaTheme="minorHAnsi"/>
                <w:b w:val="0"/>
                <w:bCs w:val="0"/>
                <w:color w:val="auto"/>
              </w:rPr>
              <w:t>) poilsio dieną (-</w:t>
            </w:r>
            <w:proofErr w:type="spellStart"/>
            <w:r w:rsidRPr="00581015">
              <w:rPr>
                <w:rStyle w:val="Bodytext212ptNotBold"/>
                <w:rFonts w:eastAsiaTheme="minorHAnsi"/>
                <w:b w:val="0"/>
                <w:bCs w:val="0"/>
                <w:color w:val="auto"/>
              </w:rPr>
              <w:t>as</w:t>
            </w:r>
            <w:proofErr w:type="spellEnd"/>
            <w:r w:rsidRPr="00581015">
              <w:rPr>
                <w:rStyle w:val="Bodytext212ptNotBold"/>
                <w:rFonts w:eastAsiaTheme="minorHAnsi"/>
                <w:b w:val="0"/>
                <w:bCs w:val="0"/>
                <w:color w:val="auto"/>
              </w:rPr>
              <w:t>) ar</w:t>
            </w:r>
          </w:p>
        </w:tc>
        <w:tc>
          <w:tcPr>
            <w:tcW w:w="838" w:type="pct"/>
            <w:vAlign w:val="center"/>
          </w:tcPr>
          <w:p w14:paraId="4FFD56A4" w14:textId="395780DD"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Iki konsolidavimo pradžios</w:t>
            </w:r>
          </w:p>
        </w:tc>
        <w:tc>
          <w:tcPr>
            <w:tcW w:w="868" w:type="pct"/>
            <w:vAlign w:val="center"/>
          </w:tcPr>
          <w:p w14:paraId="44F1BBAD" w14:textId="6B106915"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Įstaigos</w:t>
            </w:r>
          </w:p>
        </w:tc>
        <w:tc>
          <w:tcPr>
            <w:tcW w:w="749" w:type="pct"/>
          </w:tcPr>
          <w:p w14:paraId="5375BDEE" w14:textId="532AF438" w:rsidR="0030596F" w:rsidRPr="00F23D2E"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5637EB17"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3A42C0C6"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 xml:space="preserve">2 Įstaigos (Lietuvos nacionalinis dailės muziejus ir Kultūros paveldo centras) iš 42 informacijos nėra pateikusios, Kultūros paveldo centras raštu informavo, kad stengsis informaciją </w:t>
            </w:r>
            <w:r>
              <w:rPr>
                <w:rFonts w:ascii="Times New Roman" w:hAnsi="Times New Roman" w:cs="Times New Roman"/>
                <w:sz w:val="24"/>
                <w:szCs w:val="24"/>
              </w:rPr>
              <w:lastRenderedPageBreak/>
              <w:t>pateikti kuo greičiau)</w:t>
            </w:r>
          </w:p>
          <w:p w14:paraId="63FD7371" w14:textId="77777777" w:rsidR="0030596F" w:rsidRPr="00F23D2E" w:rsidRDefault="0030596F" w:rsidP="0030596F">
            <w:pPr>
              <w:rPr>
                <w:rFonts w:ascii="Times New Roman" w:hAnsi="Times New Roman" w:cs="Times New Roman"/>
                <w:sz w:val="24"/>
                <w:szCs w:val="24"/>
              </w:rPr>
            </w:pPr>
          </w:p>
        </w:tc>
      </w:tr>
      <w:tr w:rsidR="0030596F" w:rsidRPr="00581015" w14:paraId="72AA3A63" w14:textId="77777777" w:rsidTr="0030596F">
        <w:tc>
          <w:tcPr>
            <w:tcW w:w="210" w:type="pct"/>
          </w:tcPr>
          <w:p w14:paraId="151AFCD4" w14:textId="46C42A78"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9.</w:t>
            </w:r>
          </w:p>
        </w:tc>
        <w:tc>
          <w:tcPr>
            <w:tcW w:w="1585" w:type="pct"/>
          </w:tcPr>
          <w:p w14:paraId="47621008" w14:textId="7EB74D54" w:rsidR="0030596F" w:rsidRPr="00ED5029" w:rsidRDefault="0030596F" w:rsidP="0030596F">
            <w:pPr>
              <w:rPr>
                <w:rStyle w:val="Bodytext212ptNotBold"/>
                <w:rFonts w:eastAsiaTheme="minorHAnsi"/>
                <w:color w:val="auto"/>
              </w:rPr>
            </w:pPr>
            <w:r w:rsidRPr="00581015">
              <w:rPr>
                <w:rStyle w:val="Bodytext212ptNotBold"/>
                <w:rFonts w:eastAsiaTheme="minorHAnsi"/>
                <w:b w:val="0"/>
                <w:bCs w:val="0"/>
                <w:color w:val="auto"/>
              </w:rPr>
              <w:t>Parengti darbuotojų, turinčių galiojančių tarnybinių nuobaudų, sąrašą, nurodant jame tarnybinių nuobaudų skyrimo pagrindus ir jų galiojimo terminus, ir pateikti šį sąrašą Centrui</w:t>
            </w:r>
          </w:p>
        </w:tc>
        <w:tc>
          <w:tcPr>
            <w:tcW w:w="838" w:type="pct"/>
            <w:vAlign w:val="center"/>
          </w:tcPr>
          <w:p w14:paraId="180DD388" w14:textId="06034602"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2 savaitės iki konsolidavimo pradžios</w:t>
            </w:r>
          </w:p>
        </w:tc>
        <w:tc>
          <w:tcPr>
            <w:tcW w:w="868" w:type="pct"/>
            <w:vAlign w:val="center"/>
          </w:tcPr>
          <w:p w14:paraId="6578CCF7" w14:textId="3786CFA9"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Įstaigos</w:t>
            </w:r>
          </w:p>
        </w:tc>
        <w:tc>
          <w:tcPr>
            <w:tcW w:w="749" w:type="pct"/>
          </w:tcPr>
          <w:p w14:paraId="275328C0" w14:textId="31E7E76E" w:rsidR="0030596F" w:rsidRPr="00F23D2E"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2DEA4997"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101601A5"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2 Įstaigos (Lietuvos nacionalinis dailės muziejus ir Kultūros paveldo centras) iš 42 informacijos nėra pateikusios, Kultūros paveldo centras raštu informavo, kad stengsis informaciją pateikti kuo greičiau)</w:t>
            </w:r>
          </w:p>
          <w:p w14:paraId="4F37BCBF" w14:textId="77777777" w:rsidR="0030596F" w:rsidRPr="00F23D2E" w:rsidRDefault="0030596F" w:rsidP="0030596F">
            <w:pPr>
              <w:rPr>
                <w:rFonts w:ascii="Times New Roman" w:hAnsi="Times New Roman" w:cs="Times New Roman"/>
                <w:sz w:val="24"/>
                <w:szCs w:val="24"/>
              </w:rPr>
            </w:pPr>
          </w:p>
        </w:tc>
      </w:tr>
      <w:tr w:rsidR="0030596F" w:rsidRPr="00581015" w14:paraId="4B92F197" w14:textId="77777777" w:rsidTr="0030596F">
        <w:tc>
          <w:tcPr>
            <w:tcW w:w="210" w:type="pct"/>
          </w:tcPr>
          <w:p w14:paraId="3CE574A7" w14:textId="125DF83A"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10.</w:t>
            </w:r>
          </w:p>
        </w:tc>
        <w:tc>
          <w:tcPr>
            <w:tcW w:w="1585" w:type="pct"/>
          </w:tcPr>
          <w:p w14:paraId="49B90781" w14:textId="343684FF"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Parengti visų Įstaigos darbuotojų sąrašą, nurodant jame kiekvieno darbuotojo turimą darbo ar tarnybos Lietuvos valstybei stažą iki konsolidavimo pradžios, ir pateikti šį sąrašą Centrui</w:t>
            </w:r>
          </w:p>
        </w:tc>
        <w:tc>
          <w:tcPr>
            <w:tcW w:w="838" w:type="pct"/>
            <w:vAlign w:val="center"/>
          </w:tcPr>
          <w:p w14:paraId="5A61BBB9" w14:textId="47345D32"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2 savaitės iki konsolidavimo pradžios</w:t>
            </w:r>
          </w:p>
        </w:tc>
        <w:tc>
          <w:tcPr>
            <w:tcW w:w="868" w:type="pct"/>
            <w:vAlign w:val="center"/>
          </w:tcPr>
          <w:p w14:paraId="726B9C91" w14:textId="6B6947F9"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Įstaigos</w:t>
            </w:r>
          </w:p>
        </w:tc>
        <w:tc>
          <w:tcPr>
            <w:tcW w:w="749" w:type="pct"/>
          </w:tcPr>
          <w:p w14:paraId="3E8A18C2" w14:textId="28A62DB2" w:rsidR="0030596F" w:rsidRPr="00F23D2E"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3749DDF9"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27D57ACA"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 xml:space="preserve">2 Įstaigos (Lietuvos nacionalinis dailės muziejus ir Kultūros paveldo centras) iš 42 informacijos nėra pateikusios, </w:t>
            </w:r>
            <w:r>
              <w:rPr>
                <w:rFonts w:ascii="Times New Roman" w:hAnsi="Times New Roman" w:cs="Times New Roman"/>
                <w:sz w:val="24"/>
                <w:szCs w:val="24"/>
              </w:rPr>
              <w:lastRenderedPageBreak/>
              <w:t>Kultūros paveldo centras raštu informavo, kad stengsis informaciją pateikti kuo greičiau)</w:t>
            </w:r>
          </w:p>
          <w:p w14:paraId="40099874" w14:textId="77777777" w:rsidR="0030596F" w:rsidRPr="00F23D2E" w:rsidRDefault="0030596F" w:rsidP="0030596F">
            <w:pPr>
              <w:rPr>
                <w:rFonts w:ascii="Times New Roman" w:hAnsi="Times New Roman" w:cs="Times New Roman"/>
                <w:sz w:val="24"/>
                <w:szCs w:val="24"/>
              </w:rPr>
            </w:pPr>
          </w:p>
        </w:tc>
      </w:tr>
      <w:tr w:rsidR="0030596F" w:rsidRPr="00581015" w14:paraId="7B6AD1E2" w14:textId="77777777" w:rsidTr="0030596F">
        <w:tc>
          <w:tcPr>
            <w:tcW w:w="210" w:type="pct"/>
          </w:tcPr>
          <w:p w14:paraId="133FE055" w14:textId="72BB973C"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11.</w:t>
            </w:r>
          </w:p>
        </w:tc>
        <w:tc>
          <w:tcPr>
            <w:tcW w:w="1585" w:type="pct"/>
          </w:tcPr>
          <w:p w14:paraId="148DDE25" w14:textId="776D4D3F"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Parengti darbuotojų, kurie dirba pagal terminuotas darbo sutartis, sąrašą, nurodant jame darbuotojo darbo pradžios ir pabaigos datas, ir pateikti šį sąrašą Centrui</w:t>
            </w:r>
          </w:p>
        </w:tc>
        <w:tc>
          <w:tcPr>
            <w:tcW w:w="838" w:type="pct"/>
            <w:vAlign w:val="center"/>
          </w:tcPr>
          <w:p w14:paraId="218FECF0" w14:textId="2F12786A"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2 savaitės iki konsolidavimo pradžios</w:t>
            </w:r>
          </w:p>
        </w:tc>
        <w:tc>
          <w:tcPr>
            <w:tcW w:w="868" w:type="pct"/>
            <w:vAlign w:val="center"/>
          </w:tcPr>
          <w:p w14:paraId="29816F35" w14:textId="55A7ED3D"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Įstaigos</w:t>
            </w:r>
          </w:p>
        </w:tc>
        <w:tc>
          <w:tcPr>
            <w:tcW w:w="749" w:type="pct"/>
          </w:tcPr>
          <w:p w14:paraId="29947CAF" w14:textId="0A33CB20" w:rsidR="0030596F" w:rsidRPr="00F23D2E"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43D46F59"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47C08C9D"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2 Įstaigos (Lietuvos nacionalinis dailės muziejus ir Kultūros paveldo centras) iš 42 informacijos nėra pateikusios, Kultūros paveldo centras raštu informavo, kad stengsis informaciją pateikti kuo greičiau)</w:t>
            </w:r>
          </w:p>
          <w:p w14:paraId="388A8084" w14:textId="77777777" w:rsidR="0030596F" w:rsidRPr="00F23D2E" w:rsidRDefault="0030596F" w:rsidP="0030596F">
            <w:pPr>
              <w:rPr>
                <w:rFonts w:ascii="Times New Roman" w:hAnsi="Times New Roman" w:cs="Times New Roman"/>
                <w:sz w:val="24"/>
                <w:szCs w:val="24"/>
              </w:rPr>
            </w:pPr>
          </w:p>
        </w:tc>
      </w:tr>
      <w:tr w:rsidR="0030596F" w:rsidRPr="00581015" w14:paraId="62E4FD9E" w14:textId="77777777" w:rsidTr="0030596F">
        <w:tc>
          <w:tcPr>
            <w:tcW w:w="210" w:type="pct"/>
          </w:tcPr>
          <w:p w14:paraId="2259997F" w14:textId="72042C6F"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 xml:space="preserve">12. </w:t>
            </w:r>
          </w:p>
        </w:tc>
        <w:tc>
          <w:tcPr>
            <w:tcW w:w="1585" w:type="pct"/>
            <w:vAlign w:val="bottom"/>
          </w:tcPr>
          <w:p w14:paraId="62625B8D" w14:textId="46FFC519"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 xml:space="preserve">Parengti ir pateikti Centrui Įstaigos teisės aktų, reglamentuojančių personalo administravimo veiklą (kasmetinių atostogų suteikimo tvarkos aprašas, </w:t>
            </w:r>
            <w:r w:rsidRPr="00581015">
              <w:rPr>
                <w:rStyle w:val="Bodytext212ptNotBold"/>
                <w:rFonts w:eastAsiaTheme="minorHAnsi"/>
                <w:b w:val="0"/>
                <w:bCs w:val="0"/>
                <w:color w:val="auto"/>
              </w:rPr>
              <w:lastRenderedPageBreak/>
              <w:t>Įstaigos darbo reglamentas, darbo tvarkos taisyklės ir kita), sąrašą ir nurodyti šių teisės aktų viešo paskelbimo šaltinį (jeigu teisės aktai neskelbiami viešai, pateikti jų kopijas)</w:t>
            </w:r>
          </w:p>
        </w:tc>
        <w:tc>
          <w:tcPr>
            <w:tcW w:w="838" w:type="pct"/>
            <w:vAlign w:val="center"/>
          </w:tcPr>
          <w:p w14:paraId="725F15D3" w14:textId="75B68CA5"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lastRenderedPageBreak/>
              <w:t>4 savaitės iki konsolidavimo pradžios</w:t>
            </w:r>
          </w:p>
        </w:tc>
        <w:tc>
          <w:tcPr>
            <w:tcW w:w="868" w:type="pct"/>
            <w:vAlign w:val="center"/>
          </w:tcPr>
          <w:p w14:paraId="44D5252E" w14:textId="34723974"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Įstaigos</w:t>
            </w:r>
          </w:p>
        </w:tc>
        <w:tc>
          <w:tcPr>
            <w:tcW w:w="749" w:type="pct"/>
          </w:tcPr>
          <w:p w14:paraId="0C64CCA7" w14:textId="00044CB7" w:rsidR="0030596F" w:rsidRPr="00F23D2E"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40DF305D"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4D4F24A5"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 xml:space="preserve">2 Įstaigos (Lietuvos nacionalinis dailės </w:t>
            </w:r>
            <w:r>
              <w:rPr>
                <w:rFonts w:ascii="Times New Roman" w:hAnsi="Times New Roman" w:cs="Times New Roman"/>
                <w:sz w:val="24"/>
                <w:szCs w:val="24"/>
              </w:rPr>
              <w:lastRenderedPageBreak/>
              <w:t>muziejus ir Kultūros paveldo centras) iš 42 informacijos nėra pateikusios, Kultūros paveldo centras raštu informavo, kad stengsis informaciją pateikti kuo greičiau)</w:t>
            </w:r>
          </w:p>
          <w:p w14:paraId="74AE48F5" w14:textId="77777777" w:rsidR="0030596F" w:rsidRPr="00F23D2E" w:rsidRDefault="0030596F" w:rsidP="0030596F">
            <w:pPr>
              <w:rPr>
                <w:rFonts w:ascii="Times New Roman" w:hAnsi="Times New Roman" w:cs="Times New Roman"/>
                <w:sz w:val="24"/>
                <w:szCs w:val="24"/>
              </w:rPr>
            </w:pPr>
          </w:p>
        </w:tc>
      </w:tr>
      <w:tr w:rsidR="0030596F" w:rsidRPr="00581015" w14:paraId="643C2998" w14:textId="77777777" w:rsidTr="0030596F">
        <w:tc>
          <w:tcPr>
            <w:tcW w:w="210" w:type="pct"/>
          </w:tcPr>
          <w:p w14:paraId="0FC5EA78" w14:textId="481B19B8"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13.</w:t>
            </w:r>
          </w:p>
        </w:tc>
        <w:tc>
          <w:tcPr>
            <w:tcW w:w="1585" w:type="pct"/>
          </w:tcPr>
          <w:p w14:paraId="36C0C467" w14:textId="2C2E818E"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Suteikti Centro darbuotojams prieigą prie Įstaigos naudojamos personalo administravimo informacinės sistemos ir įgaliojimus tvarkyti Įstaigos darbuotojų duomenis Įstaigos naudojamose personalo administravimo informacinėse sistemose nuotoliniam darbui pagal Centro pateiktą darbuotojų sąrašą, jeigu Įstaiga naudoja personalo administravimo informacinę sistemą. Įstaigos, nenaudojančios personalo administravimo informacinių sistemų, apie tai raštu informuoja Centrą</w:t>
            </w:r>
          </w:p>
        </w:tc>
        <w:tc>
          <w:tcPr>
            <w:tcW w:w="838" w:type="pct"/>
            <w:vAlign w:val="center"/>
          </w:tcPr>
          <w:p w14:paraId="1C3B6FD9" w14:textId="4A662193"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2 savaitės iki konsolidavimo pradžios</w:t>
            </w:r>
          </w:p>
        </w:tc>
        <w:tc>
          <w:tcPr>
            <w:tcW w:w="868" w:type="pct"/>
            <w:vAlign w:val="center"/>
          </w:tcPr>
          <w:p w14:paraId="2F3E95CD" w14:textId="12DD2BE6"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Įstaigos</w:t>
            </w:r>
          </w:p>
        </w:tc>
        <w:tc>
          <w:tcPr>
            <w:tcW w:w="749" w:type="pct"/>
          </w:tcPr>
          <w:p w14:paraId="6A1AA702" w14:textId="3FFFC3E6" w:rsidR="0030596F" w:rsidRDefault="0030596F" w:rsidP="0030596F">
            <w:pPr>
              <w:rPr>
                <w:rFonts w:ascii="Times New Roman" w:hAnsi="Times New Roman" w:cs="Times New Roman"/>
                <w:sz w:val="24"/>
                <w:szCs w:val="24"/>
                <w:highlight w:val="red"/>
              </w:rPr>
            </w:pPr>
            <w:r>
              <w:rPr>
                <w:rFonts w:ascii="Times New Roman" w:hAnsi="Times New Roman" w:cs="Times New Roman"/>
                <w:sz w:val="24"/>
                <w:szCs w:val="24"/>
              </w:rPr>
              <w:t>100</w:t>
            </w:r>
          </w:p>
        </w:tc>
        <w:tc>
          <w:tcPr>
            <w:tcW w:w="749" w:type="pct"/>
          </w:tcPr>
          <w:p w14:paraId="703DA501" w14:textId="058DF85B" w:rsidR="0030596F" w:rsidRPr="00BC4FEB" w:rsidRDefault="00D66C08" w:rsidP="0030596F">
            <w:pPr>
              <w:rPr>
                <w:rFonts w:ascii="Times New Roman" w:hAnsi="Times New Roman" w:cs="Times New Roman"/>
                <w:sz w:val="24"/>
                <w:szCs w:val="24"/>
              </w:rPr>
            </w:pPr>
            <w:r>
              <w:rPr>
                <w:rFonts w:ascii="Times New Roman" w:hAnsi="Times New Roman" w:cs="Times New Roman"/>
                <w:sz w:val="24"/>
                <w:szCs w:val="24"/>
              </w:rPr>
              <w:t>50</w:t>
            </w:r>
          </w:p>
          <w:p w14:paraId="5A58C7F0" w14:textId="33DF669E" w:rsidR="0030596F" w:rsidRDefault="0030596F" w:rsidP="00D66C08">
            <w:pPr>
              <w:rPr>
                <w:rFonts w:ascii="Times New Roman" w:hAnsi="Times New Roman" w:cs="Times New Roman"/>
                <w:sz w:val="24"/>
                <w:szCs w:val="24"/>
                <w:highlight w:val="red"/>
              </w:rPr>
            </w:pPr>
            <w:r w:rsidRPr="00D66C08">
              <w:rPr>
                <w:rFonts w:ascii="Times New Roman" w:hAnsi="Times New Roman" w:cs="Times New Roman"/>
                <w:sz w:val="24"/>
                <w:szCs w:val="24"/>
              </w:rPr>
              <w:t>(</w:t>
            </w:r>
            <w:r w:rsidR="00D66C08">
              <w:rPr>
                <w:rFonts w:ascii="Times New Roman" w:hAnsi="Times New Roman" w:cs="Times New Roman"/>
                <w:sz w:val="24"/>
                <w:szCs w:val="24"/>
              </w:rPr>
              <w:t>21</w:t>
            </w:r>
            <w:r w:rsidRPr="00D66C08">
              <w:rPr>
                <w:rFonts w:ascii="Times New Roman" w:hAnsi="Times New Roman" w:cs="Times New Roman"/>
                <w:sz w:val="24"/>
                <w:szCs w:val="24"/>
              </w:rPr>
              <w:t xml:space="preserve"> </w:t>
            </w:r>
            <w:r w:rsidR="00BC4FEB" w:rsidRPr="00D66C08">
              <w:rPr>
                <w:rFonts w:ascii="Times New Roman" w:hAnsi="Times New Roman" w:cs="Times New Roman"/>
                <w:sz w:val="24"/>
                <w:szCs w:val="24"/>
              </w:rPr>
              <w:t>įstaigų iš 42</w:t>
            </w:r>
            <w:r w:rsidR="00D66C08" w:rsidRPr="00F23D2E">
              <w:rPr>
                <w:rFonts w:ascii="Times New Roman" w:hAnsi="Times New Roman" w:cs="Times New Roman"/>
                <w:sz w:val="24"/>
                <w:szCs w:val="24"/>
              </w:rPr>
              <w:t xml:space="preserve"> prieig</w:t>
            </w:r>
            <w:r w:rsidR="00D66C08">
              <w:rPr>
                <w:rFonts w:ascii="Times New Roman" w:hAnsi="Times New Roman" w:cs="Times New Roman"/>
                <w:sz w:val="24"/>
                <w:szCs w:val="24"/>
              </w:rPr>
              <w:t xml:space="preserve">ų prie </w:t>
            </w:r>
            <w:r w:rsidR="00D66C08" w:rsidRPr="00F23D2E">
              <w:rPr>
                <w:rFonts w:ascii="Times New Roman" w:hAnsi="Times New Roman" w:cs="Times New Roman"/>
                <w:sz w:val="24"/>
                <w:szCs w:val="24"/>
              </w:rPr>
              <w:t xml:space="preserve"> </w:t>
            </w:r>
            <w:r w:rsidR="00D66C08" w:rsidRPr="00581015">
              <w:rPr>
                <w:rStyle w:val="Bodytext212ptNotBold"/>
                <w:rFonts w:eastAsiaTheme="minorHAnsi"/>
                <w:b w:val="0"/>
                <w:bCs w:val="0"/>
                <w:color w:val="auto"/>
              </w:rPr>
              <w:t>personalo administravimo informacin</w:t>
            </w:r>
            <w:r w:rsidR="00D66C08">
              <w:rPr>
                <w:rStyle w:val="Bodytext212ptNotBold"/>
                <w:rFonts w:eastAsiaTheme="minorHAnsi"/>
                <w:b w:val="0"/>
                <w:bCs w:val="0"/>
                <w:color w:val="auto"/>
              </w:rPr>
              <w:t>ių</w:t>
            </w:r>
            <w:r w:rsidR="00D66C08" w:rsidRPr="00581015">
              <w:rPr>
                <w:rStyle w:val="Bodytext212ptNotBold"/>
                <w:rFonts w:eastAsiaTheme="minorHAnsi"/>
                <w:b w:val="0"/>
                <w:bCs w:val="0"/>
                <w:color w:val="auto"/>
              </w:rPr>
              <w:t xml:space="preserve"> sistem</w:t>
            </w:r>
            <w:r w:rsidR="00D66C08">
              <w:rPr>
                <w:rStyle w:val="Bodytext212ptNotBold"/>
                <w:rFonts w:eastAsiaTheme="minorHAnsi"/>
                <w:b w:val="0"/>
                <w:bCs w:val="0"/>
                <w:color w:val="auto"/>
              </w:rPr>
              <w:t>ų</w:t>
            </w:r>
            <w:r w:rsidR="00D66C08" w:rsidRPr="00581015">
              <w:rPr>
                <w:rStyle w:val="Bodytext212ptNotBold"/>
                <w:rFonts w:eastAsiaTheme="minorHAnsi"/>
                <w:b w:val="0"/>
                <w:bCs w:val="0"/>
                <w:color w:val="auto"/>
              </w:rPr>
              <w:t xml:space="preserve"> </w:t>
            </w:r>
            <w:r w:rsidR="00D66C08" w:rsidRPr="00F23D2E">
              <w:rPr>
                <w:rFonts w:ascii="Times New Roman" w:hAnsi="Times New Roman" w:cs="Times New Roman"/>
                <w:sz w:val="24"/>
                <w:szCs w:val="24"/>
              </w:rPr>
              <w:t>suteikimas užtruko dėl IT problemų: duomenų saugos apribojimų, papildomų vartotojų įsigijimo procedūrų ir pan.)</w:t>
            </w:r>
          </w:p>
        </w:tc>
      </w:tr>
      <w:tr w:rsidR="0030596F" w:rsidRPr="00581015" w14:paraId="4D431683" w14:textId="77777777" w:rsidTr="00D66C08">
        <w:tc>
          <w:tcPr>
            <w:tcW w:w="210" w:type="pct"/>
          </w:tcPr>
          <w:p w14:paraId="443DAE22" w14:textId="6C26B0AE"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14.</w:t>
            </w:r>
          </w:p>
        </w:tc>
        <w:tc>
          <w:tcPr>
            <w:tcW w:w="1585" w:type="pct"/>
            <w:shd w:val="clear" w:color="auto" w:fill="auto"/>
          </w:tcPr>
          <w:p w14:paraId="293A839B" w14:textId="77777777" w:rsidR="0030596F" w:rsidRPr="00ED5029" w:rsidRDefault="0030596F" w:rsidP="00D66C08">
            <w:pPr>
              <w:pStyle w:val="Bodytext20"/>
              <w:shd w:val="clear" w:color="auto" w:fill="auto"/>
              <w:spacing w:before="0"/>
              <w:jc w:val="left"/>
              <w:rPr>
                <w:b w:val="0"/>
                <w:bCs w:val="0"/>
                <w:sz w:val="24"/>
                <w:szCs w:val="24"/>
                <w:lang w:val="lt-LT"/>
              </w:rPr>
            </w:pPr>
            <w:r w:rsidRPr="00581015">
              <w:rPr>
                <w:rStyle w:val="Bodytext212ptNotBold"/>
                <w:color w:val="auto"/>
              </w:rPr>
              <w:t>Pateikti Centrui iš Įstaigoje dirbančių darbuotojų asmens bylų šių dokumentų kopijas:</w:t>
            </w:r>
          </w:p>
          <w:p w14:paraId="44D798A4" w14:textId="77777777" w:rsidR="0030596F" w:rsidRPr="00ED5029" w:rsidRDefault="0030596F" w:rsidP="00D66C08">
            <w:pPr>
              <w:pStyle w:val="Bodytext20"/>
              <w:shd w:val="clear" w:color="auto" w:fill="auto"/>
              <w:tabs>
                <w:tab w:val="left" w:pos="230"/>
              </w:tabs>
              <w:spacing w:before="0"/>
              <w:jc w:val="left"/>
              <w:rPr>
                <w:b w:val="0"/>
                <w:bCs w:val="0"/>
                <w:sz w:val="24"/>
                <w:szCs w:val="24"/>
                <w:lang w:val="lt-LT"/>
              </w:rPr>
            </w:pPr>
            <w:r w:rsidRPr="00581015">
              <w:rPr>
                <w:rStyle w:val="Bodytext212ptNotBold"/>
                <w:color w:val="auto"/>
              </w:rPr>
              <w:t>1)</w:t>
            </w:r>
            <w:r w:rsidRPr="00581015">
              <w:rPr>
                <w:rStyle w:val="Bodytext212ptNotBold"/>
                <w:color w:val="auto"/>
              </w:rPr>
              <w:tab/>
              <w:t>darbo sutarčių ir jų pakeitimų;</w:t>
            </w:r>
          </w:p>
          <w:p w14:paraId="1E07A26C" w14:textId="77777777" w:rsidR="0030596F" w:rsidRPr="00ED5029" w:rsidRDefault="0030596F" w:rsidP="00D66C08">
            <w:pPr>
              <w:pStyle w:val="Bodytext20"/>
              <w:shd w:val="clear" w:color="auto" w:fill="auto"/>
              <w:tabs>
                <w:tab w:val="left" w:pos="254"/>
              </w:tabs>
              <w:spacing w:before="0"/>
              <w:jc w:val="left"/>
              <w:rPr>
                <w:b w:val="0"/>
                <w:bCs w:val="0"/>
                <w:sz w:val="24"/>
                <w:szCs w:val="24"/>
                <w:lang w:val="lt-LT"/>
              </w:rPr>
            </w:pPr>
            <w:r w:rsidRPr="00581015">
              <w:rPr>
                <w:rStyle w:val="Bodytext212ptNotBold"/>
                <w:color w:val="auto"/>
              </w:rPr>
              <w:t>2)</w:t>
            </w:r>
            <w:r w:rsidRPr="00581015">
              <w:rPr>
                <w:rStyle w:val="Bodytext212ptNotBold"/>
                <w:color w:val="auto"/>
              </w:rPr>
              <w:tab/>
              <w:t>teisės aktų, susijusių su darbuotojo priėmimu į pareigas, perkėlimu į kitas pareigas ir atleidimu iš pareigų, tarnybos laiko (darbo santykių) pratęsimu;</w:t>
            </w:r>
          </w:p>
          <w:p w14:paraId="0D4E244C" w14:textId="3EDC0546" w:rsidR="0030596F" w:rsidRPr="00581015" w:rsidRDefault="0030596F" w:rsidP="00D66C08">
            <w:pPr>
              <w:rPr>
                <w:rFonts w:ascii="Times New Roman" w:hAnsi="Times New Roman" w:cs="Times New Roman"/>
                <w:sz w:val="24"/>
                <w:szCs w:val="24"/>
              </w:rPr>
            </w:pPr>
            <w:r w:rsidRPr="00581015">
              <w:rPr>
                <w:rStyle w:val="Bodytext212ptNotBold"/>
                <w:rFonts w:eastAsiaTheme="minorHAnsi"/>
                <w:b w:val="0"/>
                <w:bCs w:val="0"/>
                <w:color w:val="auto"/>
              </w:rPr>
              <w:t>3) teisės aktų, nustatančių darbuotojų darbo užmokestį, kurie galioja konsolidavimo dieną</w:t>
            </w:r>
          </w:p>
        </w:tc>
        <w:tc>
          <w:tcPr>
            <w:tcW w:w="838" w:type="pct"/>
            <w:shd w:val="clear" w:color="auto" w:fill="auto"/>
            <w:vAlign w:val="center"/>
          </w:tcPr>
          <w:p w14:paraId="09D33834" w14:textId="3CD38694"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1 savaitė iki konsolidavimo pradžios</w:t>
            </w:r>
          </w:p>
        </w:tc>
        <w:tc>
          <w:tcPr>
            <w:tcW w:w="868" w:type="pct"/>
            <w:vAlign w:val="center"/>
          </w:tcPr>
          <w:p w14:paraId="071FC609" w14:textId="11AA38CF"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Įstaigos</w:t>
            </w:r>
          </w:p>
        </w:tc>
        <w:tc>
          <w:tcPr>
            <w:tcW w:w="749" w:type="pct"/>
          </w:tcPr>
          <w:p w14:paraId="7CC77FAA" w14:textId="520B29F8" w:rsidR="0030596F" w:rsidRPr="00F23D2E"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27744FB1" w14:textId="77777777" w:rsidR="0030596F" w:rsidRPr="00F23D2E"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9</w:t>
            </w:r>
            <w:r>
              <w:rPr>
                <w:rFonts w:ascii="Times New Roman" w:hAnsi="Times New Roman" w:cs="Times New Roman"/>
                <w:sz w:val="24"/>
                <w:szCs w:val="24"/>
              </w:rPr>
              <w:t>5</w:t>
            </w:r>
          </w:p>
          <w:p w14:paraId="3421FA31" w14:textId="77777777" w:rsidR="0030596F"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w:t>
            </w:r>
            <w:r>
              <w:rPr>
                <w:rFonts w:ascii="Times New Roman" w:hAnsi="Times New Roman" w:cs="Times New Roman"/>
                <w:sz w:val="24"/>
                <w:szCs w:val="24"/>
              </w:rPr>
              <w:t>2 Įstaigos (Lietuvos nacionalinis dailės muziejus ir Kultūros paveldo centras) iš 42 informacijos nėra pateikusios, Kultūros paveldo centras raštu informavo, kad stengsis informaciją pateikti kuo greičiau)</w:t>
            </w:r>
          </w:p>
          <w:p w14:paraId="2FD09A4F" w14:textId="77777777" w:rsidR="0030596F" w:rsidRPr="00F23D2E" w:rsidRDefault="0030596F" w:rsidP="0030596F">
            <w:pPr>
              <w:rPr>
                <w:rFonts w:ascii="Times New Roman" w:hAnsi="Times New Roman" w:cs="Times New Roman"/>
                <w:sz w:val="24"/>
                <w:szCs w:val="24"/>
              </w:rPr>
            </w:pPr>
          </w:p>
        </w:tc>
      </w:tr>
      <w:tr w:rsidR="0030596F" w:rsidRPr="00581015" w14:paraId="7B19D3B7" w14:textId="77777777" w:rsidTr="0030596F">
        <w:tc>
          <w:tcPr>
            <w:tcW w:w="210" w:type="pct"/>
          </w:tcPr>
          <w:p w14:paraId="7B0819A1" w14:textId="0CB08B05"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15.</w:t>
            </w:r>
          </w:p>
        </w:tc>
        <w:tc>
          <w:tcPr>
            <w:tcW w:w="1585" w:type="pct"/>
            <w:vAlign w:val="bottom"/>
          </w:tcPr>
          <w:p w14:paraId="00CC29C8" w14:textId="4AA9BF42" w:rsidR="0030596F" w:rsidRPr="00581015" w:rsidRDefault="0030596F" w:rsidP="0030596F">
            <w:pPr>
              <w:rPr>
                <w:rFonts w:ascii="Times New Roman" w:hAnsi="Times New Roman" w:cs="Times New Roman"/>
                <w:sz w:val="24"/>
                <w:szCs w:val="24"/>
              </w:rPr>
            </w:pPr>
            <w:r w:rsidRPr="00581015">
              <w:rPr>
                <w:rStyle w:val="Bodytext212ptNotBold"/>
                <w:rFonts w:eastAsiaTheme="minorHAnsi"/>
                <w:b w:val="0"/>
                <w:bCs w:val="0"/>
                <w:color w:val="auto"/>
              </w:rPr>
              <w:t>Paskirti darbuotojus, atsakingus už Įstaigos personalo administravimo funkcijų centralizavimą ir šio priemonių plano vykdymą, ir apie tai informuoti įstaigą ar Centrą</w:t>
            </w:r>
          </w:p>
        </w:tc>
        <w:tc>
          <w:tcPr>
            <w:tcW w:w="838" w:type="pct"/>
            <w:vAlign w:val="center"/>
          </w:tcPr>
          <w:p w14:paraId="336B8D89" w14:textId="4692AEE8"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8 savaitės iki konsolidavimo pradžios</w:t>
            </w:r>
          </w:p>
        </w:tc>
        <w:tc>
          <w:tcPr>
            <w:tcW w:w="868" w:type="pct"/>
            <w:vAlign w:val="center"/>
          </w:tcPr>
          <w:p w14:paraId="40219D3C" w14:textId="6E632EC6" w:rsidR="0030596F" w:rsidRPr="00581015" w:rsidRDefault="0030596F" w:rsidP="0030596F">
            <w:pPr>
              <w:pStyle w:val="Bodytext20"/>
              <w:shd w:val="clear" w:color="auto" w:fill="auto"/>
              <w:spacing w:before="0" w:after="60" w:line="240" w:lineRule="exact"/>
              <w:rPr>
                <w:b w:val="0"/>
                <w:bCs w:val="0"/>
                <w:sz w:val="24"/>
                <w:szCs w:val="24"/>
              </w:rPr>
            </w:pPr>
            <w:r w:rsidRPr="00581015">
              <w:rPr>
                <w:rStyle w:val="Bodytext212ptNotBold"/>
                <w:color w:val="auto"/>
              </w:rPr>
              <w:t>Įstaigos, Centras</w:t>
            </w:r>
          </w:p>
        </w:tc>
        <w:tc>
          <w:tcPr>
            <w:tcW w:w="749" w:type="pct"/>
          </w:tcPr>
          <w:p w14:paraId="30FA55F1" w14:textId="1155E783"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0E69C8AE" w14:textId="1687E8D1"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r>
      <w:tr w:rsidR="0030596F" w:rsidRPr="00581015" w14:paraId="1D5315D2" w14:textId="77777777" w:rsidTr="0030596F">
        <w:tc>
          <w:tcPr>
            <w:tcW w:w="210" w:type="pct"/>
          </w:tcPr>
          <w:p w14:paraId="1C248296" w14:textId="7D6CCB5D"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16.</w:t>
            </w:r>
          </w:p>
        </w:tc>
        <w:tc>
          <w:tcPr>
            <w:tcW w:w="1585" w:type="pct"/>
            <w:vAlign w:val="bottom"/>
          </w:tcPr>
          <w:p w14:paraId="3FB27F0C" w14:textId="61068734"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Paskirti asmenis, kurie teiks metodines rekomendacijas Įstaigoms, kad būtų užtikrintas sklandus pasirengimo centralizuoti personalo administravimo funkcijas procesas, ir informaciją apie paskirtus asmenis pateikti Įstaigoms</w:t>
            </w:r>
          </w:p>
        </w:tc>
        <w:tc>
          <w:tcPr>
            <w:tcW w:w="838" w:type="pct"/>
            <w:vAlign w:val="center"/>
          </w:tcPr>
          <w:p w14:paraId="3DC0BEEF" w14:textId="3C9D15A8"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10 savaičių iki konsolidavimo pradžios</w:t>
            </w:r>
          </w:p>
        </w:tc>
        <w:tc>
          <w:tcPr>
            <w:tcW w:w="868" w:type="pct"/>
            <w:vAlign w:val="center"/>
          </w:tcPr>
          <w:p w14:paraId="2669ACEB" w14:textId="5557831A"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Centras</w:t>
            </w:r>
          </w:p>
        </w:tc>
        <w:tc>
          <w:tcPr>
            <w:tcW w:w="749" w:type="pct"/>
          </w:tcPr>
          <w:p w14:paraId="70226E67" w14:textId="279F4CF4"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5D5110D9" w14:textId="76FB6A8C"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r>
      <w:tr w:rsidR="0030596F" w:rsidRPr="00581015" w14:paraId="62830D32" w14:textId="77777777" w:rsidTr="00D66C08">
        <w:tc>
          <w:tcPr>
            <w:tcW w:w="210" w:type="pct"/>
          </w:tcPr>
          <w:p w14:paraId="05BDA0D2" w14:textId="3172D7AE"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17.</w:t>
            </w:r>
          </w:p>
        </w:tc>
        <w:tc>
          <w:tcPr>
            <w:tcW w:w="1585" w:type="pct"/>
          </w:tcPr>
          <w:p w14:paraId="56CF3F7A" w14:textId="2CBC08EC" w:rsidR="0030596F" w:rsidRPr="00581015" w:rsidRDefault="0030596F" w:rsidP="00D66C08">
            <w:pPr>
              <w:rPr>
                <w:rFonts w:ascii="Times New Roman" w:hAnsi="Times New Roman" w:cs="Times New Roman"/>
                <w:sz w:val="24"/>
                <w:szCs w:val="24"/>
              </w:rPr>
            </w:pPr>
            <w:r w:rsidRPr="00581015">
              <w:rPr>
                <w:rStyle w:val="Bodytext212ptNotBold"/>
                <w:rFonts w:eastAsiaTheme="minorHAnsi"/>
                <w:b w:val="0"/>
                <w:bCs w:val="0"/>
                <w:color w:val="auto"/>
              </w:rPr>
              <w:t>Užtikrinti pakankamą personalo administravimo funkcijas atliekančių darbuotojų pareigybių skaičių. Atlikti konkursų į reikiamų papildomų darbuotojų pareigas ir šių darbuotojų įdarbinimo procedūras</w:t>
            </w:r>
          </w:p>
        </w:tc>
        <w:tc>
          <w:tcPr>
            <w:tcW w:w="838" w:type="pct"/>
            <w:vAlign w:val="center"/>
          </w:tcPr>
          <w:p w14:paraId="67C30515" w14:textId="3E7E5AB2"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4 savaitės iki konsolidavimo pradžios</w:t>
            </w:r>
          </w:p>
        </w:tc>
        <w:tc>
          <w:tcPr>
            <w:tcW w:w="868" w:type="pct"/>
            <w:vAlign w:val="center"/>
          </w:tcPr>
          <w:p w14:paraId="3FA6E7B2" w14:textId="4C17025E" w:rsidR="0030596F" w:rsidRPr="00581015" w:rsidRDefault="0030596F" w:rsidP="0030596F">
            <w:pPr>
              <w:pStyle w:val="Bodytext20"/>
              <w:shd w:val="clear" w:color="auto" w:fill="auto"/>
              <w:spacing w:before="0" w:after="60" w:line="240" w:lineRule="exact"/>
              <w:rPr>
                <w:b w:val="0"/>
                <w:bCs w:val="0"/>
                <w:sz w:val="24"/>
                <w:szCs w:val="24"/>
              </w:rPr>
            </w:pPr>
            <w:r w:rsidRPr="00581015">
              <w:rPr>
                <w:rStyle w:val="Bodytext212ptNotBold"/>
                <w:color w:val="auto"/>
              </w:rPr>
              <w:t>Centras,  Finansų ministerija</w:t>
            </w:r>
          </w:p>
        </w:tc>
        <w:tc>
          <w:tcPr>
            <w:tcW w:w="749" w:type="pct"/>
          </w:tcPr>
          <w:p w14:paraId="35063860" w14:textId="2558079B"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6448A7E1" w14:textId="302A0E8B" w:rsidR="0030596F" w:rsidRDefault="00CC4D92" w:rsidP="0030596F">
            <w:pPr>
              <w:rPr>
                <w:rFonts w:ascii="Times New Roman" w:hAnsi="Times New Roman" w:cs="Times New Roman"/>
                <w:sz w:val="24"/>
                <w:szCs w:val="24"/>
              </w:rPr>
            </w:pPr>
            <w:r>
              <w:rPr>
                <w:rFonts w:ascii="Times New Roman" w:hAnsi="Times New Roman" w:cs="Times New Roman"/>
                <w:sz w:val="24"/>
                <w:szCs w:val="24"/>
              </w:rPr>
              <w:t>93</w:t>
            </w:r>
          </w:p>
          <w:p w14:paraId="448408B9" w14:textId="087D48E9" w:rsidR="00BC4FEB" w:rsidRDefault="00BC4FEB" w:rsidP="0030596F">
            <w:pPr>
              <w:rPr>
                <w:rFonts w:ascii="Times New Roman" w:hAnsi="Times New Roman" w:cs="Times New Roman"/>
                <w:sz w:val="24"/>
                <w:szCs w:val="24"/>
              </w:rPr>
            </w:pPr>
            <w:r>
              <w:rPr>
                <w:rFonts w:ascii="Times New Roman" w:hAnsi="Times New Roman" w:cs="Times New Roman"/>
                <w:sz w:val="24"/>
                <w:szCs w:val="24"/>
              </w:rPr>
              <w:t>Pakankamas personalo administravimo funkcijas atliekančių darbuotojų pareigybių skaičius yra užtikrintas</w:t>
            </w:r>
            <w:r w:rsidR="00E62BD5">
              <w:rPr>
                <w:rFonts w:ascii="Times New Roman" w:hAnsi="Times New Roman" w:cs="Times New Roman"/>
                <w:sz w:val="24"/>
                <w:szCs w:val="24"/>
              </w:rPr>
              <w:t xml:space="preserve"> (100 </w:t>
            </w:r>
            <w:proofErr w:type="spellStart"/>
            <w:r w:rsidR="00E62BD5">
              <w:rPr>
                <w:rFonts w:ascii="Times New Roman" w:hAnsi="Times New Roman" w:cs="Times New Roman"/>
                <w:sz w:val="24"/>
                <w:szCs w:val="24"/>
              </w:rPr>
              <w:t>proc</w:t>
            </w:r>
            <w:proofErr w:type="spellEnd"/>
            <w:r w:rsidR="00E62BD5">
              <w:rPr>
                <w:rFonts w:ascii="Times New Roman" w:hAnsi="Times New Roman" w:cs="Times New Roman"/>
                <w:sz w:val="24"/>
                <w:szCs w:val="24"/>
              </w:rPr>
              <w:t>,)</w:t>
            </w:r>
            <w:r>
              <w:rPr>
                <w:rFonts w:ascii="Times New Roman" w:hAnsi="Times New Roman" w:cs="Times New Roman"/>
                <w:sz w:val="24"/>
                <w:szCs w:val="24"/>
              </w:rPr>
              <w:t xml:space="preserve">, </w:t>
            </w:r>
            <w:r w:rsidR="00D66C08">
              <w:rPr>
                <w:rFonts w:ascii="Times New Roman" w:hAnsi="Times New Roman" w:cs="Times New Roman"/>
                <w:sz w:val="24"/>
                <w:szCs w:val="24"/>
              </w:rPr>
              <w:t>konkursai į pareigas įvyko</w:t>
            </w:r>
            <w:r w:rsidR="00E62BD5">
              <w:rPr>
                <w:rFonts w:ascii="Times New Roman" w:hAnsi="Times New Roman" w:cs="Times New Roman"/>
                <w:sz w:val="24"/>
                <w:szCs w:val="24"/>
              </w:rPr>
              <w:t xml:space="preserve"> (100 </w:t>
            </w:r>
            <w:proofErr w:type="spellStart"/>
            <w:r w:rsidR="00E62BD5">
              <w:rPr>
                <w:rFonts w:ascii="Times New Roman" w:hAnsi="Times New Roman" w:cs="Times New Roman"/>
                <w:sz w:val="24"/>
                <w:szCs w:val="24"/>
              </w:rPr>
              <w:t>proc</w:t>
            </w:r>
            <w:proofErr w:type="spellEnd"/>
            <w:r w:rsidR="00E62BD5">
              <w:rPr>
                <w:rFonts w:ascii="Times New Roman" w:hAnsi="Times New Roman" w:cs="Times New Roman"/>
                <w:sz w:val="24"/>
                <w:szCs w:val="24"/>
              </w:rPr>
              <w:t>)</w:t>
            </w:r>
            <w:r w:rsidR="00D66C08">
              <w:rPr>
                <w:rFonts w:ascii="Times New Roman" w:hAnsi="Times New Roman" w:cs="Times New Roman"/>
                <w:sz w:val="24"/>
                <w:szCs w:val="24"/>
              </w:rPr>
              <w:t xml:space="preserve">, tačiau dėl kompetentingų žmogiškųjų išteklių trūkumo darbo rinkoje į 6 pareigybes iš </w:t>
            </w:r>
            <w:r w:rsidR="00CC4D92">
              <w:rPr>
                <w:rFonts w:ascii="Times New Roman" w:hAnsi="Times New Roman" w:cs="Times New Roman"/>
                <w:sz w:val="24"/>
                <w:szCs w:val="24"/>
              </w:rPr>
              <w:t xml:space="preserve">27 </w:t>
            </w:r>
            <w:r w:rsidR="00D66C08">
              <w:rPr>
                <w:rFonts w:ascii="Times New Roman" w:hAnsi="Times New Roman" w:cs="Times New Roman"/>
                <w:sz w:val="24"/>
                <w:szCs w:val="24"/>
              </w:rPr>
              <w:t>darbuotoj</w:t>
            </w:r>
            <w:r w:rsidR="00CC4D92">
              <w:rPr>
                <w:rFonts w:ascii="Times New Roman" w:hAnsi="Times New Roman" w:cs="Times New Roman"/>
                <w:sz w:val="24"/>
                <w:szCs w:val="24"/>
              </w:rPr>
              <w:t>ai</w:t>
            </w:r>
            <w:r w:rsidR="00E62BD5">
              <w:rPr>
                <w:rFonts w:ascii="Times New Roman" w:hAnsi="Times New Roman" w:cs="Times New Roman"/>
                <w:sz w:val="24"/>
                <w:szCs w:val="24"/>
              </w:rPr>
              <w:t xml:space="preserve"> dar</w:t>
            </w:r>
            <w:r w:rsidR="00D66C08">
              <w:rPr>
                <w:rFonts w:ascii="Times New Roman" w:hAnsi="Times New Roman" w:cs="Times New Roman"/>
                <w:sz w:val="24"/>
                <w:szCs w:val="24"/>
              </w:rPr>
              <w:t xml:space="preserve"> nėra priimti</w:t>
            </w:r>
            <w:r w:rsidR="00E62BD5">
              <w:rPr>
                <w:rFonts w:ascii="Times New Roman" w:hAnsi="Times New Roman" w:cs="Times New Roman"/>
                <w:sz w:val="24"/>
                <w:szCs w:val="24"/>
              </w:rPr>
              <w:t xml:space="preserve"> (</w:t>
            </w:r>
            <w:r w:rsidR="00CC4D92">
              <w:rPr>
                <w:rFonts w:ascii="Times New Roman" w:hAnsi="Times New Roman" w:cs="Times New Roman"/>
                <w:sz w:val="24"/>
                <w:szCs w:val="24"/>
              </w:rPr>
              <w:t>78</w:t>
            </w:r>
            <w:r w:rsidR="00E62BD5">
              <w:rPr>
                <w:rFonts w:ascii="Times New Roman" w:hAnsi="Times New Roman" w:cs="Times New Roman"/>
                <w:sz w:val="24"/>
                <w:szCs w:val="24"/>
              </w:rPr>
              <w:t xml:space="preserve"> proc.)</w:t>
            </w:r>
            <w:r w:rsidR="00D66C08">
              <w:rPr>
                <w:rFonts w:ascii="Times New Roman" w:hAnsi="Times New Roman" w:cs="Times New Roman"/>
                <w:sz w:val="24"/>
                <w:szCs w:val="24"/>
              </w:rPr>
              <w:t xml:space="preserve"> </w:t>
            </w:r>
            <w:r w:rsidR="00E62BD5">
              <w:rPr>
                <w:rFonts w:ascii="Times New Roman" w:hAnsi="Times New Roman" w:cs="Times New Roman"/>
                <w:sz w:val="24"/>
                <w:szCs w:val="24"/>
              </w:rPr>
              <w:t xml:space="preserve">Šiuo metu toliau yra vykdomi konkursai neužimtoms pareigybėms. </w:t>
            </w:r>
          </w:p>
        </w:tc>
      </w:tr>
      <w:tr w:rsidR="0030596F" w:rsidRPr="00581015" w14:paraId="4A5B7368" w14:textId="77777777" w:rsidTr="0030596F">
        <w:tc>
          <w:tcPr>
            <w:tcW w:w="210" w:type="pct"/>
          </w:tcPr>
          <w:p w14:paraId="64021624" w14:textId="42D99CD2"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18.</w:t>
            </w:r>
          </w:p>
        </w:tc>
        <w:tc>
          <w:tcPr>
            <w:tcW w:w="1585" w:type="pct"/>
            <w:vAlign w:val="bottom"/>
          </w:tcPr>
          <w:p w14:paraId="3F184503" w14:textId="0350E899" w:rsidR="0030596F" w:rsidRPr="00581015" w:rsidRDefault="0030596F" w:rsidP="0030596F">
            <w:pPr>
              <w:rPr>
                <w:rFonts w:ascii="Times New Roman" w:hAnsi="Times New Roman" w:cs="Times New Roman"/>
                <w:sz w:val="24"/>
                <w:szCs w:val="24"/>
              </w:rPr>
            </w:pPr>
            <w:r w:rsidRPr="00581015">
              <w:rPr>
                <w:rStyle w:val="Bodytext212ptNotBold"/>
                <w:rFonts w:eastAsiaTheme="minorHAnsi"/>
                <w:b w:val="0"/>
                <w:bCs w:val="0"/>
                <w:color w:val="auto"/>
              </w:rPr>
              <w:t xml:space="preserve">Apmokyti Įstaigas aptarnausiančius darbuotojus dirbti su VATARAS / VATIS, Įstaigų personalo administravimo </w:t>
            </w:r>
            <w:r w:rsidRPr="00581015">
              <w:rPr>
                <w:rStyle w:val="Bodytext212ptNotBold"/>
                <w:rFonts w:eastAsiaTheme="minorHAnsi"/>
                <w:b w:val="0"/>
                <w:bCs w:val="0"/>
                <w:color w:val="auto"/>
              </w:rPr>
              <w:lastRenderedPageBreak/>
              <w:t>ir Centro dokumentų valdymo informacinėmis sistemomis tiek, kiek to reikia Personalo administravimo funkcijų centralizuoto atlikimo tvarkos apraše, patvirtintame Lietuvos Respublikos Vyriausybės 2018 m. gegužės 30 d. nutarimu Nr. 507, nurodytoms funkcijoms atlikti, ir išsamiai supažindinti su personalo administravimą viešajame sektoriuje reglamentuojančiais teisės aktais</w:t>
            </w:r>
          </w:p>
        </w:tc>
        <w:tc>
          <w:tcPr>
            <w:tcW w:w="838" w:type="pct"/>
            <w:vAlign w:val="center"/>
          </w:tcPr>
          <w:p w14:paraId="211C4714" w14:textId="308C20EA"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lastRenderedPageBreak/>
              <w:t>Iki konsolidavimo pradžios</w:t>
            </w:r>
          </w:p>
        </w:tc>
        <w:tc>
          <w:tcPr>
            <w:tcW w:w="868" w:type="pct"/>
            <w:vAlign w:val="center"/>
          </w:tcPr>
          <w:p w14:paraId="54DF8C94" w14:textId="2EF13EB3" w:rsidR="0030596F" w:rsidRPr="00581015" w:rsidRDefault="0030596F" w:rsidP="0030596F">
            <w:pPr>
              <w:pStyle w:val="Bodytext20"/>
              <w:shd w:val="clear" w:color="auto" w:fill="auto"/>
              <w:spacing w:before="0" w:after="60" w:line="240" w:lineRule="exact"/>
              <w:rPr>
                <w:b w:val="0"/>
                <w:bCs w:val="0"/>
                <w:sz w:val="24"/>
                <w:szCs w:val="24"/>
              </w:rPr>
            </w:pPr>
            <w:r w:rsidRPr="00581015">
              <w:rPr>
                <w:rStyle w:val="Bodytext212ptNotBold"/>
                <w:color w:val="auto"/>
              </w:rPr>
              <w:t>Centras, Įstaigos</w:t>
            </w:r>
          </w:p>
        </w:tc>
        <w:tc>
          <w:tcPr>
            <w:tcW w:w="749" w:type="pct"/>
          </w:tcPr>
          <w:p w14:paraId="7DE49C88" w14:textId="3D288C6B" w:rsidR="0030596F" w:rsidRPr="008279A6" w:rsidRDefault="0030596F" w:rsidP="0030596F">
            <w:pPr>
              <w:rPr>
                <w:rFonts w:ascii="Times New Roman" w:hAnsi="Times New Roman" w:cs="Times New Roman"/>
                <w:sz w:val="24"/>
                <w:szCs w:val="24"/>
                <w:highlight w:val="red"/>
              </w:rPr>
            </w:pPr>
            <w:r>
              <w:rPr>
                <w:rFonts w:ascii="Times New Roman" w:hAnsi="Times New Roman" w:cs="Times New Roman"/>
                <w:sz w:val="24"/>
                <w:szCs w:val="24"/>
              </w:rPr>
              <w:t>100</w:t>
            </w:r>
          </w:p>
        </w:tc>
        <w:tc>
          <w:tcPr>
            <w:tcW w:w="749" w:type="pct"/>
          </w:tcPr>
          <w:p w14:paraId="1D21454A" w14:textId="2CF3C27F" w:rsidR="0030596F" w:rsidRPr="00D66C08" w:rsidRDefault="00CC4D92" w:rsidP="0030596F">
            <w:pPr>
              <w:rPr>
                <w:rFonts w:ascii="Times New Roman" w:hAnsi="Times New Roman" w:cs="Times New Roman"/>
                <w:sz w:val="24"/>
                <w:szCs w:val="24"/>
              </w:rPr>
            </w:pPr>
            <w:r>
              <w:rPr>
                <w:rFonts w:ascii="Times New Roman" w:hAnsi="Times New Roman" w:cs="Times New Roman"/>
                <w:sz w:val="24"/>
                <w:szCs w:val="24"/>
              </w:rPr>
              <w:t>78</w:t>
            </w:r>
          </w:p>
          <w:p w14:paraId="6B8AFB4A" w14:textId="7C3B1372" w:rsidR="00D66C08" w:rsidRPr="008279A6" w:rsidRDefault="00D66C08" w:rsidP="0030596F">
            <w:pPr>
              <w:rPr>
                <w:rFonts w:ascii="Times New Roman" w:hAnsi="Times New Roman" w:cs="Times New Roman"/>
                <w:sz w:val="24"/>
                <w:szCs w:val="24"/>
                <w:highlight w:val="red"/>
              </w:rPr>
            </w:pPr>
            <w:r>
              <w:rPr>
                <w:rFonts w:ascii="Times New Roman" w:hAnsi="Times New Roman" w:cs="Times New Roman"/>
                <w:sz w:val="24"/>
                <w:szCs w:val="24"/>
              </w:rPr>
              <w:t xml:space="preserve">Apmokyti yra visi </w:t>
            </w:r>
            <w:r w:rsidR="00CC4D92">
              <w:rPr>
                <w:rFonts w:ascii="Times New Roman" w:hAnsi="Times New Roman" w:cs="Times New Roman"/>
                <w:sz w:val="24"/>
                <w:szCs w:val="24"/>
              </w:rPr>
              <w:t>21</w:t>
            </w:r>
            <w:r w:rsidR="000D5B01">
              <w:rPr>
                <w:rFonts w:ascii="Times New Roman" w:hAnsi="Times New Roman" w:cs="Times New Roman"/>
                <w:sz w:val="24"/>
                <w:szCs w:val="24"/>
              </w:rPr>
              <w:t xml:space="preserve"> </w:t>
            </w:r>
            <w:r>
              <w:rPr>
                <w:rFonts w:ascii="Times New Roman" w:hAnsi="Times New Roman" w:cs="Times New Roman"/>
                <w:sz w:val="24"/>
                <w:szCs w:val="24"/>
              </w:rPr>
              <w:t xml:space="preserve">į pareigas </w:t>
            </w:r>
            <w:r>
              <w:rPr>
                <w:rFonts w:ascii="Times New Roman" w:hAnsi="Times New Roman" w:cs="Times New Roman"/>
                <w:sz w:val="24"/>
                <w:szCs w:val="24"/>
              </w:rPr>
              <w:lastRenderedPageBreak/>
              <w:t>priimti darbuotojai. Įvykdymo lygi</w:t>
            </w:r>
            <w:r w:rsidR="000D5B01">
              <w:rPr>
                <w:rFonts w:ascii="Times New Roman" w:hAnsi="Times New Roman" w:cs="Times New Roman"/>
                <w:sz w:val="24"/>
                <w:szCs w:val="24"/>
              </w:rPr>
              <w:t>o procentas</w:t>
            </w:r>
            <w:r>
              <w:rPr>
                <w:rFonts w:ascii="Times New Roman" w:hAnsi="Times New Roman" w:cs="Times New Roman"/>
                <w:sz w:val="24"/>
                <w:szCs w:val="24"/>
              </w:rPr>
              <w:t xml:space="preserve"> pateiktas įskaitant</w:t>
            </w:r>
            <w:r w:rsidR="000D5B01">
              <w:rPr>
                <w:rFonts w:ascii="Times New Roman" w:hAnsi="Times New Roman" w:cs="Times New Roman"/>
                <w:sz w:val="24"/>
                <w:szCs w:val="24"/>
              </w:rPr>
              <w:t xml:space="preserve"> visas </w:t>
            </w:r>
            <w:r w:rsidR="000D5B01" w:rsidRPr="00581015">
              <w:rPr>
                <w:rStyle w:val="Bodytext212ptNotBold"/>
                <w:rFonts w:eastAsiaTheme="minorHAnsi"/>
                <w:b w:val="0"/>
                <w:bCs w:val="0"/>
                <w:color w:val="auto"/>
              </w:rPr>
              <w:t>personalo administravimo funkcijas atliekančių darbuotojų pareigyb</w:t>
            </w:r>
            <w:r w:rsidR="000D5B01">
              <w:rPr>
                <w:rStyle w:val="Bodytext212ptNotBold"/>
                <w:rFonts w:eastAsiaTheme="minorHAnsi"/>
                <w:b w:val="0"/>
                <w:bCs w:val="0"/>
                <w:color w:val="auto"/>
              </w:rPr>
              <w:t>e</w:t>
            </w:r>
            <w:r w:rsidR="000D5B01">
              <w:rPr>
                <w:rStyle w:val="Bodytext212ptNotBold"/>
                <w:rFonts w:eastAsiaTheme="minorHAnsi"/>
              </w:rPr>
              <w:t xml:space="preserve">s </w:t>
            </w:r>
            <w:r w:rsidR="000D5B01" w:rsidRPr="000D5B01">
              <w:rPr>
                <w:rStyle w:val="Bodytext212ptNotBold"/>
                <w:rFonts w:eastAsiaTheme="minorHAnsi"/>
                <w:b w:val="0"/>
                <w:bCs w:val="0"/>
              </w:rPr>
              <w:t>(</w:t>
            </w:r>
            <w:r w:rsidR="00CC4D92">
              <w:rPr>
                <w:rStyle w:val="Bodytext212ptNotBold"/>
                <w:rFonts w:eastAsiaTheme="minorHAnsi"/>
                <w:b w:val="0"/>
                <w:bCs w:val="0"/>
              </w:rPr>
              <w:t>27</w:t>
            </w:r>
            <w:r w:rsidR="000D5B01" w:rsidRPr="000D5B01">
              <w:rPr>
                <w:rStyle w:val="Bodytext212ptNotBold"/>
                <w:rFonts w:eastAsiaTheme="minorHAnsi"/>
                <w:b w:val="0"/>
                <w:bCs w:val="0"/>
              </w:rPr>
              <w:t>)</w:t>
            </w:r>
            <w:r w:rsidR="000D5B01">
              <w:rPr>
                <w:rStyle w:val="Bodytext212ptNotBold"/>
                <w:rFonts w:eastAsiaTheme="minorHAnsi"/>
                <w:b w:val="0"/>
                <w:bCs w:val="0"/>
              </w:rPr>
              <w:t>.</w:t>
            </w:r>
          </w:p>
          <w:p w14:paraId="3EEDAD7A" w14:textId="77777777" w:rsidR="0030596F" w:rsidRPr="008279A6" w:rsidRDefault="0030596F" w:rsidP="0030596F">
            <w:pPr>
              <w:rPr>
                <w:rFonts w:ascii="Times New Roman" w:hAnsi="Times New Roman" w:cs="Times New Roman"/>
                <w:sz w:val="24"/>
                <w:szCs w:val="24"/>
                <w:highlight w:val="red"/>
              </w:rPr>
            </w:pPr>
          </w:p>
        </w:tc>
      </w:tr>
      <w:tr w:rsidR="0030596F" w:rsidRPr="00581015" w14:paraId="3434A3B9" w14:textId="77777777" w:rsidTr="0030596F">
        <w:tc>
          <w:tcPr>
            <w:tcW w:w="210" w:type="pct"/>
          </w:tcPr>
          <w:p w14:paraId="2D1A0E60" w14:textId="153FC21B"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19.</w:t>
            </w:r>
          </w:p>
        </w:tc>
        <w:tc>
          <w:tcPr>
            <w:tcW w:w="1585" w:type="pct"/>
            <w:vAlign w:val="bottom"/>
          </w:tcPr>
          <w:p w14:paraId="5BA65137" w14:textId="6F5D5A52"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Organizuoti susitikimus su paskirtais atsakingais Įstaigų darbuotojais personalo administravimo procesams ir tolesnio bendradarbiavimo formoms aptarti</w:t>
            </w:r>
          </w:p>
        </w:tc>
        <w:tc>
          <w:tcPr>
            <w:tcW w:w="838" w:type="pct"/>
            <w:vAlign w:val="center"/>
          </w:tcPr>
          <w:p w14:paraId="16868ABE" w14:textId="3435A532"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10 savaičių iki konsolidavimo pradžios</w:t>
            </w:r>
          </w:p>
        </w:tc>
        <w:tc>
          <w:tcPr>
            <w:tcW w:w="868" w:type="pct"/>
            <w:vAlign w:val="center"/>
          </w:tcPr>
          <w:p w14:paraId="428553BF" w14:textId="2A0901B1"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Centras</w:t>
            </w:r>
          </w:p>
        </w:tc>
        <w:tc>
          <w:tcPr>
            <w:tcW w:w="749" w:type="pct"/>
          </w:tcPr>
          <w:p w14:paraId="6DC531E2" w14:textId="579FA6CF"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077C7450" w14:textId="68B09D37"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r>
      <w:tr w:rsidR="0030596F" w:rsidRPr="00581015" w14:paraId="06FC8447" w14:textId="77777777" w:rsidTr="0030596F">
        <w:tc>
          <w:tcPr>
            <w:tcW w:w="210" w:type="pct"/>
          </w:tcPr>
          <w:p w14:paraId="1F6659E0" w14:textId="33A31064"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20.</w:t>
            </w:r>
          </w:p>
        </w:tc>
        <w:tc>
          <w:tcPr>
            <w:tcW w:w="1585" w:type="pct"/>
            <w:vAlign w:val="center"/>
          </w:tcPr>
          <w:p w14:paraId="3492A697" w14:textId="359A2952"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Pateikti Įstaigoms personalo administravimo procesų aprašus, informacijos ir duomenų gavimo bei pavyzdines įsakymų formas</w:t>
            </w:r>
          </w:p>
        </w:tc>
        <w:tc>
          <w:tcPr>
            <w:tcW w:w="838" w:type="pct"/>
            <w:vAlign w:val="center"/>
          </w:tcPr>
          <w:p w14:paraId="790DBBE1" w14:textId="2B6BDE4D"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4 savaitės iki konsolidavimo pradžios</w:t>
            </w:r>
          </w:p>
        </w:tc>
        <w:tc>
          <w:tcPr>
            <w:tcW w:w="868" w:type="pct"/>
            <w:vAlign w:val="center"/>
          </w:tcPr>
          <w:p w14:paraId="1EED9C74" w14:textId="6B09E7FF"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Centras</w:t>
            </w:r>
          </w:p>
        </w:tc>
        <w:tc>
          <w:tcPr>
            <w:tcW w:w="749" w:type="pct"/>
          </w:tcPr>
          <w:p w14:paraId="41701F66" w14:textId="22CF270C"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c>
          <w:tcPr>
            <w:tcW w:w="749" w:type="pct"/>
          </w:tcPr>
          <w:p w14:paraId="6CED7448" w14:textId="5A8C3C2B" w:rsidR="0030596F" w:rsidRDefault="0030596F" w:rsidP="0030596F">
            <w:pPr>
              <w:rPr>
                <w:rFonts w:ascii="Times New Roman" w:hAnsi="Times New Roman" w:cs="Times New Roman"/>
                <w:sz w:val="24"/>
                <w:szCs w:val="24"/>
              </w:rPr>
            </w:pPr>
            <w:r>
              <w:rPr>
                <w:rFonts w:ascii="Times New Roman" w:hAnsi="Times New Roman" w:cs="Times New Roman"/>
                <w:sz w:val="24"/>
                <w:szCs w:val="24"/>
              </w:rPr>
              <w:t>100</w:t>
            </w:r>
          </w:p>
        </w:tc>
      </w:tr>
      <w:tr w:rsidR="0030596F" w:rsidRPr="00581015" w14:paraId="634C102D" w14:textId="77777777" w:rsidTr="0030596F">
        <w:tc>
          <w:tcPr>
            <w:tcW w:w="210" w:type="pct"/>
          </w:tcPr>
          <w:p w14:paraId="79ED4BD6" w14:textId="6FE05E6D"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21.</w:t>
            </w:r>
          </w:p>
        </w:tc>
        <w:tc>
          <w:tcPr>
            <w:tcW w:w="1585" w:type="pct"/>
          </w:tcPr>
          <w:p w14:paraId="1F83397F" w14:textId="46687188" w:rsidR="0030596F" w:rsidRPr="00581015" w:rsidRDefault="0030596F" w:rsidP="0030596F">
            <w:pPr>
              <w:rPr>
                <w:rFonts w:ascii="Times New Roman" w:hAnsi="Times New Roman" w:cs="Times New Roman"/>
                <w:sz w:val="24"/>
                <w:szCs w:val="24"/>
              </w:rPr>
            </w:pPr>
            <w:r w:rsidRPr="00581015">
              <w:rPr>
                <w:rStyle w:val="Bodytext212ptNotBold"/>
                <w:rFonts w:eastAsiaTheme="minorHAnsi"/>
                <w:b w:val="0"/>
                <w:bCs w:val="0"/>
                <w:color w:val="auto"/>
              </w:rPr>
              <w:t>Užtikrinti papildomų Centro darbo vietų įrengimą Kauno, Klaipėdos, Šiaulių, Panevėžio, Marijampolės, Alytaus, Telšių ir Utenos apskrityse</w:t>
            </w:r>
          </w:p>
        </w:tc>
        <w:tc>
          <w:tcPr>
            <w:tcW w:w="838" w:type="pct"/>
            <w:vAlign w:val="center"/>
          </w:tcPr>
          <w:p w14:paraId="08416E38" w14:textId="152AC3A7"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2 savaitės iki konsolidavimo pradžios</w:t>
            </w:r>
          </w:p>
        </w:tc>
        <w:tc>
          <w:tcPr>
            <w:tcW w:w="868" w:type="pct"/>
            <w:vAlign w:val="center"/>
          </w:tcPr>
          <w:p w14:paraId="3DF0157F" w14:textId="77777777" w:rsidR="0030596F" w:rsidRPr="00581015" w:rsidRDefault="0030596F" w:rsidP="0030596F">
            <w:pPr>
              <w:pStyle w:val="Bodytext20"/>
              <w:shd w:val="clear" w:color="auto" w:fill="auto"/>
              <w:spacing w:before="0"/>
              <w:rPr>
                <w:b w:val="0"/>
                <w:bCs w:val="0"/>
                <w:sz w:val="24"/>
                <w:szCs w:val="24"/>
              </w:rPr>
            </w:pPr>
            <w:r w:rsidRPr="00581015">
              <w:rPr>
                <w:rStyle w:val="Bodytext212ptNotBold"/>
                <w:color w:val="auto"/>
              </w:rPr>
              <w:t>Centras,</w:t>
            </w:r>
          </w:p>
          <w:p w14:paraId="512E0CD8" w14:textId="3E756D8C"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Finansų ministerija, VĮ Turto bankas</w:t>
            </w:r>
          </w:p>
        </w:tc>
        <w:tc>
          <w:tcPr>
            <w:tcW w:w="749" w:type="pct"/>
          </w:tcPr>
          <w:p w14:paraId="6BB4E479" w14:textId="0019B4A8" w:rsidR="0030596F" w:rsidRPr="00581015" w:rsidRDefault="0030596F" w:rsidP="0030596F">
            <w:pPr>
              <w:rPr>
                <w:rFonts w:ascii="Times New Roman" w:hAnsi="Times New Roman" w:cs="Times New Roman"/>
                <w:sz w:val="24"/>
                <w:szCs w:val="24"/>
              </w:rPr>
            </w:pPr>
            <w:r w:rsidRPr="00F23D2E">
              <w:rPr>
                <w:rFonts w:ascii="Times New Roman" w:hAnsi="Times New Roman" w:cs="Times New Roman"/>
                <w:sz w:val="24"/>
                <w:szCs w:val="24"/>
              </w:rPr>
              <w:t>Šiame konsolidavimo etape nebuvo identifikuotas poreikis darbo vietoms kitose apskrityse</w:t>
            </w:r>
          </w:p>
        </w:tc>
        <w:tc>
          <w:tcPr>
            <w:tcW w:w="749" w:type="pct"/>
          </w:tcPr>
          <w:p w14:paraId="5C5ECAB3" w14:textId="50ED1AC2"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Papildomos Centro darbo vietos įrengtos Kauno ir Klaipėdos miestuose</w:t>
            </w:r>
          </w:p>
        </w:tc>
      </w:tr>
      <w:tr w:rsidR="0030596F" w:rsidRPr="00581015" w14:paraId="2515FC75" w14:textId="77777777" w:rsidTr="0030596F">
        <w:tc>
          <w:tcPr>
            <w:tcW w:w="210" w:type="pct"/>
          </w:tcPr>
          <w:p w14:paraId="4E2B94D6" w14:textId="6B01BBAC"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lastRenderedPageBreak/>
              <w:t>22.</w:t>
            </w:r>
          </w:p>
        </w:tc>
        <w:tc>
          <w:tcPr>
            <w:tcW w:w="1585" w:type="pct"/>
          </w:tcPr>
          <w:p w14:paraId="78F9B1AD" w14:textId="09A6A870" w:rsidR="0030596F" w:rsidRPr="00581015" w:rsidRDefault="0030596F" w:rsidP="0030596F">
            <w:pPr>
              <w:rPr>
                <w:rFonts w:ascii="Times New Roman" w:hAnsi="Times New Roman" w:cs="Times New Roman"/>
                <w:sz w:val="24"/>
                <w:szCs w:val="24"/>
              </w:rPr>
            </w:pPr>
            <w:r w:rsidRPr="00581015">
              <w:rPr>
                <w:rStyle w:val="Bodytext212ptNotBold"/>
                <w:rFonts w:eastAsiaTheme="minorHAnsi"/>
                <w:b w:val="0"/>
                <w:bCs w:val="0"/>
                <w:color w:val="auto"/>
              </w:rPr>
              <w:t>Užtikrinti reikalingų Įstaigų informacinių technologijų sistemų pasiekiamumą Centro darbuotojų darbo vietose</w:t>
            </w:r>
          </w:p>
        </w:tc>
        <w:tc>
          <w:tcPr>
            <w:tcW w:w="838" w:type="pct"/>
            <w:vAlign w:val="center"/>
          </w:tcPr>
          <w:p w14:paraId="1E22352F" w14:textId="4A863744"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Iki konsolidavimo pradžios</w:t>
            </w:r>
          </w:p>
        </w:tc>
        <w:tc>
          <w:tcPr>
            <w:tcW w:w="868" w:type="pct"/>
            <w:vAlign w:val="center"/>
          </w:tcPr>
          <w:p w14:paraId="026B467D" w14:textId="77777777" w:rsidR="0030596F" w:rsidRPr="00581015" w:rsidRDefault="0030596F" w:rsidP="0030596F">
            <w:pPr>
              <w:pStyle w:val="Bodytext20"/>
              <w:shd w:val="clear" w:color="auto" w:fill="auto"/>
              <w:spacing w:before="0" w:after="60" w:line="240" w:lineRule="exact"/>
              <w:rPr>
                <w:b w:val="0"/>
                <w:bCs w:val="0"/>
                <w:sz w:val="24"/>
                <w:szCs w:val="24"/>
              </w:rPr>
            </w:pPr>
            <w:r w:rsidRPr="00581015">
              <w:rPr>
                <w:rStyle w:val="Bodytext212ptNotBold"/>
                <w:color w:val="auto"/>
              </w:rPr>
              <w:t>Centras,</w:t>
            </w:r>
          </w:p>
          <w:p w14:paraId="215EFEF4" w14:textId="687BE1E7" w:rsidR="0030596F" w:rsidRPr="00581015" w:rsidRDefault="0030596F" w:rsidP="0030596F">
            <w:pPr>
              <w:jc w:val="center"/>
              <w:rPr>
                <w:rFonts w:ascii="Times New Roman" w:hAnsi="Times New Roman" w:cs="Times New Roman"/>
                <w:sz w:val="24"/>
                <w:szCs w:val="24"/>
              </w:rPr>
            </w:pPr>
            <w:r w:rsidRPr="00581015">
              <w:rPr>
                <w:rStyle w:val="Bodytext212ptNotBold"/>
                <w:rFonts w:eastAsiaTheme="minorHAnsi"/>
                <w:b w:val="0"/>
                <w:bCs w:val="0"/>
                <w:color w:val="auto"/>
              </w:rPr>
              <w:t>Įstaigos</w:t>
            </w:r>
          </w:p>
        </w:tc>
        <w:tc>
          <w:tcPr>
            <w:tcW w:w="749" w:type="pct"/>
          </w:tcPr>
          <w:p w14:paraId="75343478" w14:textId="77777777" w:rsidR="0030596F" w:rsidRPr="00F23D2E" w:rsidRDefault="0030596F" w:rsidP="0030596F">
            <w:pPr>
              <w:rPr>
                <w:rFonts w:ascii="Times New Roman" w:hAnsi="Times New Roman" w:cs="Times New Roman"/>
                <w:sz w:val="24"/>
                <w:szCs w:val="24"/>
              </w:rPr>
            </w:pPr>
            <w:r>
              <w:rPr>
                <w:rFonts w:ascii="Times New Roman" w:hAnsi="Times New Roman" w:cs="Times New Roman"/>
                <w:sz w:val="24"/>
                <w:szCs w:val="24"/>
              </w:rPr>
              <w:t>85</w:t>
            </w:r>
          </w:p>
          <w:p w14:paraId="49376934" w14:textId="4317CF09" w:rsidR="0030596F" w:rsidRDefault="0030596F" w:rsidP="0030596F">
            <w:pPr>
              <w:rPr>
                <w:rFonts w:ascii="Times New Roman" w:hAnsi="Times New Roman" w:cs="Times New Roman"/>
                <w:sz w:val="24"/>
                <w:szCs w:val="24"/>
                <w:highlight w:val="red"/>
              </w:rPr>
            </w:pPr>
            <w:r w:rsidRPr="00F23D2E">
              <w:rPr>
                <w:rFonts w:ascii="Times New Roman" w:hAnsi="Times New Roman" w:cs="Times New Roman"/>
                <w:sz w:val="24"/>
                <w:szCs w:val="24"/>
              </w:rPr>
              <w:t>(</w:t>
            </w:r>
            <w:r>
              <w:rPr>
                <w:rFonts w:ascii="Times New Roman" w:hAnsi="Times New Roman" w:cs="Times New Roman"/>
                <w:sz w:val="24"/>
                <w:szCs w:val="24"/>
              </w:rPr>
              <w:t>1</w:t>
            </w:r>
            <w:r w:rsidRPr="00F23D2E">
              <w:rPr>
                <w:rFonts w:ascii="Times New Roman" w:hAnsi="Times New Roman" w:cs="Times New Roman"/>
                <w:sz w:val="24"/>
                <w:szCs w:val="24"/>
              </w:rPr>
              <w:t xml:space="preserve"> įstaigose</w:t>
            </w:r>
            <w:r>
              <w:rPr>
                <w:rFonts w:ascii="Times New Roman" w:hAnsi="Times New Roman" w:cs="Times New Roman"/>
                <w:sz w:val="24"/>
                <w:szCs w:val="24"/>
              </w:rPr>
              <w:t xml:space="preserve"> iš 7,</w:t>
            </w:r>
            <w:r w:rsidRPr="00F23D2E">
              <w:rPr>
                <w:rFonts w:ascii="Times New Roman" w:hAnsi="Times New Roman" w:cs="Times New Roman"/>
                <w:sz w:val="24"/>
                <w:szCs w:val="24"/>
              </w:rPr>
              <w:t xml:space="preserve"> </w:t>
            </w:r>
            <w:r w:rsidR="006B2761" w:rsidRPr="00F23D2E">
              <w:rPr>
                <w:rFonts w:ascii="Times New Roman" w:hAnsi="Times New Roman" w:cs="Times New Roman"/>
                <w:sz w:val="24"/>
                <w:szCs w:val="24"/>
              </w:rPr>
              <w:t>prieig</w:t>
            </w:r>
            <w:r w:rsidR="006B2761">
              <w:rPr>
                <w:rFonts w:ascii="Times New Roman" w:hAnsi="Times New Roman" w:cs="Times New Roman"/>
                <w:sz w:val="24"/>
                <w:szCs w:val="24"/>
              </w:rPr>
              <w:t xml:space="preserve">ų prie </w:t>
            </w:r>
            <w:r w:rsidR="006B2761" w:rsidRPr="00F23D2E">
              <w:rPr>
                <w:rFonts w:ascii="Times New Roman" w:hAnsi="Times New Roman" w:cs="Times New Roman"/>
                <w:sz w:val="24"/>
                <w:szCs w:val="24"/>
              </w:rPr>
              <w:t xml:space="preserve"> </w:t>
            </w:r>
            <w:r w:rsidR="006B2761" w:rsidRPr="00581015">
              <w:rPr>
                <w:rStyle w:val="Bodytext212ptNotBold"/>
                <w:rFonts w:eastAsiaTheme="minorHAnsi"/>
                <w:b w:val="0"/>
                <w:bCs w:val="0"/>
                <w:color w:val="auto"/>
              </w:rPr>
              <w:t>personalo administravimo informacin</w:t>
            </w:r>
            <w:r w:rsidR="006B2761">
              <w:rPr>
                <w:rStyle w:val="Bodytext212ptNotBold"/>
                <w:rFonts w:eastAsiaTheme="minorHAnsi"/>
                <w:b w:val="0"/>
                <w:bCs w:val="0"/>
                <w:color w:val="auto"/>
              </w:rPr>
              <w:t>ių</w:t>
            </w:r>
            <w:r w:rsidR="006B2761" w:rsidRPr="00581015">
              <w:rPr>
                <w:rStyle w:val="Bodytext212ptNotBold"/>
                <w:rFonts w:eastAsiaTheme="minorHAnsi"/>
                <w:b w:val="0"/>
                <w:bCs w:val="0"/>
                <w:color w:val="auto"/>
              </w:rPr>
              <w:t xml:space="preserve"> sistem</w:t>
            </w:r>
            <w:r w:rsidR="006B2761">
              <w:rPr>
                <w:rStyle w:val="Bodytext212ptNotBold"/>
                <w:rFonts w:eastAsiaTheme="minorHAnsi"/>
                <w:b w:val="0"/>
                <w:bCs w:val="0"/>
                <w:color w:val="auto"/>
              </w:rPr>
              <w:t>ų</w:t>
            </w:r>
            <w:r w:rsidR="006B2761" w:rsidRPr="00581015">
              <w:rPr>
                <w:rStyle w:val="Bodytext212ptNotBold"/>
                <w:rFonts w:eastAsiaTheme="minorHAnsi"/>
                <w:b w:val="0"/>
                <w:bCs w:val="0"/>
                <w:color w:val="auto"/>
              </w:rPr>
              <w:t xml:space="preserve"> </w:t>
            </w:r>
            <w:r w:rsidR="006B2761" w:rsidRPr="00F23D2E">
              <w:rPr>
                <w:rFonts w:ascii="Times New Roman" w:hAnsi="Times New Roman" w:cs="Times New Roman"/>
                <w:sz w:val="24"/>
                <w:szCs w:val="24"/>
              </w:rPr>
              <w:t xml:space="preserve">suteikimas </w:t>
            </w:r>
            <w:r w:rsidRPr="00F23D2E">
              <w:rPr>
                <w:rFonts w:ascii="Times New Roman" w:hAnsi="Times New Roman" w:cs="Times New Roman"/>
                <w:sz w:val="24"/>
                <w:szCs w:val="24"/>
              </w:rPr>
              <w:t>užtruko dėl IT problemų: duomenų saugos apribojimų, papildomų vartotojų įsigijimo procedūrų ir pan.)</w:t>
            </w:r>
          </w:p>
        </w:tc>
        <w:tc>
          <w:tcPr>
            <w:tcW w:w="749" w:type="pct"/>
          </w:tcPr>
          <w:p w14:paraId="1C539E80" w14:textId="77777777" w:rsidR="006B2761" w:rsidRPr="00BC4FEB" w:rsidRDefault="006B2761" w:rsidP="006B2761">
            <w:pPr>
              <w:rPr>
                <w:rFonts w:ascii="Times New Roman" w:hAnsi="Times New Roman" w:cs="Times New Roman"/>
                <w:sz w:val="24"/>
                <w:szCs w:val="24"/>
              </w:rPr>
            </w:pPr>
            <w:r>
              <w:rPr>
                <w:rFonts w:ascii="Times New Roman" w:hAnsi="Times New Roman" w:cs="Times New Roman"/>
                <w:sz w:val="24"/>
                <w:szCs w:val="24"/>
              </w:rPr>
              <w:t>50</w:t>
            </w:r>
          </w:p>
          <w:p w14:paraId="33C342A6" w14:textId="77777777" w:rsidR="006B2761" w:rsidRDefault="006B2761" w:rsidP="006B2761">
            <w:pPr>
              <w:pStyle w:val="Default"/>
            </w:pPr>
            <w:r w:rsidRPr="00D66C08">
              <w:t>(</w:t>
            </w:r>
            <w:r>
              <w:t>21</w:t>
            </w:r>
            <w:r w:rsidRPr="00D66C08">
              <w:t xml:space="preserve"> įstaigų iš 42</w:t>
            </w:r>
            <w:r w:rsidRPr="00F23D2E">
              <w:t xml:space="preserve"> prieig</w:t>
            </w:r>
            <w:r>
              <w:t xml:space="preserve">ų prie </w:t>
            </w:r>
            <w:r w:rsidRPr="00F23D2E">
              <w:t xml:space="preserve"> </w:t>
            </w:r>
            <w:r w:rsidRPr="00581015">
              <w:rPr>
                <w:rStyle w:val="Bodytext212ptNotBold"/>
                <w:rFonts w:eastAsiaTheme="minorHAnsi"/>
                <w:b w:val="0"/>
                <w:bCs w:val="0"/>
                <w:color w:val="auto"/>
              </w:rPr>
              <w:t>personalo administravimo informacin</w:t>
            </w:r>
            <w:r>
              <w:rPr>
                <w:rStyle w:val="Bodytext212ptNotBold"/>
                <w:rFonts w:eastAsiaTheme="minorHAnsi"/>
                <w:b w:val="0"/>
                <w:bCs w:val="0"/>
                <w:color w:val="auto"/>
              </w:rPr>
              <w:t>ių</w:t>
            </w:r>
            <w:r w:rsidRPr="00581015">
              <w:rPr>
                <w:rStyle w:val="Bodytext212ptNotBold"/>
                <w:rFonts w:eastAsiaTheme="minorHAnsi"/>
                <w:b w:val="0"/>
                <w:bCs w:val="0"/>
                <w:color w:val="auto"/>
              </w:rPr>
              <w:t xml:space="preserve"> sistem</w:t>
            </w:r>
            <w:r>
              <w:rPr>
                <w:rStyle w:val="Bodytext212ptNotBold"/>
                <w:rFonts w:eastAsiaTheme="minorHAnsi"/>
                <w:b w:val="0"/>
                <w:bCs w:val="0"/>
                <w:color w:val="auto"/>
              </w:rPr>
              <w:t>ų</w:t>
            </w:r>
            <w:r w:rsidRPr="00581015">
              <w:rPr>
                <w:rStyle w:val="Bodytext212ptNotBold"/>
                <w:rFonts w:eastAsiaTheme="minorHAnsi"/>
                <w:b w:val="0"/>
                <w:bCs w:val="0"/>
                <w:color w:val="auto"/>
              </w:rPr>
              <w:t xml:space="preserve"> </w:t>
            </w:r>
            <w:r w:rsidRPr="00F23D2E">
              <w:t>suteikimas užtruko dėl IT problemų: duomenų saugos apribojimų, papildomų vartotojų įsigijimo procedūrų ir pan.)</w:t>
            </w:r>
          </w:p>
          <w:p w14:paraId="1848B74D" w14:textId="4F463436" w:rsidR="0030596F" w:rsidRDefault="0030596F" w:rsidP="0030596F">
            <w:pPr>
              <w:rPr>
                <w:rFonts w:ascii="Times New Roman" w:hAnsi="Times New Roman" w:cs="Times New Roman"/>
                <w:sz w:val="24"/>
                <w:szCs w:val="24"/>
                <w:highlight w:val="red"/>
              </w:rPr>
            </w:pPr>
          </w:p>
        </w:tc>
      </w:tr>
      <w:tr w:rsidR="0030596F" w:rsidRPr="00581015" w14:paraId="5CA35710" w14:textId="77777777" w:rsidTr="0030596F">
        <w:tc>
          <w:tcPr>
            <w:tcW w:w="210" w:type="pct"/>
          </w:tcPr>
          <w:p w14:paraId="254D635C" w14:textId="0826289E"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23.</w:t>
            </w:r>
          </w:p>
        </w:tc>
        <w:tc>
          <w:tcPr>
            <w:tcW w:w="1585" w:type="pct"/>
          </w:tcPr>
          <w:p w14:paraId="24E975D9" w14:textId="69F35FC8" w:rsidR="0030596F" w:rsidRPr="00581015" w:rsidRDefault="0030596F" w:rsidP="0030596F">
            <w:pPr>
              <w:rPr>
                <w:rFonts w:ascii="Times New Roman" w:hAnsi="Times New Roman" w:cs="Times New Roman"/>
                <w:b/>
                <w:bCs/>
                <w:sz w:val="24"/>
                <w:szCs w:val="24"/>
              </w:rPr>
            </w:pPr>
            <w:r w:rsidRPr="00581015">
              <w:rPr>
                <w:rStyle w:val="Bodytext212ptNotBold"/>
                <w:rFonts w:eastAsiaTheme="minorHAnsi"/>
                <w:b w:val="0"/>
                <w:bCs w:val="0"/>
                <w:color w:val="auto"/>
              </w:rPr>
              <w:t>Teikti Finansų ministerijai šio priemonių plano vykdymo eigos ataskaitas</w:t>
            </w:r>
          </w:p>
        </w:tc>
        <w:tc>
          <w:tcPr>
            <w:tcW w:w="838" w:type="pct"/>
          </w:tcPr>
          <w:p w14:paraId="2B5ACCDE" w14:textId="13BF330D"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1 savaitė po nustatytos priemonės įvykdymo termino</w:t>
            </w:r>
          </w:p>
        </w:tc>
        <w:tc>
          <w:tcPr>
            <w:tcW w:w="868" w:type="pct"/>
            <w:vAlign w:val="center"/>
          </w:tcPr>
          <w:p w14:paraId="55721B9E" w14:textId="55EFEB3F" w:rsidR="0030596F" w:rsidRPr="00581015" w:rsidRDefault="0030596F" w:rsidP="0030596F">
            <w:pPr>
              <w:jc w:val="center"/>
              <w:rPr>
                <w:rFonts w:ascii="Times New Roman" w:hAnsi="Times New Roman" w:cs="Times New Roman"/>
                <w:b/>
                <w:bCs/>
                <w:sz w:val="24"/>
                <w:szCs w:val="24"/>
              </w:rPr>
            </w:pPr>
            <w:r w:rsidRPr="00581015">
              <w:rPr>
                <w:rStyle w:val="Bodytext212ptNotBold"/>
                <w:rFonts w:eastAsiaTheme="minorHAnsi"/>
                <w:b w:val="0"/>
                <w:bCs w:val="0"/>
                <w:color w:val="auto"/>
              </w:rPr>
              <w:t>Centras</w:t>
            </w:r>
          </w:p>
        </w:tc>
        <w:tc>
          <w:tcPr>
            <w:tcW w:w="749" w:type="pct"/>
          </w:tcPr>
          <w:p w14:paraId="6A93DA20" w14:textId="109778D8" w:rsidR="0030596F" w:rsidRDefault="0030596F" w:rsidP="0030596F">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Finansų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ministerijai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informacija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konsolidavimo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eigą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teikiama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nuolat</w:t>
            </w:r>
            <w:proofErr w:type="spellEnd"/>
          </w:p>
          <w:p w14:paraId="3C5A8FE0" w14:textId="77777777" w:rsidR="0030596F" w:rsidRPr="00581015" w:rsidRDefault="0030596F" w:rsidP="0030596F">
            <w:pPr>
              <w:rPr>
                <w:rFonts w:ascii="Times New Roman" w:hAnsi="Times New Roman" w:cs="Times New Roman"/>
                <w:sz w:val="24"/>
                <w:szCs w:val="24"/>
              </w:rPr>
            </w:pPr>
          </w:p>
        </w:tc>
        <w:tc>
          <w:tcPr>
            <w:tcW w:w="749" w:type="pct"/>
          </w:tcPr>
          <w:p w14:paraId="54DC6912" w14:textId="3B239FF6" w:rsidR="0030596F" w:rsidRPr="00581015" w:rsidRDefault="0030596F" w:rsidP="0030596F">
            <w:pPr>
              <w:rPr>
                <w:rFonts w:ascii="Times New Roman" w:hAnsi="Times New Roman" w:cs="Times New Roman"/>
                <w:sz w:val="24"/>
                <w:szCs w:val="24"/>
              </w:rPr>
            </w:pPr>
            <w:r w:rsidRPr="00581015">
              <w:rPr>
                <w:rFonts w:ascii="Times New Roman" w:hAnsi="Times New Roman" w:cs="Times New Roman"/>
                <w:sz w:val="24"/>
                <w:szCs w:val="24"/>
              </w:rPr>
              <w:t>Finansų ministerijai informacija apie konsolidavimo eigą buvo teikiama nuolat</w:t>
            </w:r>
          </w:p>
        </w:tc>
      </w:tr>
    </w:tbl>
    <w:p w14:paraId="362DA02D" w14:textId="55EFBA6B" w:rsidR="00A00C4F" w:rsidRPr="00581015" w:rsidRDefault="00A00C4F" w:rsidP="00D007A4">
      <w:pPr>
        <w:rPr>
          <w:rFonts w:ascii="Times New Roman" w:hAnsi="Times New Roman" w:cs="Times New Roman"/>
          <w:sz w:val="24"/>
          <w:szCs w:val="24"/>
        </w:rPr>
      </w:pPr>
    </w:p>
    <w:p w14:paraId="68CF86B1" w14:textId="7C6F1CBF" w:rsidR="008D0542" w:rsidRPr="00581015" w:rsidRDefault="008D0542" w:rsidP="00D007A4">
      <w:pPr>
        <w:rPr>
          <w:rFonts w:ascii="Times New Roman" w:hAnsi="Times New Roman" w:cs="Times New Roman"/>
          <w:sz w:val="24"/>
          <w:szCs w:val="24"/>
        </w:rPr>
      </w:pPr>
    </w:p>
    <w:p w14:paraId="4DAED388" w14:textId="45E0A7C3" w:rsidR="008D0542" w:rsidRPr="00581015" w:rsidRDefault="008D0542" w:rsidP="008D0542">
      <w:pPr>
        <w:jc w:val="center"/>
        <w:rPr>
          <w:rFonts w:ascii="Times New Roman" w:hAnsi="Times New Roman" w:cs="Times New Roman"/>
          <w:sz w:val="24"/>
          <w:szCs w:val="24"/>
        </w:rPr>
      </w:pPr>
      <w:r w:rsidRPr="00581015">
        <w:rPr>
          <w:rFonts w:ascii="Times New Roman" w:hAnsi="Times New Roman" w:cs="Times New Roman"/>
          <w:sz w:val="24"/>
          <w:szCs w:val="24"/>
        </w:rPr>
        <w:t>__________________</w:t>
      </w:r>
    </w:p>
    <w:sectPr w:rsidR="008D0542" w:rsidRPr="00581015" w:rsidSect="00F56C61">
      <w:headerReference w:type="default" r:id="rId7"/>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14764" w14:textId="77777777" w:rsidR="000548E1" w:rsidRDefault="000548E1" w:rsidP="004579A4">
      <w:pPr>
        <w:spacing w:after="0" w:line="240" w:lineRule="auto"/>
      </w:pPr>
      <w:r>
        <w:separator/>
      </w:r>
    </w:p>
  </w:endnote>
  <w:endnote w:type="continuationSeparator" w:id="0">
    <w:p w14:paraId="24B7313D" w14:textId="77777777" w:rsidR="000548E1" w:rsidRDefault="000548E1" w:rsidP="0045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9F471" w14:textId="77777777" w:rsidR="000548E1" w:rsidRDefault="000548E1" w:rsidP="004579A4">
      <w:pPr>
        <w:spacing w:after="0" w:line="240" w:lineRule="auto"/>
      </w:pPr>
      <w:r>
        <w:separator/>
      </w:r>
    </w:p>
  </w:footnote>
  <w:footnote w:type="continuationSeparator" w:id="0">
    <w:p w14:paraId="5DA31B79" w14:textId="77777777" w:rsidR="000548E1" w:rsidRDefault="000548E1" w:rsidP="00457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810402"/>
      <w:docPartObj>
        <w:docPartGallery w:val="Page Numbers (Top of Page)"/>
        <w:docPartUnique/>
      </w:docPartObj>
    </w:sdtPr>
    <w:sdtEndPr>
      <w:rPr>
        <w:rFonts w:ascii="Times New Roman" w:hAnsi="Times New Roman" w:cs="Times New Roman"/>
        <w:noProof/>
        <w:sz w:val="24"/>
        <w:szCs w:val="24"/>
      </w:rPr>
    </w:sdtEndPr>
    <w:sdtContent>
      <w:p w14:paraId="543D5A41" w14:textId="623B1A3C" w:rsidR="00F56C61" w:rsidRPr="00F56C61" w:rsidRDefault="00F56C61">
        <w:pPr>
          <w:pStyle w:val="Header"/>
          <w:jc w:val="center"/>
          <w:rPr>
            <w:rFonts w:ascii="Times New Roman" w:hAnsi="Times New Roman" w:cs="Times New Roman"/>
            <w:sz w:val="24"/>
            <w:szCs w:val="24"/>
          </w:rPr>
        </w:pPr>
        <w:r w:rsidRPr="00F56C61">
          <w:rPr>
            <w:rFonts w:ascii="Times New Roman" w:hAnsi="Times New Roman" w:cs="Times New Roman"/>
            <w:sz w:val="24"/>
            <w:szCs w:val="24"/>
          </w:rPr>
          <w:fldChar w:fldCharType="begin"/>
        </w:r>
        <w:r w:rsidRPr="00F56C61">
          <w:rPr>
            <w:rFonts w:ascii="Times New Roman" w:hAnsi="Times New Roman" w:cs="Times New Roman"/>
            <w:sz w:val="24"/>
            <w:szCs w:val="24"/>
          </w:rPr>
          <w:instrText xml:space="preserve"> PAGE   \* MERGEFORMAT </w:instrText>
        </w:r>
        <w:r w:rsidRPr="00F56C61">
          <w:rPr>
            <w:rFonts w:ascii="Times New Roman" w:hAnsi="Times New Roman" w:cs="Times New Roman"/>
            <w:sz w:val="24"/>
            <w:szCs w:val="24"/>
          </w:rPr>
          <w:fldChar w:fldCharType="separate"/>
        </w:r>
        <w:r w:rsidRPr="00F56C61">
          <w:rPr>
            <w:rFonts w:ascii="Times New Roman" w:hAnsi="Times New Roman" w:cs="Times New Roman"/>
            <w:noProof/>
            <w:sz w:val="24"/>
            <w:szCs w:val="24"/>
          </w:rPr>
          <w:t>2</w:t>
        </w:r>
        <w:r w:rsidRPr="00F56C61">
          <w:rPr>
            <w:rFonts w:ascii="Times New Roman" w:hAnsi="Times New Roman" w:cs="Times New Roman"/>
            <w:noProof/>
            <w:sz w:val="24"/>
            <w:szCs w:val="24"/>
          </w:rPr>
          <w:fldChar w:fldCharType="end"/>
        </w:r>
      </w:p>
    </w:sdtContent>
  </w:sdt>
  <w:p w14:paraId="1A0EDEC2" w14:textId="77777777" w:rsidR="004579A4" w:rsidRDefault="004579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4F"/>
    <w:rsid w:val="000548E1"/>
    <w:rsid w:val="00071E5D"/>
    <w:rsid w:val="000D5B01"/>
    <w:rsid w:val="00124025"/>
    <w:rsid w:val="001C79CB"/>
    <w:rsid w:val="001E0BD9"/>
    <w:rsid w:val="002878B9"/>
    <w:rsid w:val="0030596F"/>
    <w:rsid w:val="00350CDA"/>
    <w:rsid w:val="003558CB"/>
    <w:rsid w:val="00361C81"/>
    <w:rsid w:val="00361F74"/>
    <w:rsid w:val="00377F93"/>
    <w:rsid w:val="00424FC6"/>
    <w:rsid w:val="0043466A"/>
    <w:rsid w:val="004579A4"/>
    <w:rsid w:val="00581015"/>
    <w:rsid w:val="0062783F"/>
    <w:rsid w:val="006408F9"/>
    <w:rsid w:val="0066302F"/>
    <w:rsid w:val="006B2761"/>
    <w:rsid w:val="007C5E91"/>
    <w:rsid w:val="008279A6"/>
    <w:rsid w:val="00843921"/>
    <w:rsid w:val="008951B6"/>
    <w:rsid w:val="008D0542"/>
    <w:rsid w:val="00973EA5"/>
    <w:rsid w:val="009C1496"/>
    <w:rsid w:val="009F3F2E"/>
    <w:rsid w:val="00A00C4F"/>
    <w:rsid w:val="00A56DDD"/>
    <w:rsid w:val="00BC4FEB"/>
    <w:rsid w:val="00BE05AD"/>
    <w:rsid w:val="00C62597"/>
    <w:rsid w:val="00CC4D92"/>
    <w:rsid w:val="00D007A4"/>
    <w:rsid w:val="00D62507"/>
    <w:rsid w:val="00D66C08"/>
    <w:rsid w:val="00D72108"/>
    <w:rsid w:val="00DB76B1"/>
    <w:rsid w:val="00E62BD5"/>
    <w:rsid w:val="00E75DA5"/>
    <w:rsid w:val="00EA2731"/>
    <w:rsid w:val="00ED5029"/>
    <w:rsid w:val="00F07437"/>
    <w:rsid w:val="00F14D54"/>
    <w:rsid w:val="00F171FC"/>
    <w:rsid w:val="00F23D2E"/>
    <w:rsid w:val="00F434E9"/>
    <w:rsid w:val="00F56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5FBA5"/>
  <w15:chartTrackingRefBased/>
  <w15:docId w15:val="{D804FCF9-F907-4354-98DE-2C90F65A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2pt">
    <w:name w:val="Body text (2) + 12 pt"/>
    <w:aliases w:val="Not Bold"/>
    <w:basedOn w:val="DefaultParagraphFont"/>
    <w:rsid w:val="009C1496"/>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212ptNotBold">
    <w:name w:val="Body text (2) + 12 pt;Not Bold"/>
    <w:basedOn w:val="DefaultParagraphFont"/>
    <w:rsid w:val="00361C81"/>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styleId="Hyperlink">
    <w:name w:val="Hyperlink"/>
    <w:basedOn w:val="DefaultParagraphFont"/>
    <w:rsid w:val="00361C81"/>
    <w:rPr>
      <w:color w:val="000080"/>
      <w:u w:val="single"/>
    </w:rPr>
  </w:style>
  <w:style w:type="character" w:customStyle="1" w:styleId="Bodytext2">
    <w:name w:val="Body text (2)_"/>
    <w:basedOn w:val="DefaultParagraphFont"/>
    <w:link w:val="Bodytext20"/>
    <w:rsid w:val="00361C81"/>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361C81"/>
    <w:pPr>
      <w:widowControl w:val="0"/>
      <w:shd w:val="clear" w:color="auto" w:fill="FFFFFF"/>
      <w:spacing w:before="240" w:after="0" w:line="274" w:lineRule="exact"/>
      <w:jc w:val="center"/>
    </w:pPr>
    <w:rPr>
      <w:rFonts w:ascii="Times New Roman" w:eastAsia="Times New Roman" w:hAnsi="Times New Roman" w:cs="Times New Roman"/>
      <w:b/>
      <w:bCs/>
      <w:lang w:val="en-US"/>
    </w:rPr>
  </w:style>
  <w:style w:type="paragraph" w:styleId="Header">
    <w:name w:val="header"/>
    <w:basedOn w:val="Normal"/>
    <w:link w:val="HeaderChar"/>
    <w:uiPriority w:val="99"/>
    <w:unhideWhenUsed/>
    <w:rsid w:val="00457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9A4"/>
    <w:rPr>
      <w:lang w:val="lt-LT"/>
    </w:rPr>
  </w:style>
  <w:style w:type="paragraph" w:styleId="Footer">
    <w:name w:val="footer"/>
    <w:basedOn w:val="Normal"/>
    <w:link w:val="FooterChar"/>
    <w:uiPriority w:val="99"/>
    <w:unhideWhenUsed/>
    <w:rsid w:val="00457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9A4"/>
    <w:rPr>
      <w:lang w:val="lt-LT"/>
    </w:rPr>
  </w:style>
  <w:style w:type="character" w:styleId="CommentReference">
    <w:name w:val="annotation reference"/>
    <w:basedOn w:val="DefaultParagraphFont"/>
    <w:uiPriority w:val="99"/>
    <w:semiHidden/>
    <w:unhideWhenUsed/>
    <w:rsid w:val="00F07437"/>
    <w:rPr>
      <w:sz w:val="16"/>
      <w:szCs w:val="16"/>
    </w:rPr>
  </w:style>
  <w:style w:type="paragraph" w:styleId="CommentText">
    <w:name w:val="annotation text"/>
    <w:basedOn w:val="Normal"/>
    <w:link w:val="CommentTextChar"/>
    <w:uiPriority w:val="99"/>
    <w:semiHidden/>
    <w:unhideWhenUsed/>
    <w:rsid w:val="00F07437"/>
    <w:pPr>
      <w:spacing w:line="240" w:lineRule="auto"/>
    </w:pPr>
    <w:rPr>
      <w:sz w:val="20"/>
      <w:szCs w:val="20"/>
    </w:rPr>
  </w:style>
  <w:style w:type="character" w:customStyle="1" w:styleId="CommentTextChar">
    <w:name w:val="Comment Text Char"/>
    <w:basedOn w:val="DefaultParagraphFont"/>
    <w:link w:val="CommentText"/>
    <w:uiPriority w:val="99"/>
    <w:semiHidden/>
    <w:rsid w:val="00F07437"/>
    <w:rPr>
      <w:sz w:val="20"/>
      <w:szCs w:val="20"/>
      <w:lang w:val="lt-LT"/>
    </w:rPr>
  </w:style>
  <w:style w:type="paragraph" w:styleId="CommentSubject">
    <w:name w:val="annotation subject"/>
    <w:basedOn w:val="CommentText"/>
    <w:next w:val="CommentText"/>
    <w:link w:val="CommentSubjectChar"/>
    <w:uiPriority w:val="99"/>
    <w:semiHidden/>
    <w:unhideWhenUsed/>
    <w:rsid w:val="00F07437"/>
    <w:rPr>
      <w:b/>
      <w:bCs/>
    </w:rPr>
  </w:style>
  <w:style w:type="character" w:customStyle="1" w:styleId="CommentSubjectChar">
    <w:name w:val="Comment Subject Char"/>
    <w:basedOn w:val="CommentTextChar"/>
    <w:link w:val="CommentSubject"/>
    <w:uiPriority w:val="99"/>
    <w:semiHidden/>
    <w:rsid w:val="00F07437"/>
    <w:rPr>
      <w:b/>
      <w:bCs/>
      <w:sz w:val="20"/>
      <w:szCs w:val="20"/>
      <w:lang w:val="lt-LT"/>
    </w:rPr>
  </w:style>
  <w:style w:type="paragraph" w:styleId="BalloonText">
    <w:name w:val="Balloon Text"/>
    <w:basedOn w:val="Normal"/>
    <w:link w:val="BalloonTextChar"/>
    <w:uiPriority w:val="99"/>
    <w:semiHidden/>
    <w:unhideWhenUsed/>
    <w:rsid w:val="00F07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37"/>
    <w:rPr>
      <w:rFonts w:ascii="Segoe UI" w:hAnsi="Segoe UI" w:cs="Segoe UI"/>
      <w:sz w:val="18"/>
      <w:szCs w:val="18"/>
      <w:lang w:val="lt-LT"/>
    </w:rPr>
  </w:style>
  <w:style w:type="paragraph" w:customStyle="1" w:styleId="Default">
    <w:name w:val="Default"/>
    <w:rsid w:val="0030596F"/>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906A-C2E9-4941-888B-74626D8A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1800</Words>
  <Characters>10260</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2020-10-22T11:23:00Z</dcterms:created>
  <dc:creator>Ieva Marija Bareikė</dc:creator>
  <cp:lastModifiedBy>Neringa Kolvianecienė</cp:lastModifiedBy>
  <dcterms:modified xsi:type="dcterms:W3CDTF">2020-10-22T13:48:00Z</dcterms:modified>
  <cp:revision>7</cp:revision>
</cp:coreProperties>
</file>