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B83B" w14:textId="77777777" w:rsidR="001B0685" w:rsidRDefault="001B0685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388E8C58" w14:textId="77777777" w:rsidR="001B0685" w:rsidRDefault="00F57A27">
      <w:pPr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4FAAEECC" w14:textId="77777777" w:rsidR="001B0685" w:rsidRDefault="001B0685">
      <w:pPr>
        <w:jc w:val="both"/>
        <w:rPr>
          <w:szCs w:val="24"/>
          <w:lang w:eastAsia="lt-LT"/>
        </w:rPr>
      </w:pPr>
    </w:p>
    <w:p w14:paraId="6B97F85A" w14:textId="77777777" w:rsidR="001B0685" w:rsidRDefault="00F57A2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401F7248" w14:textId="77777777" w:rsidR="001B0685" w:rsidRDefault="00F57A2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DRAUDIMO PROPAGUOTI KOMUNIZMĄ ARBA KITĄ TOTALITARINĘ SANTVARKĄ VIEŠUOSIUOSE OBJEKTUOSE</w:t>
      </w:r>
    </w:p>
    <w:p w14:paraId="1170090E" w14:textId="77777777" w:rsidR="001B0685" w:rsidRDefault="00F57A27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121809D9" w14:textId="77777777" w:rsidR="001B0685" w:rsidRDefault="001B0685">
      <w:pPr>
        <w:jc w:val="center"/>
        <w:rPr>
          <w:szCs w:val="24"/>
          <w:lang w:eastAsia="lt-LT"/>
        </w:rPr>
      </w:pPr>
    </w:p>
    <w:p w14:paraId="3F3E804E" w14:textId="77777777" w:rsidR="001B0685" w:rsidRDefault="00F57A27">
      <w:pPr>
        <w:jc w:val="center"/>
        <w:rPr>
          <w:szCs w:val="24"/>
          <w:lang w:eastAsia="lt-LT"/>
        </w:rPr>
      </w:pPr>
      <w:smartTag w:uri="schemas-tilde-lv/tildestengine" w:element="metric2">
        <w:smartTagPr>
          <w:attr w:name="metric_text" w:val="m"/>
          <w:attr w:name="metric_value" w:val="2017"/>
        </w:smartTagPr>
        <w:r>
          <w:rPr>
            <w:szCs w:val="24"/>
            <w:lang w:eastAsia="lt-LT"/>
          </w:rPr>
          <w:t>2017 m</w:t>
        </w:r>
      </w:smartTag>
      <w:r>
        <w:rPr>
          <w:szCs w:val="24"/>
          <w:lang w:eastAsia="lt-LT"/>
        </w:rPr>
        <w:t xml:space="preserve">.              d. Nr. </w:t>
      </w:r>
    </w:p>
    <w:p w14:paraId="5BCD0C32" w14:textId="77777777" w:rsidR="001B0685" w:rsidRDefault="00F57A2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459CE87" w14:textId="77777777" w:rsidR="001B0685" w:rsidRDefault="001B0685">
      <w:pPr>
        <w:ind w:firstLine="570"/>
        <w:jc w:val="both"/>
        <w:rPr>
          <w:szCs w:val="24"/>
          <w:lang w:eastAsia="lt-LT"/>
        </w:rPr>
      </w:pPr>
    </w:p>
    <w:p w14:paraId="6454EE40" w14:textId="77777777" w:rsidR="001B0685" w:rsidRDefault="001B0685">
      <w:pPr>
        <w:ind w:firstLine="570"/>
        <w:jc w:val="both"/>
        <w:rPr>
          <w:szCs w:val="24"/>
          <w:lang w:eastAsia="lt-LT"/>
        </w:rPr>
      </w:pPr>
    </w:p>
    <w:p w14:paraId="29450BF5" w14:textId="77777777" w:rsidR="001B0685" w:rsidRDefault="00F57A27">
      <w:pPr>
        <w:ind w:firstLine="57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>
        <w:rPr>
          <w:b/>
          <w:bCs/>
          <w:color w:val="000000"/>
          <w:szCs w:val="24"/>
          <w:lang w:eastAsia="lt-LT"/>
        </w:rPr>
        <w:t>Įstatymo paskirtis</w:t>
      </w:r>
    </w:p>
    <w:p w14:paraId="58E86F66" w14:textId="77777777" w:rsidR="001B0685" w:rsidRDefault="00F57A27">
      <w:pPr>
        <w:ind w:firstLine="57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Šis įstatymas nustato tvarką, pagal kurią </w:t>
      </w:r>
      <w:r>
        <w:rPr>
          <w:color w:val="000000"/>
          <w:szCs w:val="24"/>
          <w:lang w:eastAsia="lt-LT"/>
        </w:rPr>
        <w:t>Lietuvos Respublikoje būtų pakeisti arba pašalinti viešieji objektai, kurių pavadinimas ar turinys propaguoja komunizmą arba kitą totalitarinę ideologiją ar santvarką.</w:t>
      </w:r>
    </w:p>
    <w:p w14:paraId="68067B23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Komunizmo ar kitos totalitarinės ideologijos ar santvarkos propagavimas yra asmenų, o</w:t>
      </w:r>
      <w:r>
        <w:rPr>
          <w:szCs w:val="24"/>
          <w:lang w:eastAsia="lt-LT"/>
        </w:rPr>
        <w:t>rganizacijų, įvykių ar datų, susijusių su 1940–1941 ir 1944–1990 metų sovietine bei 1941–1944 metų nacistine okupacijomis, įamžinimas bet kokia forma.</w:t>
      </w:r>
    </w:p>
    <w:p w14:paraId="5BAEDACF" w14:textId="77777777" w:rsidR="001B0685" w:rsidRDefault="001B0685">
      <w:pPr>
        <w:ind w:firstLine="570"/>
        <w:jc w:val="both"/>
        <w:rPr>
          <w:szCs w:val="24"/>
          <w:lang w:eastAsia="lt-LT"/>
        </w:rPr>
      </w:pPr>
    </w:p>
    <w:p w14:paraId="5E0D2305" w14:textId="77777777" w:rsidR="001B0685" w:rsidRDefault="00F57A27">
      <w:pPr>
        <w:ind w:firstLine="57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 straipsnis. </w:t>
      </w:r>
      <w:r>
        <w:rPr>
          <w:b/>
          <w:bCs/>
          <w:color w:val="000000"/>
          <w:szCs w:val="24"/>
          <w:lang w:eastAsia="lt-LT"/>
        </w:rPr>
        <w:t xml:space="preserve">Draudimo galiojimo sąlygos ir apimtis </w:t>
      </w:r>
    </w:p>
    <w:p w14:paraId="39055F44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Draudžiama propaguoti komunizmą arba kitą totali</w:t>
      </w:r>
      <w:r>
        <w:rPr>
          <w:szCs w:val="24"/>
          <w:lang w:eastAsia="lt-LT"/>
        </w:rPr>
        <w:t xml:space="preserve">tarinę ideologiją ar santvarką, viešuosiuose objektuose įamžinant asmenų, organizacijų, įvykių ar datų, susijusių su 1940–1941 ir 1944–1990 metų sovietinės bei 1941–1944 metų nacistinės okupacijų įtvirtinimu ir represijomis. </w:t>
      </w:r>
    </w:p>
    <w:p w14:paraId="1E24957D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Įstatymas taikomas viešojo </w:t>
      </w:r>
      <w:r>
        <w:rPr>
          <w:szCs w:val="24"/>
          <w:lang w:eastAsia="lt-LT"/>
        </w:rPr>
        <w:t>naudojimo objektams, erdvėms ar renginiams ir įvykiams:</w:t>
      </w:r>
    </w:p>
    <w:p w14:paraId="7C879175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1) viešojo naudojimo objektai – viešosios paskirties pastatai, įstaigos ir įrenginiai, taip pat paminklai, memorialinės lentos ir kiti atminimui įamžinti skirti objektai.</w:t>
      </w:r>
    </w:p>
    <w:p w14:paraId="77E4266B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2) viešosios vietos – gatvės,</w:t>
      </w:r>
      <w:r>
        <w:rPr>
          <w:szCs w:val="24"/>
          <w:lang w:eastAsia="lt-LT"/>
        </w:rPr>
        <w:t xml:space="preserve"> aikštės, parkai, skverai ir kitos bendro naudojimo erdvės.</w:t>
      </w:r>
    </w:p>
    <w:p w14:paraId="06A2CCE3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3) renginiai ir įvykiai – vardinės premijos, konkursai ir kiti šio straipsnio 1 dalyje numatytas nuostatas atitinkantys vieši veiksmai.</w:t>
      </w:r>
    </w:p>
    <w:p w14:paraId="2E9AD73D" w14:textId="77777777" w:rsidR="001B0685" w:rsidRDefault="001B0685">
      <w:pPr>
        <w:ind w:firstLine="570"/>
        <w:jc w:val="both"/>
        <w:rPr>
          <w:szCs w:val="24"/>
          <w:lang w:eastAsia="lt-LT"/>
        </w:rPr>
      </w:pPr>
    </w:p>
    <w:p w14:paraId="05401089" w14:textId="77777777" w:rsidR="001B0685" w:rsidRDefault="00F57A27">
      <w:pPr>
        <w:ind w:firstLine="57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3 straipsnis. </w:t>
      </w:r>
      <w:r>
        <w:rPr>
          <w:b/>
          <w:bCs/>
          <w:color w:val="000000"/>
          <w:szCs w:val="24"/>
          <w:lang w:eastAsia="lt-LT"/>
        </w:rPr>
        <w:t>Įstatymo įgyvendinimo tvarka</w:t>
      </w:r>
    </w:p>
    <w:p w14:paraId="05C7154A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Jeigu viešojo</w:t>
      </w:r>
      <w:r>
        <w:rPr>
          <w:szCs w:val="24"/>
          <w:lang w:eastAsia="lt-LT"/>
        </w:rPr>
        <w:t xml:space="preserve"> objekto pavadinimą ar turinio savybes galima pakeisti, kad jis atitiktų šio įstatymo 2 straipsnio 1 dalies nuostatas, objektas nėra pašalinamas.</w:t>
      </w:r>
    </w:p>
    <w:p w14:paraId="4188703B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Jeigu viešojo objekto pavadinimo ar turinio savybių pakeisti taip, kad jis atitiktų šio įstatymo 2 straipsn</w:t>
      </w:r>
      <w:r>
        <w:rPr>
          <w:szCs w:val="24"/>
          <w:lang w:eastAsia="lt-LT"/>
        </w:rPr>
        <w:t>io 1 dalies nuostatas, neįmanoma, objektas privalo būti pašalinamas.</w:t>
      </w:r>
    </w:p>
    <w:p w14:paraId="2A4651B0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Viešojo objekto, neatitinkančio šio įstatymo 2 straipsnio 1 dalies nuostatų, bet esančio kultūros paveldo vertybėse, pašalinimas derinamas su Kultūros paveldo departamentu prie Kultūro</w:t>
      </w:r>
      <w:r>
        <w:rPr>
          <w:szCs w:val="24"/>
          <w:lang w:eastAsia="lt-LT"/>
        </w:rPr>
        <w:t>s ministerijos.</w:t>
      </w:r>
    </w:p>
    <w:p w14:paraId="66B8A700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Nuostata dėl viešųjų objektų pašalinimo netaikoma objektams, kurie:</w:t>
      </w:r>
    </w:p>
    <w:p w14:paraId="54EB9193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1) įrengti kapinių arba kitų laidojimo vietų teritorijoje, jeigu jie atitinka šio įstatymo 2 straipsnio 1 dalies nuostatas;</w:t>
      </w:r>
    </w:p>
    <w:p w14:paraId="6C3CA7CA" w14:textId="77777777" w:rsidR="001B0685" w:rsidRDefault="00F57A27">
      <w:pPr>
        <w:ind w:firstLine="57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2) eksponuojami viešose vietose kitu nei </w:t>
      </w:r>
      <w:r>
        <w:rPr>
          <w:szCs w:val="24"/>
          <w:lang w:eastAsia="lt-LT"/>
        </w:rPr>
        <w:t>totalitarinės santvarkos propagavimo tikslu, vykdant meninę, šviečiamąją, kolekcionavimo, mokslinę arba panašaus pobūdžio veiklą.</w:t>
      </w:r>
    </w:p>
    <w:p w14:paraId="6DFDE618" w14:textId="77777777" w:rsidR="001B0685" w:rsidRDefault="001B0685">
      <w:pPr>
        <w:ind w:firstLine="570"/>
        <w:jc w:val="both"/>
        <w:rPr>
          <w:szCs w:val="24"/>
          <w:lang w:eastAsia="lt-LT"/>
        </w:rPr>
      </w:pPr>
    </w:p>
    <w:p w14:paraId="40710E58" w14:textId="77777777" w:rsidR="001B0685" w:rsidRDefault="00F57A27">
      <w:pPr>
        <w:ind w:firstLine="57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 straipsnis. </w:t>
      </w:r>
      <w:r>
        <w:rPr>
          <w:b/>
          <w:bCs/>
          <w:color w:val="000000"/>
          <w:szCs w:val="24"/>
          <w:lang w:eastAsia="lt-LT"/>
        </w:rPr>
        <w:t>Pakeičiamų ar pašalinamų viešųjų objektų sąrašo sudarymas</w:t>
      </w:r>
    </w:p>
    <w:p w14:paraId="4C4027E6" w14:textId="77777777" w:rsidR="001B0685" w:rsidRDefault="00F57A27">
      <w:pPr>
        <w:ind w:firstLine="567"/>
        <w:jc w:val="both"/>
        <w:rPr>
          <w:bCs/>
          <w:szCs w:val="24"/>
          <w:shd w:val="clear" w:color="auto" w:fill="FFFFFF"/>
          <w:lang w:eastAsia="lt-LT"/>
        </w:rPr>
      </w:pPr>
      <w:r>
        <w:rPr>
          <w:bCs/>
          <w:szCs w:val="24"/>
          <w:shd w:val="clear" w:color="auto" w:fill="FFFFFF"/>
          <w:lang w:eastAsia="lt-LT"/>
        </w:rPr>
        <w:t xml:space="preserve">1. Už viešųjų objektų, prieštaraujančių šio įstatymo </w:t>
      </w:r>
      <w:r>
        <w:rPr>
          <w:bCs/>
          <w:szCs w:val="24"/>
          <w:shd w:val="clear" w:color="auto" w:fill="FFFFFF"/>
          <w:lang w:eastAsia="lt-LT"/>
        </w:rPr>
        <w:t xml:space="preserve">2 straipsnyje 1 dalyje įvardintoms nuostatoms, sąrašo sudarymą atsakingas Lietuvos gyventojų genocido ir rezistencijos tyrimų </w:t>
      </w:r>
      <w:smartTag w:uri="schemas-tilde-lv/tildestengine" w:element="currency2">
        <w:smartTagPr>
          <w:attr w:name="currency_text" w:val="centas"/>
          <w:attr w:name="currency_value" w:val="1"/>
          <w:attr w:name="currency_key" w:val="LTL"/>
          <w:attr w:name="currency_id" w:val="30"/>
        </w:smartTagPr>
        <w:r>
          <w:rPr>
            <w:bCs/>
            <w:szCs w:val="24"/>
            <w:shd w:val="clear" w:color="auto" w:fill="FFFFFF"/>
            <w:lang w:eastAsia="lt-LT"/>
          </w:rPr>
          <w:t>centas</w:t>
        </w:r>
      </w:smartTag>
      <w:r>
        <w:rPr>
          <w:bCs/>
          <w:szCs w:val="24"/>
          <w:shd w:val="clear" w:color="auto" w:fill="FFFFFF"/>
          <w:lang w:eastAsia="lt-LT"/>
        </w:rPr>
        <w:t xml:space="preserve"> (toliau – LGGRTC). LGGRTC sąrašą sudaro įvertinus savivaldybių surinktą ir pateiktą informaciją. </w:t>
      </w:r>
    </w:p>
    <w:p w14:paraId="54478BE7" w14:textId="77777777" w:rsidR="001B0685" w:rsidRDefault="00F57A27">
      <w:pPr>
        <w:ind w:firstLine="567"/>
        <w:jc w:val="both"/>
        <w:rPr>
          <w:bCs/>
          <w:szCs w:val="24"/>
          <w:shd w:val="clear" w:color="auto" w:fill="FFFFFF"/>
          <w:lang w:eastAsia="lt-LT"/>
        </w:rPr>
      </w:pPr>
      <w:r>
        <w:rPr>
          <w:bCs/>
          <w:szCs w:val="24"/>
          <w:shd w:val="clear" w:color="auto" w:fill="FFFFFF"/>
          <w:lang w:eastAsia="lt-LT"/>
        </w:rPr>
        <w:t>2. LGGRTC pateiktą sąrašą</w:t>
      </w:r>
      <w:r>
        <w:rPr>
          <w:bCs/>
          <w:szCs w:val="24"/>
          <w:shd w:val="clear" w:color="auto" w:fill="FFFFFF"/>
          <w:lang w:eastAsia="lt-LT"/>
        </w:rPr>
        <w:t xml:space="preserve"> tvirtina Lietuvos Respublikos Vyriausybė.</w:t>
      </w:r>
    </w:p>
    <w:p w14:paraId="57CF0597" w14:textId="77777777" w:rsidR="001B0685" w:rsidRDefault="00F57A27">
      <w:pPr>
        <w:ind w:firstLine="567"/>
        <w:jc w:val="both"/>
        <w:rPr>
          <w:bCs/>
          <w:szCs w:val="24"/>
          <w:shd w:val="clear" w:color="auto" w:fill="FFFFFF"/>
          <w:lang w:eastAsia="lt-LT"/>
        </w:rPr>
      </w:pPr>
      <w:r>
        <w:rPr>
          <w:bCs/>
          <w:szCs w:val="24"/>
          <w:shd w:val="clear" w:color="auto" w:fill="FFFFFF"/>
          <w:lang w:eastAsia="lt-LT"/>
        </w:rPr>
        <w:t>3. Patvirtinto sąrašo objektų pakeitimo ar pašalinimo tvarką nustato Lietuvos Respublikos Vyriausybė.</w:t>
      </w:r>
    </w:p>
    <w:p w14:paraId="3C16688B" w14:textId="77777777" w:rsidR="001B0685" w:rsidRDefault="001B0685">
      <w:pPr>
        <w:ind w:firstLine="567"/>
        <w:jc w:val="both"/>
        <w:rPr>
          <w:szCs w:val="24"/>
          <w:lang w:eastAsia="lt-LT"/>
        </w:rPr>
      </w:pPr>
    </w:p>
    <w:p w14:paraId="42B56B8C" w14:textId="77777777" w:rsidR="001B0685" w:rsidRDefault="00F57A27">
      <w:pPr>
        <w:ind w:firstLine="57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5 straipsnis. </w:t>
      </w:r>
      <w:r>
        <w:rPr>
          <w:b/>
          <w:bCs/>
          <w:color w:val="000000"/>
          <w:szCs w:val="24"/>
          <w:lang w:eastAsia="lt-LT"/>
        </w:rPr>
        <w:t>Įstatymo įsigaliojimas ir įgyvendinimas</w:t>
      </w:r>
    </w:p>
    <w:p w14:paraId="44EBA589" w14:textId="77777777" w:rsidR="001B0685" w:rsidRDefault="00F57A27">
      <w:pPr>
        <w:ind w:firstLine="57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. Šis įstatymas, išskyrus šio straipsnio 2 dalį, įsigalioja </w:t>
      </w:r>
      <w:smartTag w:uri="schemas-tilde-lv/tildestengine" w:element="metric2">
        <w:smartTagPr>
          <w:attr w:name="metric_text" w:val="m"/>
          <w:attr w:name="metric_value" w:val="2018"/>
        </w:smartTagPr>
        <w:r>
          <w:rPr>
            <w:color w:val="000000"/>
            <w:szCs w:val="24"/>
            <w:lang w:eastAsia="lt-LT"/>
          </w:rPr>
          <w:t>2018 m</w:t>
        </w:r>
      </w:smartTag>
      <w:r>
        <w:rPr>
          <w:color w:val="000000"/>
          <w:szCs w:val="24"/>
          <w:lang w:eastAsia="lt-LT"/>
        </w:rPr>
        <w:t>. liepos 1 d.</w:t>
      </w:r>
    </w:p>
    <w:p w14:paraId="1F3A6425" w14:textId="77777777" w:rsidR="001B0685" w:rsidRDefault="00F57A27">
      <w:pPr>
        <w:ind w:firstLine="57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Lietuvos Respublikos Vyriausybė ar jos įgaliota institucija iki </w:t>
      </w:r>
      <w:smartTag w:uri="schemas-tilde-lv/tildestengine" w:element="metric2">
        <w:smartTagPr>
          <w:attr w:name="metric_value" w:val="2018"/>
          <w:attr w:name="metric_text" w:val="m"/>
        </w:smartTagPr>
        <w:r>
          <w:rPr>
            <w:color w:val="000000"/>
            <w:szCs w:val="24"/>
            <w:lang w:eastAsia="lt-LT"/>
          </w:rPr>
          <w:t>2018 m</w:t>
        </w:r>
      </w:smartTag>
      <w:r>
        <w:rPr>
          <w:color w:val="000000"/>
          <w:szCs w:val="24"/>
          <w:lang w:eastAsia="lt-LT"/>
        </w:rPr>
        <w:t>. birželio 30 d. priima šio įstatymo įgyvendinamuosius teisės aktus.</w:t>
      </w:r>
    </w:p>
    <w:p w14:paraId="1E209E15" w14:textId="77777777" w:rsidR="001B0685" w:rsidRDefault="00F57A27">
      <w:pPr>
        <w:ind w:firstLine="57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Įstatymo įgyvendinimo procesą s</w:t>
      </w:r>
      <w:r>
        <w:rPr>
          <w:color w:val="000000"/>
          <w:szCs w:val="24"/>
          <w:lang w:eastAsia="lt-LT"/>
        </w:rPr>
        <w:t xml:space="preserve">tebi ir prižiūri Lietuvos Respublikos Seimo Valstybės istorinės atminties ir Laisvės kovų komisijos. </w:t>
      </w:r>
    </w:p>
    <w:p w14:paraId="645D5FC6" w14:textId="77777777" w:rsidR="001B0685" w:rsidRDefault="001B0685">
      <w:pPr>
        <w:jc w:val="both"/>
        <w:rPr>
          <w:szCs w:val="24"/>
          <w:lang w:eastAsia="lt-LT"/>
        </w:rPr>
      </w:pPr>
    </w:p>
    <w:p w14:paraId="6D300818" w14:textId="77777777" w:rsidR="001B0685" w:rsidRDefault="001B0685">
      <w:pPr>
        <w:jc w:val="both"/>
        <w:rPr>
          <w:szCs w:val="24"/>
          <w:lang w:eastAsia="lt-LT"/>
        </w:rPr>
      </w:pPr>
    </w:p>
    <w:p w14:paraId="66B36066" w14:textId="77777777" w:rsidR="001B0685" w:rsidRDefault="00F57A27">
      <w:pPr>
        <w:ind w:firstLine="57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0A86279D" w14:textId="77777777" w:rsidR="001B0685" w:rsidRDefault="001B0685">
      <w:pPr>
        <w:jc w:val="both"/>
        <w:rPr>
          <w:szCs w:val="24"/>
          <w:lang w:eastAsia="lt-LT"/>
        </w:rPr>
      </w:pPr>
    </w:p>
    <w:p w14:paraId="57AA5D7E" w14:textId="77777777" w:rsidR="001B0685" w:rsidRDefault="001B0685">
      <w:pPr>
        <w:jc w:val="both"/>
        <w:rPr>
          <w:szCs w:val="24"/>
          <w:lang w:eastAsia="lt-LT"/>
        </w:rPr>
      </w:pPr>
    </w:p>
    <w:p w14:paraId="3DD1921A" w14:textId="77777777" w:rsidR="001B0685" w:rsidRDefault="00F57A27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2BDEB56E" w14:textId="77777777" w:rsidR="001B0685" w:rsidRDefault="001B0685">
      <w:pPr>
        <w:jc w:val="both"/>
        <w:rPr>
          <w:szCs w:val="24"/>
          <w:lang w:eastAsia="lt-LT"/>
        </w:rPr>
      </w:pPr>
    </w:p>
    <w:p w14:paraId="19E30977" w14:textId="77777777" w:rsidR="001B0685" w:rsidRDefault="001B0685">
      <w:pPr>
        <w:jc w:val="both"/>
        <w:rPr>
          <w:szCs w:val="24"/>
          <w:lang w:eastAsia="lt-LT"/>
        </w:rPr>
      </w:pPr>
    </w:p>
    <w:p w14:paraId="35EEDF2A" w14:textId="77777777" w:rsidR="001B0685" w:rsidRDefault="001B0685">
      <w:pPr>
        <w:jc w:val="both"/>
        <w:rPr>
          <w:szCs w:val="24"/>
          <w:lang w:eastAsia="lt-LT"/>
        </w:rPr>
      </w:pPr>
    </w:p>
    <w:p w14:paraId="27F42C4B" w14:textId="77777777" w:rsidR="001B0685" w:rsidRDefault="00F57A27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Teikia:</w:t>
      </w:r>
    </w:p>
    <w:p w14:paraId="5D541183" w14:textId="77777777" w:rsidR="001B0685" w:rsidRDefault="001B0685">
      <w:pPr>
        <w:jc w:val="both"/>
        <w:rPr>
          <w:szCs w:val="24"/>
          <w:lang w:eastAsia="lt-LT"/>
        </w:rPr>
      </w:pPr>
    </w:p>
    <w:p w14:paraId="7D30A760" w14:textId="77777777" w:rsidR="001B0685" w:rsidRDefault="001B0685">
      <w:pPr>
        <w:jc w:val="both"/>
        <w:rPr>
          <w:szCs w:val="24"/>
          <w:lang w:eastAsia="lt-LT"/>
        </w:rPr>
      </w:pPr>
    </w:p>
    <w:p w14:paraId="4E921771" w14:textId="77777777" w:rsidR="001B0685" w:rsidRDefault="00F57A27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Seimo nariai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559A36C5" w14:textId="77777777" w:rsidR="001B0685" w:rsidRDefault="001B0685">
      <w:pPr>
        <w:jc w:val="both"/>
        <w:rPr>
          <w:szCs w:val="24"/>
          <w:lang w:eastAsia="lt-LT"/>
        </w:rPr>
      </w:pPr>
    </w:p>
    <w:p w14:paraId="183412EA" w14:textId="77777777" w:rsidR="001B0685" w:rsidRDefault="001B0685">
      <w:pPr>
        <w:jc w:val="both"/>
        <w:rPr>
          <w:szCs w:val="24"/>
          <w:lang w:eastAsia="lt-LT"/>
        </w:rPr>
      </w:pPr>
    </w:p>
    <w:p w14:paraId="20C64B57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Audronius Ažubalis</w:t>
      </w:r>
    </w:p>
    <w:p w14:paraId="72450226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Laurynas </w:t>
      </w:r>
      <w:r>
        <w:rPr>
          <w:szCs w:val="24"/>
          <w:lang w:eastAsia="lt-LT"/>
        </w:rPr>
        <w:t>Kasčiūnas</w:t>
      </w:r>
    </w:p>
    <w:p w14:paraId="5C7058D3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Arūnas Gumuliauskas</w:t>
      </w:r>
    </w:p>
    <w:p w14:paraId="5D0C7B94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Stasys Tumėnas</w:t>
      </w:r>
    </w:p>
    <w:p w14:paraId="42EDD04E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Povilas Urbšys</w:t>
      </w:r>
    </w:p>
    <w:p w14:paraId="385D1D9F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Emanuelis Zingeris</w:t>
      </w:r>
    </w:p>
    <w:p w14:paraId="67463C12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Eugenijus Gentvilas</w:t>
      </w:r>
    </w:p>
    <w:p w14:paraId="0C7B5A2E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Agnė Bilotaitė</w:t>
      </w:r>
    </w:p>
    <w:p w14:paraId="733F4FCE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Paulius Saudargas</w:t>
      </w:r>
    </w:p>
    <w:p w14:paraId="5EE57B69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Vytautas Juozapaitis</w:t>
      </w:r>
    </w:p>
    <w:p w14:paraId="24BC4270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Arvydas Anušauskas</w:t>
      </w:r>
    </w:p>
    <w:p w14:paraId="654D8D9D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Aušra Maldeikienė</w:t>
      </w:r>
    </w:p>
    <w:p w14:paraId="6B3EB273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Arvydas Nekrošius</w:t>
      </w:r>
    </w:p>
    <w:p w14:paraId="5F50CDA0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Ingrida Šimonytė</w:t>
      </w:r>
    </w:p>
    <w:p w14:paraId="39ED6A09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Radvilė Morkūnaitė-Mikulėnienė</w:t>
      </w:r>
    </w:p>
    <w:p w14:paraId="6409BF39" w14:textId="77777777" w:rsidR="001B0685" w:rsidRDefault="00F57A27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Petras Gražulis</w:t>
      </w:r>
    </w:p>
    <w:p w14:paraId="64F9D362" w14:textId="77777777" w:rsidR="001B0685" w:rsidRDefault="001B0685">
      <w:pPr>
        <w:jc w:val="both"/>
        <w:rPr>
          <w:szCs w:val="24"/>
          <w:lang w:eastAsia="lt-LT"/>
        </w:rPr>
      </w:pPr>
    </w:p>
    <w:p w14:paraId="5F2F4319" w14:textId="77777777" w:rsidR="001B0685" w:rsidRDefault="001B0685">
      <w:pPr>
        <w:ind w:left="5184" w:firstLine="1296"/>
        <w:jc w:val="both"/>
        <w:rPr>
          <w:szCs w:val="24"/>
          <w:lang w:eastAsia="lt-LT"/>
        </w:rPr>
      </w:pPr>
    </w:p>
    <w:sectPr w:rsidR="001B0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DD53" w14:textId="77777777" w:rsidR="001B0685" w:rsidRDefault="00F57A2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0C813788" w14:textId="77777777" w:rsidR="001B0685" w:rsidRDefault="00F57A2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BE7C" w14:textId="77777777" w:rsidR="001B0685" w:rsidRDefault="001B0685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C024" w14:textId="77777777" w:rsidR="001B0685" w:rsidRDefault="001B0685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3B22" w14:textId="77777777" w:rsidR="001B0685" w:rsidRDefault="001B0685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F086" w14:textId="77777777" w:rsidR="001B0685" w:rsidRDefault="00F57A2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E4E784B" w14:textId="77777777" w:rsidR="001B0685" w:rsidRDefault="00F57A2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F63B" w14:textId="77777777" w:rsidR="001B0685" w:rsidRDefault="00F57A27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5D02FEB6" w14:textId="77777777" w:rsidR="001B0685" w:rsidRDefault="001B0685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CF00" w14:textId="77777777" w:rsidR="001B0685" w:rsidRDefault="00F57A27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10FBFB29" w14:textId="77777777" w:rsidR="001B0685" w:rsidRDefault="001B0685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D4F1" w14:textId="77777777" w:rsidR="001B0685" w:rsidRDefault="001B0685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74"/>
    <w:rsid w:val="001B0685"/>
    <w:rsid w:val="005F0E74"/>
    <w:rsid w:val="00F5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4E883B62"/>
  <w15:docId w15:val="{73FCB0F9-1A33-4C4B-951B-E1FFEDAA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*</Company>
  <LinksUpToDate>false</LinksUpToDate>
  <CharactersWithSpaces>3777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*</dc:creator>
  <cp:lastModifiedBy>Piotr Gerasimovič</cp:lastModifiedBy>
  <cp:revision>2</cp:revision>
  <cp:lastPrinted>2017-12-05T11:24:00Z</cp:lastPrinted>
  <dcterms:created xsi:type="dcterms:W3CDTF">2021-11-08T08:28:00Z</dcterms:created>
  <dcterms:modified xsi:type="dcterms:W3CDTF">2021-11-08T08:28:00Z</dcterms:modified>
</cp:coreProperties>
</file>