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32F51" w14:textId="77777777" w:rsidR="006E3D25" w:rsidRPr="00C97FE4" w:rsidRDefault="00132001" w:rsidP="004C08F6">
      <w:pPr>
        <w:pStyle w:val="paveikslas"/>
        <w:framePr w:w="1575" w:h="1080" w:hRule="exact" w:wrap="auto" w:x="5662" w:y="14"/>
        <w:jc w:val="both"/>
        <w:rPr>
          <w:rFonts w:ascii="Times New Roman" w:hAnsi="Times New Roman"/>
        </w:rPr>
      </w:pPr>
      <w:r w:rsidRPr="00C97FE4">
        <w:rPr>
          <w:rFonts w:ascii="Times New Roman" w:hAnsi="Times New Roman"/>
          <w:noProof/>
          <w:lang w:eastAsia="lt-LT"/>
        </w:rPr>
        <w:drawing>
          <wp:inline distT="0" distB="0" distL="0" distR="0" wp14:anchorId="684271BE" wp14:editId="581281BB">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14:paraId="350AE927" w14:textId="77777777" w:rsidR="006E3D25" w:rsidRPr="00C97FE4" w:rsidRDefault="006E3D25">
      <w:pPr>
        <w:jc w:val="both"/>
        <w:rPr>
          <w:rFonts w:ascii="Times New Roman" w:hAnsi="Times New Roman"/>
          <w:lang w:val="lt-LT"/>
        </w:rPr>
      </w:pPr>
    </w:p>
    <w:p w14:paraId="7E9F55E2" w14:textId="77777777" w:rsidR="006E3D25" w:rsidRPr="00C97FE4" w:rsidRDefault="006E3D25">
      <w:pPr>
        <w:jc w:val="both"/>
        <w:rPr>
          <w:rFonts w:ascii="Times New Roman" w:hAnsi="Times New Roman"/>
          <w:lang w:val="lt-LT"/>
        </w:rPr>
      </w:pPr>
    </w:p>
    <w:p w14:paraId="41AEB257" w14:textId="77777777" w:rsidR="006A5859" w:rsidRPr="00C97FE4" w:rsidRDefault="006A5859">
      <w:pPr>
        <w:jc w:val="both"/>
        <w:rPr>
          <w:rFonts w:ascii="Times New Roman" w:hAnsi="Times New Roman"/>
          <w:lang w:val="lt-LT"/>
        </w:rPr>
      </w:pPr>
    </w:p>
    <w:p w14:paraId="65FC9B87" w14:textId="77777777" w:rsidR="006A5859" w:rsidRPr="00C97FE4" w:rsidRDefault="006A5859">
      <w:pPr>
        <w:jc w:val="both"/>
        <w:rPr>
          <w:rFonts w:ascii="Times New Roman" w:hAnsi="Times New Roman"/>
          <w:lang w:val="lt-LT"/>
        </w:rPr>
      </w:pPr>
    </w:p>
    <w:p w14:paraId="26E787C6" w14:textId="77777777" w:rsidR="006A5859" w:rsidRPr="00C97FE4" w:rsidRDefault="006A5859" w:rsidP="006A5859">
      <w:pPr>
        <w:jc w:val="center"/>
        <w:rPr>
          <w:rFonts w:ascii="Times New Roman" w:hAnsi="Times New Roman"/>
          <w:b/>
          <w:lang w:val="lt-LT"/>
        </w:rPr>
      </w:pPr>
      <w:r w:rsidRPr="00C97FE4">
        <w:rPr>
          <w:rFonts w:ascii="Times New Roman" w:hAnsi="Times New Roman"/>
          <w:b/>
          <w:sz w:val="28"/>
        </w:rPr>
        <w:t>LIETUVOS RESPUBLIKOS ŽEMĖS ŪKIO MINISTERIJA</w:t>
      </w:r>
    </w:p>
    <w:p w14:paraId="1B5088D4" w14:textId="77777777" w:rsidR="006A5859" w:rsidRPr="00C97FE4" w:rsidRDefault="006A5859">
      <w:pPr>
        <w:jc w:val="both"/>
        <w:rPr>
          <w:rFonts w:ascii="Times New Roman" w:hAnsi="Times New Roman"/>
          <w:lang w:val="lt-LT"/>
        </w:rPr>
      </w:pPr>
    </w:p>
    <w:p w14:paraId="7B9DF4F2" w14:textId="77777777" w:rsidR="00D46316" w:rsidRPr="00C97FE4" w:rsidRDefault="00D46316" w:rsidP="008165CC">
      <w:pPr>
        <w:pStyle w:val="apacia"/>
        <w:framePr w:w="9991" w:h="1456" w:wrap="notBeside" w:x="1392" w:y="14725"/>
        <w:rPr>
          <w:rFonts w:ascii="Times New Roman" w:hAnsi="Times New Roman"/>
          <w:lang w:val="lt-LT"/>
        </w:rPr>
      </w:pPr>
      <w:r w:rsidRPr="00C97FE4">
        <w:rPr>
          <w:rFonts w:ascii="Times New Roman" w:hAnsi="Times New Roman"/>
          <w:lang w:val="lt-LT"/>
        </w:rPr>
        <w:t>______________________________________________________________</w:t>
      </w:r>
      <w:r>
        <w:rPr>
          <w:rFonts w:ascii="Times New Roman" w:hAnsi="Times New Roman"/>
          <w:lang w:val="lt-LT"/>
        </w:rPr>
        <w:t>__</w:t>
      </w:r>
      <w:r w:rsidRPr="00C97FE4">
        <w:rPr>
          <w:rFonts w:ascii="Times New Roman" w:hAnsi="Times New Roman"/>
          <w:lang w:val="lt-LT"/>
        </w:rPr>
        <w:t>________________________________</w:t>
      </w:r>
    </w:p>
    <w:p w14:paraId="75CAD023" w14:textId="77777777" w:rsidR="00D46316" w:rsidRPr="00C97FE4" w:rsidRDefault="00D46316" w:rsidP="008165CC">
      <w:pPr>
        <w:pStyle w:val="apacia"/>
        <w:framePr w:w="9991" w:h="1456" w:wrap="notBeside" w:x="1392" w:y="14725"/>
        <w:rPr>
          <w:rFonts w:ascii="Times New Roman" w:hAnsi="Times New Roman"/>
          <w:lang w:val="lt-LT"/>
        </w:rPr>
      </w:pPr>
    </w:p>
    <w:p w14:paraId="009FC209" w14:textId="77777777" w:rsidR="00D46316" w:rsidRPr="00C97FE4" w:rsidRDefault="00D46316" w:rsidP="008165CC">
      <w:pPr>
        <w:pStyle w:val="apacia"/>
        <w:framePr w:w="9991" w:h="1456" w:wrap="notBeside" w:x="1392" w:y="14725"/>
        <w:rPr>
          <w:rFonts w:ascii="Times New Roman" w:hAnsi="Times New Roman"/>
          <w:lang w:val="lt-LT"/>
        </w:rPr>
      </w:pP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p>
    <w:p w14:paraId="0BE3755E" w14:textId="77777777" w:rsidR="006E3D25" w:rsidRDefault="006E3D25">
      <w:pPr>
        <w:jc w:val="both"/>
        <w:rPr>
          <w:rFonts w:ascii="Times New Roman" w:hAnsi="Times New Roman"/>
          <w:lang w:val="lt-LT"/>
        </w:rPr>
      </w:pPr>
    </w:p>
    <w:p w14:paraId="301A3D11" w14:textId="77777777" w:rsidR="0006585C" w:rsidRDefault="0006585C">
      <w:pPr>
        <w:jc w:val="both"/>
        <w:rPr>
          <w:rFonts w:ascii="Times New Roman" w:hAnsi="Times New Roman"/>
          <w:lang w:val="lt-LT"/>
        </w:rPr>
      </w:pPr>
    </w:p>
    <w:tbl>
      <w:tblPr>
        <w:tblStyle w:val="Lentelstinklelis"/>
        <w:tblW w:w="113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2551"/>
        <w:gridCol w:w="2289"/>
        <w:gridCol w:w="2531"/>
        <w:gridCol w:w="2291"/>
      </w:tblGrid>
      <w:tr w:rsidR="00D46316" w:rsidRPr="00D46316" w14:paraId="7A5E0AA7" w14:textId="77777777" w:rsidTr="008165CC">
        <w:tc>
          <w:tcPr>
            <w:tcW w:w="1736" w:type="dxa"/>
          </w:tcPr>
          <w:p w14:paraId="79A570B4"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Biudžetinė įstaiga</w:t>
            </w:r>
          </w:p>
          <w:p w14:paraId="5AE1A270"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Gedimino pr. 19</w:t>
            </w:r>
          </w:p>
          <w:p w14:paraId="1D217A48"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01103  Vilnius</w:t>
            </w:r>
          </w:p>
          <w:p w14:paraId="285CDC99"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 </w:t>
            </w:r>
          </w:p>
        </w:tc>
        <w:tc>
          <w:tcPr>
            <w:tcW w:w="2551" w:type="dxa"/>
          </w:tcPr>
          <w:p w14:paraId="0D879527"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Tel.    (8 5)  239 1001 </w:t>
            </w:r>
          </w:p>
          <w:p w14:paraId="2571BC28" w14:textId="77777777" w:rsidR="00D46316" w:rsidRPr="00D46316" w:rsidRDefault="008165CC" w:rsidP="008165CC">
            <w:pPr>
              <w:framePr w:w="9492" w:h="896" w:hSpace="181" w:wrap="around" w:vAnchor="page" w:hAnchor="page" w:x="1651" w:y="15032" w:anchorLock="1"/>
              <w:rPr>
                <w:rStyle w:val="Hipersaitas"/>
                <w:rFonts w:ascii="Times New Roman" w:hAnsi="Times New Roman"/>
                <w:sz w:val="14"/>
                <w:lang w:val="lt-LT"/>
              </w:rPr>
            </w:pPr>
            <w:r w:rsidRPr="00D46316">
              <w:rPr>
                <w:rFonts w:ascii="Times New Roman" w:hAnsi="Times New Roman"/>
                <w:sz w:val="14"/>
                <w:lang w:val="lt-LT"/>
              </w:rPr>
              <w:t xml:space="preserve">Faks.  (8 5)  239 1212  </w:t>
            </w:r>
            <w:r w:rsidR="00D46316" w:rsidRPr="00D46316">
              <w:rPr>
                <w:rFonts w:ascii="Times New Roman" w:hAnsi="Times New Roman"/>
                <w:sz w:val="14"/>
                <w:lang w:val="lt-LT"/>
              </w:rPr>
              <w:t xml:space="preserve">El. paštas </w:t>
            </w:r>
            <w:hyperlink r:id="rId7" w:history="1">
              <w:r w:rsidR="00D46316" w:rsidRPr="00D46316">
                <w:rPr>
                  <w:rStyle w:val="Hipersaitas"/>
                  <w:rFonts w:ascii="Times New Roman" w:hAnsi="Times New Roman"/>
                  <w:sz w:val="14"/>
                  <w:lang w:val="lt-LT"/>
                </w:rPr>
                <w:t>zum@zum.lt</w:t>
              </w:r>
            </w:hyperlink>
          </w:p>
          <w:p w14:paraId="174C0CD8" w14:textId="77777777" w:rsidR="00D46316" w:rsidRPr="00D46316" w:rsidRDefault="00A05764" w:rsidP="00D46316">
            <w:pPr>
              <w:framePr w:w="9492" w:h="896" w:hSpace="181" w:wrap="around" w:vAnchor="page" w:hAnchor="page" w:x="1651" w:y="15032" w:anchorLock="1"/>
              <w:rPr>
                <w:rFonts w:ascii="Times New Roman" w:hAnsi="Times New Roman"/>
                <w:sz w:val="14"/>
                <w:lang w:val="lt-LT"/>
              </w:rPr>
            </w:pPr>
            <w:hyperlink r:id="rId8" w:history="1">
              <w:r w:rsidR="00D46316" w:rsidRPr="00D46316">
                <w:rPr>
                  <w:rStyle w:val="Hipersaitas"/>
                  <w:rFonts w:ascii="Times New Roman" w:hAnsi="Times New Roman"/>
                  <w:sz w:val="14"/>
                  <w:lang w:val="lt-LT"/>
                </w:rPr>
                <w:t>http://www.zum.lt</w:t>
              </w:r>
            </w:hyperlink>
          </w:p>
          <w:p w14:paraId="5B958ACA"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tc>
        <w:tc>
          <w:tcPr>
            <w:tcW w:w="2289" w:type="dxa"/>
          </w:tcPr>
          <w:p w14:paraId="12FA5CCC"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bookmarkStart w:id="1" w:name="OLE_LINK1"/>
            <w:bookmarkStart w:id="2" w:name="OLE_LINK2"/>
            <w:r w:rsidRPr="00D46316">
              <w:rPr>
                <w:rFonts w:ascii="Times New Roman" w:hAnsi="Times New Roman"/>
                <w:sz w:val="14"/>
                <w:lang w:val="lt-LT"/>
              </w:rPr>
              <w:t>Duomenys kaupiami ir saugomi</w:t>
            </w:r>
          </w:p>
          <w:p w14:paraId="29C6C9CA"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Juridinių asmenų registre</w:t>
            </w:r>
          </w:p>
          <w:bookmarkEnd w:id="1"/>
          <w:bookmarkEnd w:id="2"/>
          <w:p w14:paraId="4A380F64" w14:textId="77777777" w:rsidR="00D46316"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Kodas 188675190</w:t>
            </w:r>
          </w:p>
        </w:tc>
        <w:tc>
          <w:tcPr>
            <w:tcW w:w="2531" w:type="dxa"/>
          </w:tcPr>
          <w:p w14:paraId="63B35454"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Atsiskait</w:t>
            </w:r>
            <w:r>
              <w:rPr>
                <w:rFonts w:ascii="Times New Roman" w:hAnsi="Times New Roman"/>
                <w:sz w:val="14"/>
                <w:lang w:val="lt-LT"/>
              </w:rPr>
              <w:t xml:space="preserve">omoji </w:t>
            </w:r>
            <w:r w:rsidRPr="00D46316">
              <w:rPr>
                <w:rFonts w:ascii="Times New Roman" w:hAnsi="Times New Roman"/>
                <w:sz w:val="14"/>
                <w:lang w:val="lt-LT"/>
              </w:rPr>
              <w:t xml:space="preserve">sąskaita </w:t>
            </w:r>
          </w:p>
          <w:p w14:paraId="71B71505"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LT674010042400070079</w:t>
            </w:r>
          </w:p>
          <w:p w14:paraId="17AE6059"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proofErr w:type="spellStart"/>
            <w:r>
              <w:rPr>
                <w:rFonts w:ascii="Times New Roman" w:hAnsi="Times New Roman"/>
                <w:sz w:val="14"/>
                <w:lang w:val="lt-LT"/>
              </w:rPr>
              <w:t>Luminor</w:t>
            </w:r>
            <w:proofErr w:type="spellEnd"/>
            <w:r>
              <w:rPr>
                <w:rFonts w:ascii="Times New Roman" w:hAnsi="Times New Roman"/>
                <w:sz w:val="14"/>
                <w:lang w:val="lt-LT"/>
              </w:rPr>
              <w:t xml:space="preserve"> Bank AB</w:t>
            </w:r>
            <w:r w:rsidRPr="00D46316">
              <w:rPr>
                <w:rFonts w:ascii="Times New Roman" w:hAnsi="Times New Roman"/>
                <w:sz w:val="14"/>
                <w:lang w:val="lt-LT"/>
              </w:rPr>
              <w:t xml:space="preserve"> </w:t>
            </w:r>
          </w:p>
          <w:p w14:paraId="17B2EFCE" w14:textId="77777777" w:rsidR="00D46316" w:rsidRPr="0038755D" w:rsidRDefault="00D46316" w:rsidP="008165CC">
            <w:pPr>
              <w:framePr w:w="9492" w:h="896" w:hSpace="181" w:wrap="around" w:vAnchor="page" w:hAnchor="page" w:x="1651" w:y="15032" w:anchorLock="1"/>
              <w:ind w:right="-246"/>
              <w:jc w:val="center"/>
              <w:rPr>
                <w:rFonts w:ascii="Times New Roman" w:hAnsi="Times New Roman"/>
                <w:sz w:val="14"/>
                <w:lang w:val="lt-LT"/>
              </w:rPr>
            </w:pPr>
          </w:p>
        </w:tc>
        <w:tc>
          <w:tcPr>
            <w:tcW w:w="2291" w:type="dxa"/>
          </w:tcPr>
          <w:p w14:paraId="46A67186" w14:textId="77777777" w:rsidR="00D46316" w:rsidRPr="00D46316" w:rsidRDefault="00D46316" w:rsidP="004E4C91">
            <w:pPr>
              <w:framePr w:w="9492" w:h="896" w:hSpace="181" w:wrap="around" w:vAnchor="page" w:hAnchor="page" w:x="1651" w:y="15032" w:anchorLock="1"/>
              <w:jc w:val="both"/>
              <w:rPr>
                <w:rFonts w:ascii="Times New Roman" w:hAnsi="Times New Roman"/>
                <w:sz w:val="14"/>
                <w:lang w:val="lt-LT"/>
              </w:rPr>
            </w:pPr>
          </w:p>
        </w:tc>
      </w:tr>
    </w:tbl>
    <w:p w14:paraId="04CB94DE"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p w14:paraId="111AC737" w14:textId="77777777" w:rsidR="0006585C" w:rsidRDefault="0006585C">
      <w:pPr>
        <w:jc w:val="both"/>
        <w:rPr>
          <w:rFonts w:ascii="Times New Roman" w:hAnsi="Times New Roman"/>
          <w:lang w:val="lt-LT"/>
        </w:rPr>
      </w:pPr>
    </w:p>
    <w:p w14:paraId="4B595628" w14:textId="77777777" w:rsidR="0006585C" w:rsidRDefault="0006585C">
      <w:pPr>
        <w:jc w:val="both"/>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296"/>
        <w:gridCol w:w="1723"/>
        <w:gridCol w:w="530"/>
        <w:gridCol w:w="2285"/>
      </w:tblGrid>
      <w:tr w:rsidR="001E15F2" w14:paraId="1B6AEEA1" w14:textId="77777777" w:rsidTr="001E15F2">
        <w:tc>
          <w:tcPr>
            <w:tcW w:w="4920" w:type="dxa"/>
            <w:vMerge w:val="restart"/>
          </w:tcPr>
          <w:p w14:paraId="1B7194B3" w14:textId="0F5C44ED" w:rsidR="001C2852" w:rsidRDefault="00155D84" w:rsidP="001C2852">
            <w:pPr>
              <w:spacing w:after="120"/>
              <w:jc w:val="both"/>
              <w:rPr>
                <w:rFonts w:ascii="Times New Roman" w:hAnsi="Times New Roman"/>
                <w:szCs w:val="24"/>
                <w:lang w:val="lt-LT"/>
              </w:rPr>
            </w:pPr>
            <w:r>
              <w:rPr>
                <w:rFonts w:ascii="Times New Roman" w:hAnsi="Times New Roman"/>
                <w:szCs w:val="24"/>
                <w:lang w:val="lt-LT"/>
              </w:rPr>
              <w:t>Lietuvos Respublikos Vyriausybei</w:t>
            </w:r>
          </w:p>
          <w:p w14:paraId="052A463D" w14:textId="77777777" w:rsidR="001E15F2" w:rsidRDefault="001E15F2" w:rsidP="001E15F2">
            <w:pPr>
              <w:jc w:val="both"/>
              <w:rPr>
                <w:rFonts w:ascii="Times New Roman" w:hAnsi="Times New Roman"/>
                <w:lang w:val="lt-LT"/>
              </w:rPr>
            </w:pPr>
          </w:p>
        </w:tc>
        <w:tc>
          <w:tcPr>
            <w:tcW w:w="296" w:type="dxa"/>
          </w:tcPr>
          <w:p w14:paraId="41D5476F" w14:textId="77777777" w:rsidR="001E15F2" w:rsidRDefault="001E15F2">
            <w:pPr>
              <w:jc w:val="both"/>
              <w:rPr>
                <w:rFonts w:ascii="Times New Roman" w:hAnsi="Times New Roman"/>
                <w:lang w:val="lt-LT"/>
              </w:rPr>
            </w:pPr>
          </w:p>
        </w:tc>
        <w:tc>
          <w:tcPr>
            <w:tcW w:w="1755" w:type="dxa"/>
            <w:tcBorders>
              <w:bottom w:val="single" w:sz="4" w:space="0" w:color="auto"/>
            </w:tcBorders>
          </w:tcPr>
          <w:p w14:paraId="2E224CC9" w14:textId="596633C5" w:rsidR="001E15F2" w:rsidRPr="001C2852" w:rsidRDefault="001C2852">
            <w:pPr>
              <w:jc w:val="both"/>
              <w:rPr>
                <w:rFonts w:ascii="Times New Roman" w:hAnsi="Times New Roman"/>
                <w:lang w:val="en-US"/>
              </w:rPr>
            </w:pPr>
            <w:r>
              <w:rPr>
                <w:rFonts w:ascii="Times New Roman" w:hAnsi="Times New Roman"/>
                <w:lang w:val="en-US"/>
              </w:rPr>
              <w:t>2021</w:t>
            </w:r>
            <w:r w:rsidR="00155D84">
              <w:rPr>
                <w:rFonts w:ascii="Times New Roman" w:hAnsi="Times New Roman"/>
                <w:lang w:val="en-US"/>
              </w:rPr>
              <w:t>-</w:t>
            </w:r>
          </w:p>
        </w:tc>
        <w:tc>
          <w:tcPr>
            <w:tcW w:w="530" w:type="dxa"/>
          </w:tcPr>
          <w:p w14:paraId="74E87E3A" w14:textId="77777777" w:rsidR="001E15F2" w:rsidRDefault="001E15F2">
            <w:pPr>
              <w:jc w:val="both"/>
              <w:rPr>
                <w:rFonts w:ascii="Times New Roman" w:hAnsi="Times New Roman"/>
                <w:lang w:val="lt-LT"/>
              </w:rPr>
            </w:pPr>
            <w:r>
              <w:rPr>
                <w:rFonts w:ascii="Times New Roman" w:hAnsi="Times New Roman"/>
                <w:lang w:val="lt-LT"/>
              </w:rPr>
              <w:t>Nr.</w:t>
            </w:r>
          </w:p>
        </w:tc>
        <w:tc>
          <w:tcPr>
            <w:tcW w:w="2354" w:type="dxa"/>
            <w:tcBorders>
              <w:bottom w:val="single" w:sz="4" w:space="0" w:color="auto"/>
            </w:tcBorders>
          </w:tcPr>
          <w:p w14:paraId="163F74A7" w14:textId="5307C2C6" w:rsidR="001E15F2" w:rsidRDefault="001E15F2">
            <w:pPr>
              <w:jc w:val="both"/>
              <w:rPr>
                <w:rFonts w:ascii="Times New Roman" w:hAnsi="Times New Roman"/>
                <w:lang w:val="lt-LT"/>
              </w:rPr>
            </w:pPr>
          </w:p>
        </w:tc>
      </w:tr>
      <w:tr w:rsidR="001E15F2" w14:paraId="4A61A5EF" w14:textId="77777777" w:rsidTr="001E15F2">
        <w:tc>
          <w:tcPr>
            <w:tcW w:w="4920" w:type="dxa"/>
            <w:vMerge/>
          </w:tcPr>
          <w:p w14:paraId="705166A9" w14:textId="77777777" w:rsidR="001E15F2" w:rsidRDefault="001E15F2">
            <w:pPr>
              <w:jc w:val="both"/>
              <w:rPr>
                <w:rFonts w:ascii="Times New Roman" w:hAnsi="Times New Roman"/>
                <w:lang w:val="lt-LT"/>
              </w:rPr>
            </w:pPr>
          </w:p>
        </w:tc>
        <w:tc>
          <w:tcPr>
            <w:tcW w:w="296" w:type="dxa"/>
          </w:tcPr>
          <w:p w14:paraId="7DDC48DE" w14:textId="77777777" w:rsidR="001E15F2" w:rsidRDefault="001E15F2" w:rsidP="0006585C">
            <w:pPr>
              <w:spacing w:before="120"/>
              <w:jc w:val="both"/>
              <w:rPr>
                <w:rFonts w:ascii="Times New Roman" w:hAnsi="Times New Roman"/>
                <w:lang w:val="lt-LT"/>
              </w:rPr>
            </w:pPr>
            <w:r>
              <w:rPr>
                <w:rFonts w:ascii="Times New Roman" w:hAnsi="Times New Roman"/>
                <w:lang w:val="lt-LT"/>
              </w:rPr>
              <w:t>Į</w:t>
            </w:r>
          </w:p>
        </w:tc>
        <w:tc>
          <w:tcPr>
            <w:tcW w:w="1755" w:type="dxa"/>
            <w:tcBorders>
              <w:top w:val="single" w:sz="4" w:space="0" w:color="auto"/>
              <w:bottom w:val="single" w:sz="4" w:space="0" w:color="auto"/>
            </w:tcBorders>
          </w:tcPr>
          <w:p w14:paraId="06E46703" w14:textId="77777777" w:rsidR="001E15F2" w:rsidRDefault="001E15F2" w:rsidP="0006585C">
            <w:pPr>
              <w:spacing w:before="120"/>
              <w:jc w:val="both"/>
              <w:rPr>
                <w:rFonts w:ascii="Times New Roman" w:hAnsi="Times New Roman"/>
                <w:lang w:val="lt-LT"/>
              </w:rPr>
            </w:pPr>
          </w:p>
        </w:tc>
        <w:tc>
          <w:tcPr>
            <w:tcW w:w="530" w:type="dxa"/>
          </w:tcPr>
          <w:p w14:paraId="03508309" w14:textId="77777777" w:rsidR="001E15F2" w:rsidRDefault="001E15F2" w:rsidP="0006585C">
            <w:pPr>
              <w:spacing w:before="120"/>
              <w:jc w:val="both"/>
              <w:rPr>
                <w:rFonts w:ascii="Times New Roman" w:hAnsi="Times New Roman"/>
                <w:lang w:val="lt-LT"/>
              </w:rPr>
            </w:pPr>
            <w:r>
              <w:rPr>
                <w:rFonts w:ascii="Times New Roman" w:hAnsi="Times New Roman"/>
                <w:lang w:val="lt-LT"/>
              </w:rPr>
              <w:t>Nr.</w:t>
            </w:r>
          </w:p>
        </w:tc>
        <w:tc>
          <w:tcPr>
            <w:tcW w:w="2354" w:type="dxa"/>
            <w:tcBorders>
              <w:top w:val="single" w:sz="4" w:space="0" w:color="auto"/>
              <w:bottom w:val="single" w:sz="4" w:space="0" w:color="auto"/>
            </w:tcBorders>
          </w:tcPr>
          <w:p w14:paraId="42BF9270" w14:textId="77777777" w:rsidR="001E15F2" w:rsidRDefault="001E15F2" w:rsidP="0006585C">
            <w:pPr>
              <w:spacing w:before="120"/>
              <w:jc w:val="both"/>
              <w:rPr>
                <w:rFonts w:ascii="Times New Roman" w:hAnsi="Times New Roman"/>
                <w:lang w:val="lt-LT"/>
              </w:rPr>
            </w:pPr>
          </w:p>
        </w:tc>
      </w:tr>
      <w:tr w:rsidR="001E15F2" w14:paraId="052DC01E" w14:textId="77777777" w:rsidTr="001E15F2">
        <w:trPr>
          <w:trHeight w:val="113"/>
        </w:trPr>
        <w:tc>
          <w:tcPr>
            <w:tcW w:w="4920" w:type="dxa"/>
            <w:vMerge/>
          </w:tcPr>
          <w:p w14:paraId="1F27AB1A" w14:textId="77777777" w:rsidR="001E15F2" w:rsidRDefault="001E15F2">
            <w:pPr>
              <w:jc w:val="both"/>
              <w:rPr>
                <w:rFonts w:ascii="Times New Roman" w:hAnsi="Times New Roman"/>
                <w:lang w:val="lt-LT"/>
              </w:rPr>
            </w:pPr>
          </w:p>
        </w:tc>
        <w:tc>
          <w:tcPr>
            <w:tcW w:w="296" w:type="dxa"/>
          </w:tcPr>
          <w:p w14:paraId="4FDBBFCA" w14:textId="77777777" w:rsidR="001E15F2" w:rsidRDefault="001E15F2" w:rsidP="0006585C">
            <w:pPr>
              <w:spacing w:before="120"/>
              <w:jc w:val="both"/>
              <w:rPr>
                <w:rFonts w:ascii="Times New Roman" w:hAnsi="Times New Roman"/>
                <w:lang w:val="lt-LT"/>
              </w:rPr>
            </w:pPr>
          </w:p>
        </w:tc>
        <w:tc>
          <w:tcPr>
            <w:tcW w:w="1755" w:type="dxa"/>
            <w:tcBorders>
              <w:top w:val="single" w:sz="4" w:space="0" w:color="auto"/>
            </w:tcBorders>
          </w:tcPr>
          <w:p w14:paraId="3C597CD4" w14:textId="77777777" w:rsidR="001E15F2" w:rsidRDefault="001E15F2" w:rsidP="0006585C">
            <w:pPr>
              <w:spacing w:before="120"/>
              <w:jc w:val="both"/>
              <w:rPr>
                <w:rFonts w:ascii="Times New Roman" w:hAnsi="Times New Roman"/>
                <w:lang w:val="lt-LT"/>
              </w:rPr>
            </w:pPr>
          </w:p>
        </w:tc>
        <w:tc>
          <w:tcPr>
            <w:tcW w:w="530" w:type="dxa"/>
          </w:tcPr>
          <w:p w14:paraId="50169FB1" w14:textId="77777777" w:rsidR="001E15F2" w:rsidRDefault="001E15F2" w:rsidP="0006585C">
            <w:pPr>
              <w:spacing w:before="120"/>
              <w:jc w:val="both"/>
              <w:rPr>
                <w:rFonts w:ascii="Times New Roman" w:hAnsi="Times New Roman"/>
                <w:lang w:val="lt-LT"/>
              </w:rPr>
            </w:pPr>
          </w:p>
        </w:tc>
        <w:tc>
          <w:tcPr>
            <w:tcW w:w="2354" w:type="dxa"/>
            <w:tcBorders>
              <w:top w:val="single" w:sz="4" w:space="0" w:color="auto"/>
            </w:tcBorders>
          </w:tcPr>
          <w:p w14:paraId="0EF91881" w14:textId="77777777" w:rsidR="001E15F2" w:rsidRDefault="001E15F2" w:rsidP="0006585C">
            <w:pPr>
              <w:spacing w:before="120"/>
              <w:jc w:val="both"/>
              <w:rPr>
                <w:rFonts w:ascii="Times New Roman" w:hAnsi="Times New Roman"/>
                <w:lang w:val="lt-LT"/>
              </w:rPr>
            </w:pPr>
          </w:p>
        </w:tc>
      </w:tr>
    </w:tbl>
    <w:p w14:paraId="472FFBAA" w14:textId="77777777" w:rsidR="0006585C" w:rsidRPr="00C97FE4" w:rsidRDefault="0006585C" w:rsidP="001E15F2">
      <w:pPr>
        <w:jc w:val="both"/>
        <w:rPr>
          <w:rFonts w:ascii="Times New Roman" w:hAnsi="Times New Roman"/>
          <w:lang w:val="lt-LT"/>
        </w:rPr>
      </w:pPr>
    </w:p>
    <w:p w14:paraId="16D68E83" w14:textId="77777777" w:rsidR="006A5859" w:rsidRPr="00C97FE4" w:rsidRDefault="006A5859" w:rsidP="006A5859">
      <w:pPr>
        <w:jc w:val="both"/>
        <w:rPr>
          <w:rFonts w:ascii="Times New Roman" w:hAnsi="Times New Roman"/>
          <w:lang w:val="lt-LT"/>
        </w:rPr>
      </w:pPr>
    </w:p>
    <w:p w14:paraId="1A5F342F" w14:textId="1A17AB8F" w:rsidR="001C2852" w:rsidRPr="00C97FE4" w:rsidRDefault="001C2852" w:rsidP="001C2852">
      <w:pPr>
        <w:jc w:val="both"/>
        <w:rPr>
          <w:rFonts w:ascii="Times New Roman" w:hAnsi="Times New Roman"/>
          <w:lang w:val="lt-LT"/>
        </w:rPr>
      </w:pPr>
      <w:r w:rsidRPr="003E1E17">
        <w:rPr>
          <w:rFonts w:ascii="Times New Roman" w:hAnsi="Times New Roman"/>
          <w:b/>
          <w:szCs w:val="24"/>
        </w:rPr>
        <w:t>DĖL LIETUVOS RESPUBLIKOS VYRIAUSYBĖS NUTARIMO PROJEKTO</w:t>
      </w:r>
    </w:p>
    <w:p w14:paraId="0D8ED09F" w14:textId="77777777" w:rsidR="004F6DFE" w:rsidRPr="00C97FE4" w:rsidRDefault="004F6DFE" w:rsidP="006A5859">
      <w:pPr>
        <w:jc w:val="both"/>
        <w:rPr>
          <w:rFonts w:ascii="Times New Roman" w:hAnsi="Times New Roman"/>
          <w:lang w:val="lt-LT"/>
        </w:rPr>
      </w:pPr>
    </w:p>
    <w:p w14:paraId="3AE620D4" w14:textId="77777777" w:rsidR="004F6DFE" w:rsidRPr="00D46316" w:rsidRDefault="004F6DFE" w:rsidP="006A5859">
      <w:pPr>
        <w:jc w:val="both"/>
        <w:rPr>
          <w:rFonts w:ascii="Times New Roman" w:hAnsi="Times New Roman"/>
          <w:sz w:val="22"/>
          <w:lang w:val="lt-LT"/>
        </w:rPr>
      </w:pPr>
    </w:p>
    <w:p w14:paraId="05FB54B4" w14:textId="5E0451B5" w:rsidR="001C2852" w:rsidRPr="00E3127F" w:rsidRDefault="00155D84" w:rsidP="001C2852">
      <w:pPr>
        <w:spacing w:line="360" w:lineRule="auto"/>
        <w:ind w:firstLine="720"/>
        <w:jc w:val="both"/>
        <w:rPr>
          <w:rFonts w:ascii="Times New Roman" w:hAnsi="Times New Roman"/>
          <w:szCs w:val="24"/>
          <w:lang w:val="en-US"/>
        </w:rPr>
      </w:pPr>
      <w:r>
        <w:rPr>
          <w:rFonts w:ascii="Times New Roman" w:hAnsi="Times New Roman"/>
          <w:szCs w:val="24"/>
          <w:lang w:val="lt-LT"/>
        </w:rPr>
        <w:t>T</w:t>
      </w:r>
      <w:r w:rsidR="001C2852" w:rsidRPr="000558DC">
        <w:rPr>
          <w:rFonts w:ascii="Times New Roman" w:hAnsi="Times New Roman"/>
          <w:szCs w:val="24"/>
          <w:lang w:val="lt-LT"/>
        </w:rPr>
        <w:t>eikiame</w:t>
      </w:r>
      <w:r>
        <w:rPr>
          <w:rFonts w:ascii="Times New Roman" w:hAnsi="Times New Roman"/>
          <w:szCs w:val="24"/>
          <w:lang w:val="lt-LT"/>
        </w:rPr>
        <w:t xml:space="preserve"> </w:t>
      </w:r>
      <w:r w:rsidR="001C2852" w:rsidRPr="000558DC">
        <w:rPr>
          <w:rFonts w:ascii="Times New Roman" w:hAnsi="Times New Roman"/>
          <w:szCs w:val="24"/>
          <w:lang w:val="lt-LT"/>
        </w:rPr>
        <w:t>Lietuvos Respublikos Vyriausybės nutarimo „Dėl Lietuvos Respublikos Vyriausybės 1997 m. rugpjūčio 22 d. nutarimo Nr. 912 „Dėl Žemės ūkio paskolų garantijų fondo“ pakeitimo“ projektą (toliau – Nutarimo projektas).</w:t>
      </w:r>
      <w:r w:rsidR="001C2852">
        <w:rPr>
          <w:rFonts w:ascii="Times New Roman" w:hAnsi="Times New Roman"/>
          <w:szCs w:val="24"/>
          <w:lang w:val="lt-LT"/>
        </w:rPr>
        <w:t xml:space="preserve"> Nutarimo projektas parengtas siekiant ir toliau, t. y. po 2021 m. birželio </w:t>
      </w:r>
      <w:r w:rsidR="001C2852">
        <w:rPr>
          <w:rFonts w:ascii="Times New Roman" w:hAnsi="Times New Roman"/>
          <w:szCs w:val="24"/>
          <w:lang w:val="en-US"/>
        </w:rPr>
        <w:t xml:space="preserve">30 d., </w:t>
      </w:r>
      <w:r w:rsidR="001C2852">
        <w:rPr>
          <w:rFonts w:ascii="Times New Roman" w:hAnsi="Times New Roman"/>
          <w:szCs w:val="24"/>
          <w:lang w:val="lt-LT"/>
        </w:rPr>
        <w:t>užtikrinti didesnį finansinių paslaugų prieinamumą.</w:t>
      </w:r>
    </w:p>
    <w:tbl>
      <w:tblPr>
        <w:tblStyle w:val="Lentelstinklelis"/>
        <w:tblW w:w="5118" w:type="pct"/>
        <w:tblLook w:val="04A0" w:firstRow="1" w:lastRow="0" w:firstColumn="1" w:lastColumn="0" w:noHBand="0" w:noVBand="1"/>
      </w:tblPr>
      <w:tblGrid>
        <w:gridCol w:w="1695"/>
        <w:gridCol w:w="8161"/>
      </w:tblGrid>
      <w:tr w:rsidR="001C2852" w14:paraId="11F66944" w14:textId="77777777" w:rsidTr="00AD15D8">
        <w:tc>
          <w:tcPr>
            <w:tcW w:w="860" w:type="pct"/>
          </w:tcPr>
          <w:p w14:paraId="15ED2B79" w14:textId="77777777" w:rsidR="001C2852" w:rsidRDefault="001C2852" w:rsidP="00AD15D8">
            <w:pPr>
              <w:spacing w:line="288" w:lineRule="auto"/>
              <w:rPr>
                <w:rFonts w:ascii="Times New Roman" w:hAnsi="Times New Roman"/>
                <w:lang w:val="lt-LT"/>
              </w:rPr>
            </w:pPr>
            <w:r>
              <w:rPr>
                <w:rFonts w:ascii="Times New Roman" w:hAnsi="Times New Roman"/>
                <w:lang w:val="lt-LT"/>
              </w:rPr>
              <w:t>I. Sprendžiama problema</w:t>
            </w:r>
          </w:p>
        </w:tc>
        <w:tc>
          <w:tcPr>
            <w:tcW w:w="4140" w:type="pct"/>
          </w:tcPr>
          <w:p w14:paraId="46A98FA2" w14:textId="77777777" w:rsidR="001C2852" w:rsidRPr="00D00DCF" w:rsidRDefault="001C2852" w:rsidP="00AD15D8">
            <w:pPr>
              <w:widowControl w:val="0"/>
              <w:spacing w:line="276" w:lineRule="auto"/>
              <w:ind w:firstLine="324"/>
              <w:jc w:val="both"/>
              <w:rPr>
                <w:rFonts w:ascii="Times New Roman" w:hAnsi="Times New Roman"/>
                <w:b/>
                <w:bCs/>
                <w:lang w:val="lt-LT"/>
              </w:rPr>
            </w:pPr>
            <w:r w:rsidRPr="00D00DCF">
              <w:rPr>
                <w:rFonts w:ascii="Times New Roman" w:hAnsi="Times New Roman"/>
                <w:b/>
                <w:lang w:val="lt-LT"/>
              </w:rPr>
              <w:t>Siekiant sumažinti COVID-19 ligos (</w:t>
            </w:r>
            <w:proofErr w:type="spellStart"/>
            <w:r w:rsidRPr="00D00DCF">
              <w:rPr>
                <w:rFonts w:ascii="Times New Roman" w:hAnsi="Times New Roman"/>
                <w:b/>
                <w:lang w:val="lt-LT"/>
              </w:rPr>
              <w:t>koronaviruso</w:t>
            </w:r>
            <w:proofErr w:type="spellEnd"/>
            <w:r w:rsidRPr="00D00DCF">
              <w:rPr>
                <w:rFonts w:ascii="Times New Roman" w:hAnsi="Times New Roman"/>
                <w:b/>
                <w:lang w:val="lt-LT"/>
              </w:rPr>
              <w:t xml:space="preserve"> infekcijos) prevencijos ir kontrolės priemonių taikymo pasekmes, reikia ir toliau</w:t>
            </w:r>
            <w:r w:rsidRPr="00D00DCF">
              <w:rPr>
                <w:rFonts w:ascii="Times New Roman" w:hAnsi="Times New Roman"/>
                <w:b/>
                <w:bCs/>
                <w:lang w:val="lt-LT"/>
              </w:rPr>
              <w:t xml:space="preserve"> užtikrinti finansinių paslaugų prieinamumą ūkio subjektams, </w:t>
            </w:r>
            <w:r w:rsidRPr="00D00DCF">
              <w:rPr>
                <w:rFonts w:ascii="Times New Roman" w:hAnsi="Times New Roman"/>
                <w:b/>
                <w:bCs/>
                <w:szCs w:val="24"/>
                <w:lang w:val="lt-LT"/>
              </w:rPr>
              <w:t>kurių veikla susijusi su žemės ūkiu, maisto ūkiu, miškų ūkiu, kaimo plėtra ir žuvininkyste</w:t>
            </w:r>
            <w:r w:rsidRPr="00D00DCF">
              <w:rPr>
                <w:rFonts w:ascii="Times New Roman" w:hAnsi="Times New Roman"/>
                <w:szCs w:val="24"/>
                <w:lang w:val="lt-LT"/>
              </w:rPr>
              <w:t xml:space="preserve"> (toliau – ūkio subjektai) </w:t>
            </w:r>
            <w:r w:rsidRPr="00D00DCF">
              <w:rPr>
                <w:rFonts w:ascii="Times New Roman" w:hAnsi="Times New Roman"/>
                <w:b/>
                <w:bCs/>
                <w:szCs w:val="24"/>
                <w:lang w:val="lt-LT"/>
              </w:rPr>
              <w:t>ir kurie</w:t>
            </w:r>
            <w:r w:rsidRPr="00D00DCF">
              <w:rPr>
                <w:rFonts w:ascii="Times New Roman" w:hAnsi="Times New Roman"/>
                <w:b/>
                <w:bCs/>
                <w:lang w:val="lt-LT"/>
              </w:rPr>
              <w:t xml:space="preserve"> susiduria su likvidumo problemomis</w:t>
            </w:r>
            <w:r w:rsidRPr="00D00DCF">
              <w:rPr>
                <w:rFonts w:ascii="Times New Roman" w:hAnsi="Times New Roman"/>
                <w:b/>
                <w:bCs/>
              </w:rPr>
              <w:t>.</w:t>
            </w:r>
          </w:p>
          <w:p w14:paraId="71F8090C" w14:textId="767F8077" w:rsidR="001C2852" w:rsidRPr="004D13A5" w:rsidRDefault="001C2852" w:rsidP="00AD15D8">
            <w:pPr>
              <w:overflowPunct/>
              <w:autoSpaceDE/>
              <w:autoSpaceDN/>
              <w:adjustRightInd/>
              <w:spacing w:line="276" w:lineRule="auto"/>
              <w:ind w:firstLine="324"/>
              <w:jc w:val="both"/>
              <w:textAlignment w:val="auto"/>
              <w:rPr>
                <w:bCs/>
                <w:lang w:val="lt-LT"/>
              </w:rPr>
            </w:pPr>
            <w:r w:rsidRPr="00C56496">
              <w:rPr>
                <w:rFonts w:ascii="Times New Roman" w:hAnsi="Times New Roman"/>
                <w:lang w:val="lt-LT"/>
              </w:rPr>
              <w:t xml:space="preserve">Pagal šiuo metu galiojančio Lietuvos Respublikos Vyriausybės 1997 m. rugpjūčio 22 d. nutarimo Nr. 912 „Dėl Žemės ūkio paskolų garantijų fondo“ (toliau – Nutarimas) </w:t>
            </w:r>
            <w:r>
              <w:rPr>
                <w:rFonts w:ascii="Times New Roman" w:hAnsi="Times New Roman"/>
                <w:lang w:val="lt-LT"/>
              </w:rPr>
              <w:t>1.4.2.2 p.</w:t>
            </w:r>
            <w:r w:rsidR="00A05764">
              <w:rPr>
                <w:rFonts w:ascii="Times New Roman" w:hAnsi="Times New Roman"/>
                <w:lang w:val="lt-LT"/>
              </w:rPr>
              <w:t>,</w:t>
            </w:r>
            <w:r w:rsidRPr="00C56496">
              <w:rPr>
                <w:rFonts w:ascii="Times New Roman" w:hAnsi="Times New Roman"/>
                <w:lang w:val="lt-LT"/>
              </w:rPr>
              <w:t xml:space="preserve"> UAB Žemės ūkio paskolų garantijų fondas (toliau –Bendrovė) </w:t>
            </w:r>
            <w:r>
              <w:rPr>
                <w:rFonts w:ascii="Times New Roman" w:hAnsi="Times New Roman"/>
                <w:lang w:val="lt-LT"/>
              </w:rPr>
              <w:t>iki š. m. birželio 3</w:t>
            </w:r>
            <w:r>
              <w:rPr>
                <w:rFonts w:ascii="Times New Roman" w:hAnsi="Times New Roman"/>
                <w:lang w:val="en-US"/>
              </w:rPr>
              <w:t>0</w:t>
            </w:r>
            <w:r>
              <w:rPr>
                <w:rFonts w:ascii="Times New Roman" w:hAnsi="Times New Roman"/>
                <w:lang w:val="lt-LT"/>
              </w:rPr>
              <w:t xml:space="preserve"> d. </w:t>
            </w:r>
            <w:r w:rsidRPr="00C56496">
              <w:rPr>
                <w:rFonts w:ascii="Times New Roman" w:hAnsi="Times New Roman"/>
                <w:lang w:val="lt-LT"/>
              </w:rPr>
              <w:t>teik</w:t>
            </w:r>
            <w:r>
              <w:rPr>
                <w:rFonts w:ascii="Times New Roman" w:hAnsi="Times New Roman"/>
                <w:lang w:val="lt-LT"/>
              </w:rPr>
              <w:t>i</w:t>
            </w:r>
            <w:r w:rsidRPr="00C56496">
              <w:rPr>
                <w:rFonts w:ascii="Times New Roman" w:hAnsi="Times New Roman"/>
                <w:lang w:val="lt-LT"/>
              </w:rPr>
              <w:t xml:space="preserve">a </w:t>
            </w:r>
            <w:r w:rsidRPr="00FA6494">
              <w:rPr>
                <w:rFonts w:ascii="Times New Roman" w:hAnsi="Times New Roman"/>
                <w:lang w:val="lt-LT"/>
              </w:rPr>
              <w:t>individuali</w:t>
            </w:r>
            <w:r>
              <w:rPr>
                <w:rFonts w:ascii="Times New Roman" w:hAnsi="Times New Roman"/>
                <w:lang w:val="lt-LT"/>
              </w:rPr>
              <w:t>a</w:t>
            </w:r>
            <w:r w:rsidRPr="00FA6494">
              <w:rPr>
                <w:rFonts w:ascii="Times New Roman" w:hAnsi="Times New Roman"/>
                <w:lang w:val="lt-LT"/>
              </w:rPr>
              <w:t>s garantij</w:t>
            </w:r>
            <w:r>
              <w:rPr>
                <w:rFonts w:ascii="Times New Roman" w:hAnsi="Times New Roman"/>
                <w:lang w:val="lt-LT"/>
              </w:rPr>
              <w:t>a</w:t>
            </w:r>
            <w:r w:rsidRPr="00FA6494">
              <w:rPr>
                <w:rFonts w:ascii="Times New Roman" w:hAnsi="Times New Roman"/>
                <w:lang w:val="lt-LT"/>
              </w:rPr>
              <w:t xml:space="preserve">s </w:t>
            </w:r>
            <w:r w:rsidRPr="00364A8D">
              <w:rPr>
                <w:rFonts w:ascii="Times New Roman" w:hAnsi="Times New Roman"/>
                <w:lang w:val="lt-LT"/>
              </w:rPr>
              <w:t xml:space="preserve">finansų įstaigoms ir finansinės nuomos (lizingo) </w:t>
            </w:r>
            <w:r w:rsidRPr="0073105E">
              <w:rPr>
                <w:rFonts w:ascii="Times New Roman" w:hAnsi="Times New Roman"/>
                <w:lang w:val="lt-LT"/>
              </w:rPr>
              <w:t xml:space="preserve">bendrovėms </w:t>
            </w:r>
            <w:r w:rsidRPr="004D13A5">
              <w:rPr>
                <w:bCs/>
                <w:lang w:val="lt-LT"/>
              </w:rPr>
              <w:t>dėl ūkio subjektams teikiamų paskolų</w:t>
            </w:r>
            <w:r>
              <w:rPr>
                <w:bCs/>
                <w:lang w:val="lt-LT"/>
              </w:rPr>
              <w:t xml:space="preserve"> ir </w:t>
            </w:r>
            <w:r w:rsidRPr="004D13A5">
              <w:rPr>
                <w:bCs/>
                <w:lang w:val="lt-LT"/>
              </w:rPr>
              <w:t xml:space="preserve">finansinės nuomos (lizingo) paslaugų, skirtų ūkinei veiklai palaikyti, kurios yra valstybės pagalba ir kurios teikiamos pagal </w:t>
            </w:r>
            <w:bookmarkStart w:id="3" w:name="_Hlk41304743"/>
            <w:r w:rsidRPr="004D13A5">
              <w:rPr>
                <w:bCs/>
                <w:lang w:val="lt-LT"/>
              </w:rPr>
              <w:t>2020 m. kovo 19 d. Europos Komisijos komunikatą „Laikinoji valstybės pagalbos priemonių, skirtų ekonomikai remti reaguojant į dabartinį COVID-19 protrūkį, sistema</w:t>
            </w:r>
            <w:r>
              <w:rPr>
                <w:bCs/>
                <w:lang w:val="lt-LT"/>
              </w:rPr>
              <w:t>“</w:t>
            </w:r>
            <w:r w:rsidRPr="004D13A5">
              <w:rPr>
                <w:bCs/>
                <w:lang w:val="lt-LT"/>
              </w:rPr>
              <w:t xml:space="preserve"> su visais pakeitimais </w:t>
            </w:r>
            <w:bookmarkEnd w:id="3"/>
            <w:r w:rsidRPr="004D13A5">
              <w:rPr>
                <w:bCs/>
                <w:lang w:val="lt-LT"/>
              </w:rPr>
              <w:t>(toliau – Komunikatas).</w:t>
            </w:r>
          </w:p>
          <w:p w14:paraId="53801156" w14:textId="353C8D0E" w:rsidR="001C2852" w:rsidRDefault="001C2852" w:rsidP="00AD15D8">
            <w:pPr>
              <w:overflowPunct/>
              <w:autoSpaceDE/>
              <w:autoSpaceDN/>
              <w:adjustRightInd/>
              <w:spacing w:line="276" w:lineRule="auto"/>
              <w:ind w:firstLine="324"/>
              <w:jc w:val="both"/>
              <w:rPr>
                <w:rFonts w:ascii="Times New Roman" w:hAnsi="Times New Roman"/>
                <w:lang w:val="lt-LT"/>
              </w:rPr>
            </w:pPr>
            <w:r>
              <w:rPr>
                <w:rFonts w:ascii="Times New Roman" w:hAnsi="Times New Roman"/>
                <w:lang w:val="lt-LT"/>
              </w:rPr>
              <w:t xml:space="preserve">Tebesitęsiant </w:t>
            </w:r>
            <w:r w:rsidRPr="0070100C">
              <w:rPr>
                <w:rFonts w:ascii="Times New Roman" w:hAnsi="Times New Roman"/>
                <w:lang w:val="lt-LT"/>
              </w:rPr>
              <w:t>sudėting</w:t>
            </w:r>
            <w:r>
              <w:rPr>
                <w:rFonts w:ascii="Times New Roman" w:hAnsi="Times New Roman"/>
                <w:lang w:val="lt-LT"/>
              </w:rPr>
              <w:t>ai</w:t>
            </w:r>
            <w:r w:rsidRPr="0070100C">
              <w:rPr>
                <w:rFonts w:ascii="Times New Roman" w:hAnsi="Times New Roman"/>
                <w:lang w:val="lt-LT"/>
              </w:rPr>
              <w:t xml:space="preserve"> situacij</w:t>
            </w:r>
            <w:r>
              <w:rPr>
                <w:rFonts w:ascii="Times New Roman" w:hAnsi="Times New Roman"/>
                <w:lang w:val="lt-LT"/>
              </w:rPr>
              <w:t>ai</w:t>
            </w:r>
            <w:r w:rsidRPr="0070100C">
              <w:rPr>
                <w:rFonts w:ascii="Times New Roman" w:hAnsi="Times New Roman"/>
                <w:lang w:val="lt-LT"/>
              </w:rPr>
              <w:t xml:space="preserve"> Lietuvoje dėl taikomo karantino</w:t>
            </w:r>
            <w:r w:rsidR="00A05764">
              <w:rPr>
                <w:rFonts w:ascii="Times New Roman" w:hAnsi="Times New Roman"/>
                <w:lang w:val="lt-LT"/>
              </w:rPr>
              <w:t>,</w:t>
            </w:r>
            <w:r w:rsidRPr="0070100C">
              <w:rPr>
                <w:rFonts w:ascii="Times New Roman" w:hAnsi="Times New Roman"/>
                <w:lang w:val="lt-LT"/>
              </w:rPr>
              <w:t xml:space="preserve"> ūkio subjektai</w:t>
            </w:r>
            <w:r>
              <w:rPr>
                <w:rFonts w:ascii="Times New Roman" w:hAnsi="Times New Roman"/>
                <w:lang w:val="lt-LT"/>
              </w:rPr>
              <w:t>, prognozuojama,</w:t>
            </w:r>
            <w:r w:rsidRPr="0070100C">
              <w:rPr>
                <w:rFonts w:ascii="Times New Roman" w:hAnsi="Times New Roman"/>
                <w:lang w:val="lt-LT"/>
              </w:rPr>
              <w:t xml:space="preserve"> </w:t>
            </w:r>
            <w:r>
              <w:rPr>
                <w:rFonts w:ascii="Times New Roman" w:hAnsi="Times New Roman"/>
                <w:lang w:val="lt-LT"/>
              </w:rPr>
              <w:t xml:space="preserve">ir toliau susidurs </w:t>
            </w:r>
            <w:r w:rsidRPr="0070100C">
              <w:rPr>
                <w:rFonts w:ascii="Times New Roman" w:hAnsi="Times New Roman"/>
                <w:lang w:val="lt-LT"/>
              </w:rPr>
              <w:t xml:space="preserve">su finansiniais sunkumais, </w:t>
            </w:r>
            <w:r>
              <w:rPr>
                <w:rFonts w:ascii="Times New Roman" w:hAnsi="Times New Roman"/>
                <w:lang w:val="lt-LT"/>
              </w:rPr>
              <w:t xml:space="preserve">tačiau nuo 2021 m. liepos 1 d. Bendrovė nebegalės </w:t>
            </w:r>
            <w:r w:rsidRPr="00A84754">
              <w:rPr>
                <w:rFonts w:ascii="Times New Roman" w:hAnsi="Times New Roman"/>
                <w:lang w:val="lt-LT"/>
              </w:rPr>
              <w:t>teik</w:t>
            </w:r>
            <w:r>
              <w:rPr>
                <w:rFonts w:ascii="Times New Roman" w:hAnsi="Times New Roman"/>
                <w:lang w:val="lt-LT"/>
              </w:rPr>
              <w:t xml:space="preserve">ti </w:t>
            </w:r>
            <w:r w:rsidRPr="00A84754">
              <w:rPr>
                <w:rFonts w:ascii="Times New Roman" w:hAnsi="Times New Roman"/>
                <w:lang w:val="lt-LT"/>
              </w:rPr>
              <w:t>individuali</w:t>
            </w:r>
            <w:r>
              <w:rPr>
                <w:rFonts w:ascii="Times New Roman" w:hAnsi="Times New Roman"/>
                <w:lang w:val="lt-LT"/>
              </w:rPr>
              <w:t>ų</w:t>
            </w:r>
            <w:r w:rsidRPr="00A84754">
              <w:rPr>
                <w:rFonts w:ascii="Times New Roman" w:hAnsi="Times New Roman"/>
                <w:lang w:val="lt-LT"/>
              </w:rPr>
              <w:t xml:space="preserve"> garantij</w:t>
            </w:r>
            <w:r>
              <w:rPr>
                <w:rFonts w:ascii="Times New Roman" w:hAnsi="Times New Roman"/>
                <w:lang w:val="lt-LT"/>
              </w:rPr>
              <w:t>ų</w:t>
            </w:r>
            <w:r w:rsidRPr="00A84754">
              <w:rPr>
                <w:rFonts w:ascii="Times New Roman" w:hAnsi="Times New Roman"/>
                <w:lang w:val="lt-LT"/>
              </w:rPr>
              <w:t xml:space="preserve"> finansų įstaigoms </w:t>
            </w:r>
            <w:r>
              <w:rPr>
                <w:rFonts w:ascii="Times New Roman" w:hAnsi="Times New Roman"/>
                <w:lang w:val="lt-LT"/>
              </w:rPr>
              <w:t>tuo atveju, jei ūkio subjektas</w:t>
            </w:r>
            <w:r w:rsidRPr="00A84754">
              <w:rPr>
                <w:rFonts w:ascii="Times New Roman" w:hAnsi="Times New Roman"/>
                <w:lang w:val="lt-LT"/>
              </w:rPr>
              <w:t xml:space="preserve"> </w:t>
            </w:r>
            <w:r>
              <w:rPr>
                <w:rFonts w:ascii="Times New Roman" w:hAnsi="Times New Roman"/>
                <w:lang w:val="lt-LT"/>
              </w:rPr>
              <w:t xml:space="preserve">bus laikomas sunkumų patiriančia įmone. </w:t>
            </w:r>
            <w:r w:rsidR="00E75684">
              <w:rPr>
                <w:rFonts w:ascii="Times New Roman" w:hAnsi="Times New Roman"/>
                <w:lang w:val="lt-LT"/>
              </w:rPr>
              <w:t>N</w:t>
            </w:r>
            <w:r w:rsidR="00E75684" w:rsidRPr="00E75684">
              <w:rPr>
                <w:rFonts w:ascii="Times New Roman" w:hAnsi="Times New Roman"/>
                <w:lang w:val="lt-LT"/>
              </w:rPr>
              <w:t>epratęsus nuostatų, reglamentuojančių</w:t>
            </w:r>
            <w:r w:rsidR="00E75684">
              <w:rPr>
                <w:rFonts w:ascii="Times New Roman" w:hAnsi="Times New Roman"/>
                <w:lang w:val="lt-LT"/>
              </w:rPr>
              <w:t xml:space="preserve"> individualių</w:t>
            </w:r>
            <w:r w:rsidR="00E75684" w:rsidRPr="00E75684">
              <w:rPr>
                <w:rFonts w:ascii="Times New Roman" w:hAnsi="Times New Roman"/>
                <w:lang w:val="lt-LT"/>
              </w:rPr>
              <w:t xml:space="preserve"> garantij</w:t>
            </w:r>
            <w:r w:rsidR="00E75684">
              <w:rPr>
                <w:rFonts w:ascii="Times New Roman" w:hAnsi="Times New Roman"/>
                <w:lang w:val="lt-LT"/>
              </w:rPr>
              <w:t>ų</w:t>
            </w:r>
            <w:r w:rsidR="00E75684" w:rsidRPr="00E75684">
              <w:rPr>
                <w:rFonts w:ascii="Times New Roman" w:hAnsi="Times New Roman"/>
                <w:lang w:val="lt-LT"/>
              </w:rPr>
              <w:t xml:space="preserve"> teikimą sunkumų </w:t>
            </w:r>
            <w:r w:rsidR="00E75684" w:rsidRPr="00E75684">
              <w:rPr>
                <w:rFonts w:ascii="Times New Roman" w:hAnsi="Times New Roman"/>
                <w:lang w:val="lt-LT"/>
              </w:rPr>
              <w:lastRenderedPageBreak/>
              <w:t>patiriantiems ūkio subjektams, galiojimo termin</w:t>
            </w:r>
            <w:r w:rsidR="00A14ED5">
              <w:rPr>
                <w:rFonts w:ascii="Times New Roman" w:hAnsi="Times New Roman"/>
                <w:lang w:val="lt-LT"/>
              </w:rPr>
              <w:t>o</w:t>
            </w:r>
            <w:r w:rsidR="00E75684" w:rsidRPr="00E75684">
              <w:rPr>
                <w:rFonts w:ascii="Times New Roman" w:hAnsi="Times New Roman"/>
                <w:lang w:val="lt-LT"/>
              </w:rPr>
              <w:t>, individualios garantijos galės būti teikiamos tik finansinių sunkumų neturintiems ūkio subjektams, nes derinant  garantijų teikimo schemą su Europos Komisija (iki COVID-19 ligos protrūkio laikotarpi</w:t>
            </w:r>
            <w:r w:rsidR="00E75684">
              <w:rPr>
                <w:rFonts w:ascii="Times New Roman" w:hAnsi="Times New Roman"/>
                <w:lang w:val="lt-LT"/>
              </w:rPr>
              <w:t>o</w:t>
            </w:r>
            <w:r w:rsidR="00E75684" w:rsidRPr="00E75684">
              <w:rPr>
                <w:rFonts w:ascii="Times New Roman" w:hAnsi="Times New Roman"/>
                <w:lang w:val="lt-LT"/>
              </w:rPr>
              <w:t>)</w:t>
            </w:r>
            <w:r w:rsidR="00A05764">
              <w:rPr>
                <w:rFonts w:ascii="Times New Roman" w:hAnsi="Times New Roman"/>
                <w:lang w:val="lt-LT"/>
              </w:rPr>
              <w:t>,</w:t>
            </w:r>
            <w:r w:rsidR="00E75684" w:rsidRPr="00E75684">
              <w:rPr>
                <w:rFonts w:ascii="Times New Roman" w:hAnsi="Times New Roman"/>
                <w:lang w:val="lt-LT"/>
              </w:rPr>
              <w:t xml:space="preserve"> tai buvo viena iš sąlygų, kad ši schema galėtų būti laikoma ne valstybės pagalbos schema</w:t>
            </w:r>
            <w:r w:rsidR="00E75684">
              <w:rPr>
                <w:rFonts w:ascii="Times New Roman" w:hAnsi="Times New Roman"/>
                <w:lang w:val="lt-LT"/>
              </w:rPr>
              <w:t>.</w:t>
            </w:r>
            <w:r>
              <w:rPr>
                <w:rFonts w:ascii="Times New Roman" w:hAnsi="Times New Roman"/>
                <w:lang w:val="lt-LT"/>
              </w:rPr>
              <w:t xml:space="preserve"> Tačiau būtent finansinių sunkumų patiriantys ū</w:t>
            </w:r>
            <w:r w:rsidRPr="0070100C">
              <w:rPr>
                <w:rFonts w:ascii="Times New Roman" w:hAnsi="Times New Roman"/>
                <w:lang w:val="lt-LT"/>
              </w:rPr>
              <w:t>kio subjektai susidur</w:t>
            </w:r>
            <w:r>
              <w:rPr>
                <w:rFonts w:ascii="Times New Roman" w:hAnsi="Times New Roman"/>
                <w:lang w:val="lt-LT"/>
              </w:rPr>
              <w:t>s</w:t>
            </w:r>
            <w:r w:rsidRPr="0070100C">
              <w:rPr>
                <w:rFonts w:ascii="Times New Roman" w:hAnsi="Times New Roman"/>
                <w:lang w:val="lt-LT"/>
              </w:rPr>
              <w:t xml:space="preserve"> su apyvartinio kapitalo trūkumu, kuris reikalingas ūkio veiklos tęstinumui bei dirbančiųjų pajamų užtikrinimui, žemės ūkio produktų supirkimui ir </w:t>
            </w:r>
            <w:r>
              <w:rPr>
                <w:rFonts w:ascii="Times New Roman" w:hAnsi="Times New Roman"/>
                <w:lang w:val="lt-LT"/>
              </w:rPr>
              <w:t>išankstiniam</w:t>
            </w:r>
            <w:r w:rsidRPr="0070100C">
              <w:rPr>
                <w:rFonts w:ascii="Times New Roman" w:hAnsi="Times New Roman"/>
                <w:lang w:val="lt-LT"/>
              </w:rPr>
              <w:t xml:space="preserve"> atsiskaitymui su žemdirbiais. </w:t>
            </w:r>
          </w:p>
          <w:p w14:paraId="7325F35F" w14:textId="7DB44109" w:rsidR="001C2852" w:rsidRPr="000558DC" w:rsidRDefault="001C2852" w:rsidP="00AD15D8">
            <w:pPr>
              <w:overflowPunct/>
              <w:autoSpaceDE/>
              <w:autoSpaceDN/>
              <w:adjustRightInd/>
              <w:spacing w:line="276" w:lineRule="auto"/>
              <w:ind w:firstLine="324"/>
              <w:jc w:val="both"/>
              <w:rPr>
                <w:rFonts w:ascii="Times New Roman" w:hAnsi="Times New Roman"/>
                <w:lang w:val="lt-LT"/>
              </w:rPr>
            </w:pPr>
            <w:r w:rsidRPr="0070100C">
              <w:rPr>
                <w:rFonts w:ascii="Times New Roman" w:hAnsi="Times New Roman"/>
                <w:lang w:val="lt-LT"/>
              </w:rPr>
              <w:t xml:space="preserve">Atsižvelgiant į tai bei siekiant sumažinti </w:t>
            </w:r>
            <w:r>
              <w:rPr>
                <w:rFonts w:ascii="Times New Roman" w:hAnsi="Times New Roman"/>
                <w:lang w:val="lt-LT"/>
              </w:rPr>
              <w:t>COVID-19 ligos protrūkio</w:t>
            </w:r>
            <w:r w:rsidRPr="0070100C">
              <w:rPr>
                <w:rFonts w:ascii="Times New Roman" w:hAnsi="Times New Roman"/>
                <w:lang w:val="lt-LT"/>
              </w:rPr>
              <w:t xml:space="preserve"> įtaką ūkio subjektų finansinei būklei, būtina </w:t>
            </w:r>
            <w:r>
              <w:rPr>
                <w:rFonts w:ascii="Times New Roman" w:hAnsi="Times New Roman"/>
                <w:lang w:val="lt-LT"/>
              </w:rPr>
              <w:t xml:space="preserve">ir toliau </w:t>
            </w:r>
            <w:r w:rsidRPr="0070100C">
              <w:rPr>
                <w:rFonts w:ascii="Times New Roman" w:hAnsi="Times New Roman"/>
                <w:lang w:val="lt-LT"/>
              </w:rPr>
              <w:t xml:space="preserve">sudaryti palankesnes sąlygas pasiskolinti iš </w:t>
            </w:r>
            <w:r>
              <w:rPr>
                <w:rFonts w:ascii="Times New Roman" w:hAnsi="Times New Roman"/>
                <w:lang w:val="lt-LT"/>
              </w:rPr>
              <w:t>finansų</w:t>
            </w:r>
            <w:r w:rsidRPr="0070100C">
              <w:rPr>
                <w:rFonts w:ascii="Times New Roman" w:hAnsi="Times New Roman"/>
                <w:lang w:val="lt-LT"/>
              </w:rPr>
              <w:t xml:space="preserve"> įstaigų</w:t>
            </w:r>
            <w:r>
              <w:rPr>
                <w:rFonts w:ascii="Times New Roman" w:hAnsi="Times New Roman"/>
                <w:lang w:val="lt-LT"/>
              </w:rPr>
              <w:t>.</w:t>
            </w:r>
          </w:p>
        </w:tc>
      </w:tr>
      <w:tr w:rsidR="001C2852" w14:paraId="3B0C0261" w14:textId="77777777" w:rsidTr="00AD15D8">
        <w:tc>
          <w:tcPr>
            <w:tcW w:w="860" w:type="pct"/>
          </w:tcPr>
          <w:p w14:paraId="353122F5" w14:textId="77777777" w:rsidR="001C2852" w:rsidRDefault="001C2852" w:rsidP="00AD15D8">
            <w:pPr>
              <w:spacing w:line="288" w:lineRule="auto"/>
              <w:rPr>
                <w:rFonts w:ascii="Times New Roman" w:hAnsi="Times New Roman"/>
                <w:lang w:val="lt-LT"/>
              </w:rPr>
            </w:pPr>
            <w:r>
              <w:rPr>
                <w:rFonts w:ascii="Times New Roman" w:hAnsi="Times New Roman"/>
                <w:lang w:val="lt-LT"/>
              </w:rPr>
              <w:lastRenderedPageBreak/>
              <w:t>II. Siūlomos priemonės</w:t>
            </w:r>
          </w:p>
        </w:tc>
        <w:tc>
          <w:tcPr>
            <w:tcW w:w="4140" w:type="pct"/>
          </w:tcPr>
          <w:p w14:paraId="3916CEE5" w14:textId="4932900D" w:rsidR="001C2852" w:rsidRDefault="001C2852" w:rsidP="00AD15D8">
            <w:pPr>
              <w:spacing w:line="276" w:lineRule="auto"/>
              <w:ind w:firstLine="324"/>
              <w:jc w:val="both"/>
              <w:rPr>
                <w:rFonts w:ascii="Times New Roman" w:hAnsi="Times New Roman"/>
                <w:lang w:val="lt-LT"/>
              </w:rPr>
            </w:pPr>
            <w:r w:rsidRPr="00032873">
              <w:rPr>
                <w:rFonts w:ascii="Times New Roman" w:hAnsi="Times New Roman"/>
                <w:lang w:val="lt-LT"/>
              </w:rPr>
              <w:t>Nutarimo projektu</w:t>
            </w:r>
            <w:r>
              <w:rPr>
                <w:rFonts w:ascii="Times New Roman" w:hAnsi="Times New Roman"/>
                <w:lang w:val="lt-LT"/>
              </w:rPr>
              <w:t>, atsižvelgiant į tai, kad Komunikato</w:t>
            </w:r>
            <w:r w:rsidRPr="00362831">
              <w:rPr>
                <w:rFonts w:ascii="Times New Roman" w:hAnsi="Times New Roman"/>
                <w:lang w:val="lt-LT"/>
              </w:rPr>
              <w:t xml:space="preserve"> galiojimo laikotarpis</w:t>
            </w:r>
            <w:r>
              <w:rPr>
                <w:rFonts w:ascii="Times New Roman" w:hAnsi="Times New Roman"/>
                <w:lang w:val="lt-LT"/>
              </w:rPr>
              <w:t xml:space="preserve"> pratęstas iki 2021 m. gruodžio 3</w:t>
            </w:r>
            <w:r>
              <w:rPr>
                <w:rFonts w:ascii="Times New Roman" w:hAnsi="Times New Roman"/>
                <w:lang w:val="en-US"/>
              </w:rPr>
              <w:t>1</w:t>
            </w:r>
            <w:r>
              <w:rPr>
                <w:rFonts w:ascii="Times New Roman" w:hAnsi="Times New Roman"/>
                <w:lang w:val="lt-LT"/>
              </w:rPr>
              <w:t xml:space="preserve"> d., siūloma Bendrovei sudaryti galimybę ir toliau, bet ne vėliau kaip </w:t>
            </w:r>
            <w:r w:rsidRPr="00EA1857">
              <w:rPr>
                <w:rFonts w:ascii="Times New Roman" w:hAnsi="Times New Roman"/>
                <w:lang w:val="lt-LT"/>
              </w:rPr>
              <w:t xml:space="preserve">iki 2021 m. </w:t>
            </w:r>
            <w:r w:rsidRPr="001C2852">
              <w:rPr>
                <w:rFonts w:ascii="Times New Roman" w:hAnsi="Times New Roman"/>
                <w:lang w:val="lt-LT"/>
              </w:rPr>
              <w:t>gruodžio 31 d.</w:t>
            </w:r>
            <w:r>
              <w:rPr>
                <w:rFonts w:ascii="Times New Roman" w:hAnsi="Times New Roman"/>
                <w:lang w:val="lt-LT"/>
              </w:rPr>
              <w:t xml:space="preserve">, teikti </w:t>
            </w:r>
            <w:r w:rsidRPr="009B01EA">
              <w:rPr>
                <w:rFonts w:ascii="Times New Roman" w:hAnsi="Times New Roman"/>
                <w:lang w:val="lt-LT"/>
              </w:rPr>
              <w:t>individuali</w:t>
            </w:r>
            <w:r>
              <w:rPr>
                <w:rFonts w:ascii="Times New Roman" w:hAnsi="Times New Roman"/>
                <w:lang w:val="lt-LT"/>
              </w:rPr>
              <w:t>as</w:t>
            </w:r>
            <w:r w:rsidRPr="009B01EA">
              <w:rPr>
                <w:rFonts w:ascii="Times New Roman" w:hAnsi="Times New Roman"/>
                <w:lang w:val="lt-LT"/>
              </w:rPr>
              <w:t xml:space="preserve"> garantij</w:t>
            </w:r>
            <w:r>
              <w:rPr>
                <w:rFonts w:ascii="Times New Roman" w:hAnsi="Times New Roman"/>
                <w:lang w:val="lt-LT"/>
              </w:rPr>
              <w:t>as</w:t>
            </w:r>
            <w:r w:rsidRPr="009B01EA">
              <w:rPr>
                <w:rFonts w:ascii="Times New Roman" w:hAnsi="Times New Roman"/>
                <w:lang w:val="lt-LT"/>
              </w:rPr>
              <w:t xml:space="preserve"> finansų įstaigoms už </w:t>
            </w:r>
            <w:r>
              <w:rPr>
                <w:rFonts w:ascii="Times New Roman" w:hAnsi="Times New Roman"/>
                <w:lang w:val="lt-LT"/>
              </w:rPr>
              <w:t xml:space="preserve">ūkio subjektams, susiduriantiems su likvidumo problemomis, </w:t>
            </w:r>
            <w:r w:rsidRPr="004D13A5">
              <w:rPr>
                <w:bCs/>
                <w:lang w:val="lt-LT"/>
              </w:rPr>
              <w:t>teikiam</w:t>
            </w:r>
            <w:r>
              <w:rPr>
                <w:bCs/>
                <w:lang w:val="lt-LT"/>
              </w:rPr>
              <w:t>as</w:t>
            </w:r>
            <w:r w:rsidRPr="004D13A5">
              <w:rPr>
                <w:bCs/>
                <w:lang w:val="lt-LT"/>
              </w:rPr>
              <w:t xml:space="preserve"> paskol</w:t>
            </w:r>
            <w:r>
              <w:rPr>
                <w:bCs/>
                <w:lang w:val="lt-LT"/>
              </w:rPr>
              <w:t xml:space="preserve">as ir </w:t>
            </w:r>
            <w:r w:rsidRPr="004D13A5">
              <w:rPr>
                <w:bCs/>
                <w:lang w:val="lt-LT"/>
              </w:rPr>
              <w:t>finansinės nuomos (lizingo) paslaug</w:t>
            </w:r>
            <w:r>
              <w:rPr>
                <w:bCs/>
                <w:lang w:val="lt-LT"/>
              </w:rPr>
              <w:t>as</w:t>
            </w:r>
            <w:r w:rsidRPr="004D13A5">
              <w:rPr>
                <w:bCs/>
                <w:lang w:val="lt-LT"/>
              </w:rPr>
              <w:t>, skirt</w:t>
            </w:r>
            <w:r>
              <w:rPr>
                <w:bCs/>
                <w:lang w:val="lt-LT"/>
              </w:rPr>
              <w:t>as</w:t>
            </w:r>
            <w:r w:rsidRPr="004D13A5">
              <w:rPr>
                <w:bCs/>
                <w:lang w:val="lt-LT"/>
              </w:rPr>
              <w:t xml:space="preserve"> ūkinei veiklai </w:t>
            </w:r>
            <w:r>
              <w:rPr>
                <w:bCs/>
                <w:lang w:val="lt-LT"/>
              </w:rPr>
              <w:t>p</w:t>
            </w:r>
            <w:r w:rsidRPr="004D13A5">
              <w:rPr>
                <w:bCs/>
                <w:lang w:val="lt-LT"/>
              </w:rPr>
              <w:t>a</w:t>
            </w:r>
            <w:r>
              <w:rPr>
                <w:bCs/>
                <w:lang w:val="lt-LT"/>
              </w:rPr>
              <w:t>lai</w:t>
            </w:r>
            <w:r w:rsidRPr="004D13A5">
              <w:rPr>
                <w:bCs/>
                <w:lang w:val="lt-LT"/>
              </w:rPr>
              <w:t>kyti</w:t>
            </w:r>
            <w:r>
              <w:rPr>
                <w:bCs/>
                <w:lang w:val="lt-LT"/>
              </w:rPr>
              <w:t>.</w:t>
            </w:r>
          </w:p>
        </w:tc>
      </w:tr>
      <w:tr w:rsidR="001C2852" w14:paraId="532D2468" w14:textId="77777777" w:rsidTr="00AD15D8">
        <w:tc>
          <w:tcPr>
            <w:tcW w:w="860" w:type="pct"/>
          </w:tcPr>
          <w:p w14:paraId="56C41F40" w14:textId="77777777" w:rsidR="001C2852" w:rsidRDefault="001C2852" w:rsidP="00AD15D8">
            <w:pPr>
              <w:spacing w:line="288" w:lineRule="auto"/>
              <w:rPr>
                <w:rFonts w:ascii="Times New Roman" w:hAnsi="Times New Roman"/>
                <w:lang w:val="lt-LT"/>
              </w:rPr>
            </w:pPr>
            <w:bookmarkStart w:id="4" w:name="_Hlk57282342"/>
            <w:r>
              <w:rPr>
                <w:rFonts w:ascii="Times New Roman" w:hAnsi="Times New Roman"/>
                <w:lang w:val="lt-LT"/>
              </w:rPr>
              <w:t>III. Priemonių kaštai</w:t>
            </w:r>
          </w:p>
        </w:tc>
        <w:tc>
          <w:tcPr>
            <w:tcW w:w="4140" w:type="pct"/>
          </w:tcPr>
          <w:p w14:paraId="3CEFB630" w14:textId="7623A714" w:rsidR="001C2852" w:rsidRDefault="001C2852" w:rsidP="00AD15D8">
            <w:pPr>
              <w:spacing w:line="276" w:lineRule="auto"/>
              <w:ind w:firstLine="324"/>
              <w:jc w:val="both"/>
              <w:rPr>
                <w:rFonts w:ascii="Times New Roman" w:hAnsi="Times New Roman"/>
                <w:lang w:val="lt-LT"/>
              </w:rPr>
            </w:pPr>
            <w:r>
              <w:rPr>
                <w:rFonts w:ascii="Times New Roman" w:hAnsi="Times New Roman"/>
                <w:lang w:val="lt-LT"/>
              </w:rPr>
              <w:t xml:space="preserve">Nuo 2021 m. liepos 1 d. iki </w:t>
            </w:r>
            <w:r w:rsidRPr="00EE4384">
              <w:rPr>
                <w:rFonts w:ascii="Times New Roman" w:hAnsi="Times New Roman"/>
                <w:lang w:val="lt-LT"/>
              </w:rPr>
              <w:t xml:space="preserve">2021 m. </w:t>
            </w:r>
            <w:r w:rsidRPr="001C2852">
              <w:rPr>
                <w:rFonts w:ascii="Times New Roman" w:hAnsi="Times New Roman"/>
                <w:lang w:val="lt-LT"/>
              </w:rPr>
              <w:t>gruodžio 31 d.</w:t>
            </w:r>
            <w:r w:rsidRPr="00EE4384">
              <w:rPr>
                <w:rFonts w:ascii="Times New Roman" w:hAnsi="Times New Roman"/>
                <w:lang w:val="lt-LT"/>
              </w:rPr>
              <w:t xml:space="preserve"> planuojama už </w:t>
            </w:r>
            <w:r w:rsidR="00E75684" w:rsidRPr="00E75684">
              <w:rPr>
                <w:rFonts w:ascii="Times New Roman" w:hAnsi="Times New Roman"/>
                <w:lang w:val="lt-LT"/>
              </w:rPr>
              <w:t>20</w:t>
            </w:r>
            <w:r w:rsidRPr="00E75684">
              <w:rPr>
                <w:rFonts w:ascii="Times New Roman" w:hAnsi="Times New Roman"/>
                <w:lang w:val="lt-LT"/>
              </w:rPr>
              <w:t xml:space="preserve"> mln. Eur paskolų ir finansinės nuomos (lizingo) paslaugų suteikti </w:t>
            </w:r>
            <w:r w:rsidR="00E75684" w:rsidRPr="00E75684">
              <w:rPr>
                <w:rFonts w:ascii="Times New Roman" w:hAnsi="Times New Roman"/>
                <w:lang w:val="lt-LT"/>
              </w:rPr>
              <w:t>15</w:t>
            </w:r>
            <w:r w:rsidRPr="00E75684">
              <w:rPr>
                <w:rFonts w:ascii="Times New Roman" w:hAnsi="Times New Roman"/>
                <w:lang w:val="lt-LT"/>
              </w:rPr>
              <w:t xml:space="preserve"> mln. Eur i</w:t>
            </w:r>
            <w:r w:rsidRPr="00EE4384">
              <w:rPr>
                <w:rFonts w:ascii="Times New Roman" w:hAnsi="Times New Roman"/>
                <w:lang w:val="lt-LT"/>
              </w:rPr>
              <w:t>ndividualių garantijų.</w:t>
            </w:r>
            <w:r>
              <w:rPr>
                <w:rFonts w:ascii="Times New Roman" w:hAnsi="Times New Roman"/>
                <w:lang w:val="lt-LT"/>
              </w:rPr>
              <w:t xml:space="preserve"> </w:t>
            </w:r>
          </w:p>
        </w:tc>
      </w:tr>
      <w:bookmarkEnd w:id="4"/>
      <w:tr w:rsidR="001C2852" w14:paraId="3BC652D1" w14:textId="77777777" w:rsidTr="00AD15D8">
        <w:trPr>
          <w:trHeight w:val="2019"/>
        </w:trPr>
        <w:tc>
          <w:tcPr>
            <w:tcW w:w="860" w:type="pct"/>
          </w:tcPr>
          <w:p w14:paraId="05DA82E0" w14:textId="77777777" w:rsidR="001C2852" w:rsidRDefault="001C2852" w:rsidP="00AD15D8">
            <w:pPr>
              <w:spacing w:line="288" w:lineRule="auto"/>
              <w:rPr>
                <w:rFonts w:ascii="Times New Roman" w:hAnsi="Times New Roman"/>
                <w:lang w:val="lt-LT"/>
              </w:rPr>
            </w:pPr>
            <w:r>
              <w:rPr>
                <w:rFonts w:ascii="Times New Roman" w:hAnsi="Times New Roman"/>
                <w:lang w:val="lt-LT"/>
              </w:rPr>
              <w:t>IV. Nauda visuomenei</w:t>
            </w:r>
          </w:p>
        </w:tc>
        <w:tc>
          <w:tcPr>
            <w:tcW w:w="4140" w:type="pct"/>
          </w:tcPr>
          <w:p w14:paraId="2ADB7DBA" w14:textId="77777777" w:rsidR="001C2852" w:rsidRDefault="001C2852" w:rsidP="00AD15D8">
            <w:pPr>
              <w:spacing w:line="276" w:lineRule="auto"/>
              <w:ind w:firstLine="324"/>
              <w:jc w:val="both"/>
              <w:rPr>
                <w:rFonts w:ascii="Times New Roman" w:hAnsi="Times New Roman"/>
                <w:lang w:val="lt-LT"/>
              </w:rPr>
            </w:pPr>
            <w:r>
              <w:rPr>
                <w:rFonts w:ascii="Times New Roman" w:hAnsi="Times New Roman"/>
                <w:lang w:val="lt-LT"/>
              </w:rPr>
              <w:t>1. Daugiau ūkio subjektų galėtų naudotis finansų įstaigų teikiamomis paskolomis ir (ar) finansinės nuomos (lizingo) paslaugomis.</w:t>
            </w:r>
          </w:p>
          <w:p w14:paraId="417324CF" w14:textId="77777777" w:rsidR="001C2852" w:rsidRDefault="001C2852" w:rsidP="00AD15D8">
            <w:pPr>
              <w:spacing w:line="276" w:lineRule="auto"/>
              <w:ind w:firstLine="324"/>
              <w:jc w:val="both"/>
              <w:rPr>
                <w:rFonts w:ascii="Times New Roman" w:hAnsi="Times New Roman"/>
                <w:lang w:val="lt-LT"/>
              </w:rPr>
            </w:pPr>
            <w:r>
              <w:rPr>
                <w:rFonts w:ascii="Times New Roman" w:hAnsi="Times New Roman"/>
                <w:lang w:val="lt-LT"/>
              </w:rPr>
              <w:t>2. Paskolų teikimas ūkio subjektams padėtų išvengti apyvartinių lėšų trūkumo.</w:t>
            </w:r>
          </w:p>
          <w:p w14:paraId="7957E3AD" w14:textId="77777777" w:rsidR="001C2852" w:rsidRPr="00BD19AD" w:rsidRDefault="001C2852" w:rsidP="00AD15D8">
            <w:pPr>
              <w:spacing w:line="276" w:lineRule="auto"/>
              <w:ind w:firstLine="324"/>
              <w:jc w:val="both"/>
              <w:rPr>
                <w:rFonts w:ascii="Times New Roman" w:hAnsi="Times New Roman"/>
                <w:lang w:val="lt-LT"/>
              </w:rPr>
            </w:pPr>
            <w:r w:rsidRPr="00BD19AD">
              <w:rPr>
                <w:rFonts w:ascii="Times New Roman" w:hAnsi="Times New Roman"/>
                <w:lang w:val="lt-LT"/>
              </w:rPr>
              <w:t xml:space="preserve">3. Individualios garantijos </w:t>
            </w:r>
            <w:r>
              <w:rPr>
                <w:rFonts w:ascii="Times New Roman" w:hAnsi="Times New Roman"/>
                <w:lang w:val="lt-LT"/>
              </w:rPr>
              <w:t xml:space="preserve">ir toliau </w:t>
            </w:r>
            <w:r w:rsidRPr="00BD19AD">
              <w:rPr>
                <w:rFonts w:ascii="Times New Roman" w:hAnsi="Times New Roman"/>
                <w:lang w:val="lt-LT"/>
              </w:rPr>
              <w:t>būtų teikiamos finansų įstaigoms</w:t>
            </w:r>
            <w:r>
              <w:rPr>
                <w:rFonts w:ascii="Times New Roman" w:hAnsi="Times New Roman"/>
                <w:lang w:val="lt-LT"/>
              </w:rPr>
              <w:t xml:space="preserve"> </w:t>
            </w:r>
            <w:r w:rsidRPr="00BD19AD">
              <w:rPr>
                <w:rFonts w:ascii="Times New Roman" w:hAnsi="Times New Roman"/>
                <w:lang w:val="lt-LT"/>
              </w:rPr>
              <w:t xml:space="preserve">ir už tuos ūkio subjektus, kurie dėl </w:t>
            </w:r>
            <w:r>
              <w:rPr>
                <w:rFonts w:ascii="Times New Roman" w:hAnsi="Times New Roman"/>
                <w:lang w:val="lt-LT"/>
              </w:rPr>
              <w:t>karantino paskelbimo</w:t>
            </w:r>
            <w:r w:rsidRPr="00BD19AD">
              <w:rPr>
                <w:rFonts w:ascii="Times New Roman" w:hAnsi="Times New Roman"/>
                <w:lang w:val="lt-LT"/>
              </w:rPr>
              <w:t xml:space="preserve"> susidur</w:t>
            </w:r>
            <w:r>
              <w:rPr>
                <w:rFonts w:ascii="Times New Roman" w:hAnsi="Times New Roman"/>
                <w:lang w:val="lt-LT"/>
              </w:rPr>
              <w:t>tų</w:t>
            </w:r>
            <w:r w:rsidRPr="00BD19AD">
              <w:rPr>
                <w:rFonts w:ascii="Times New Roman" w:hAnsi="Times New Roman"/>
                <w:lang w:val="lt-LT"/>
              </w:rPr>
              <w:t xml:space="preserve"> su laikinais finansiniais sunkumais.</w:t>
            </w:r>
            <w:r w:rsidRPr="00BD19AD">
              <w:rPr>
                <w:rFonts w:ascii="Times New Roman" w:hAnsi="Times New Roman"/>
                <w:szCs w:val="24"/>
                <w:lang w:val="lt-LT"/>
              </w:rPr>
              <w:t xml:space="preserve"> Tai užtikrin</w:t>
            </w:r>
            <w:r>
              <w:rPr>
                <w:rFonts w:ascii="Times New Roman" w:hAnsi="Times New Roman"/>
                <w:szCs w:val="24"/>
                <w:lang w:val="lt-LT"/>
              </w:rPr>
              <w:t>tų</w:t>
            </w:r>
            <w:r w:rsidRPr="00BD19AD">
              <w:rPr>
                <w:rFonts w:ascii="Times New Roman" w:hAnsi="Times New Roman"/>
                <w:szCs w:val="24"/>
                <w:lang w:val="lt-LT"/>
              </w:rPr>
              <w:t xml:space="preserve"> ūkio subjektų veiklos tęstinumą, </w:t>
            </w:r>
            <w:r>
              <w:rPr>
                <w:rFonts w:ascii="Times New Roman" w:hAnsi="Times New Roman"/>
                <w:szCs w:val="24"/>
                <w:lang w:val="lt-LT"/>
              </w:rPr>
              <w:t>taip pat</w:t>
            </w:r>
            <w:r w:rsidRPr="00BD19AD">
              <w:rPr>
                <w:rFonts w:ascii="Times New Roman" w:hAnsi="Times New Roman"/>
                <w:szCs w:val="24"/>
                <w:lang w:val="lt-LT"/>
              </w:rPr>
              <w:t xml:space="preserve"> </w:t>
            </w:r>
            <w:r>
              <w:rPr>
                <w:rFonts w:ascii="Times New Roman" w:hAnsi="Times New Roman"/>
                <w:szCs w:val="24"/>
                <w:lang w:val="lt-LT"/>
              </w:rPr>
              <w:t xml:space="preserve">būtų </w:t>
            </w:r>
            <w:r w:rsidRPr="00BD19AD">
              <w:rPr>
                <w:rFonts w:ascii="Times New Roman" w:hAnsi="Times New Roman"/>
                <w:szCs w:val="24"/>
                <w:lang w:val="lt-LT"/>
              </w:rPr>
              <w:t>išsaugot</w:t>
            </w:r>
            <w:r>
              <w:rPr>
                <w:rFonts w:ascii="Times New Roman" w:hAnsi="Times New Roman"/>
                <w:szCs w:val="24"/>
                <w:lang w:val="lt-LT"/>
              </w:rPr>
              <w:t>os</w:t>
            </w:r>
            <w:r w:rsidRPr="00BD19AD">
              <w:rPr>
                <w:rFonts w:ascii="Times New Roman" w:hAnsi="Times New Roman"/>
                <w:szCs w:val="24"/>
                <w:lang w:val="lt-LT"/>
              </w:rPr>
              <w:t xml:space="preserve"> darbo viet</w:t>
            </w:r>
            <w:r>
              <w:rPr>
                <w:rFonts w:ascii="Times New Roman" w:hAnsi="Times New Roman"/>
                <w:szCs w:val="24"/>
                <w:lang w:val="lt-LT"/>
              </w:rPr>
              <w:t>o</w:t>
            </w:r>
            <w:r w:rsidRPr="00BD19AD">
              <w:rPr>
                <w:rFonts w:ascii="Times New Roman" w:hAnsi="Times New Roman"/>
                <w:szCs w:val="24"/>
                <w:lang w:val="lt-LT"/>
              </w:rPr>
              <w:t>s bei dirbančiųjų pajam</w:t>
            </w:r>
            <w:r>
              <w:rPr>
                <w:rFonts w:ascii="Times New Roman" w:hAnsi="Times New Roman"/>
                <w:szCs w:val="24"/>
                <w:lang w:val="lt-LT"/>
              </w:rPr>
              <w:t>o</w:t>
            </w:r>
            <w:r w:rsidRPr="00BD19AD">
              <w:rPr>
                <w:rFonts w:ascii="Times New Roman" w:hAnsi="Times New Roman"/>
                <w:szCs w:val="24"/>
                <w:lang w:val="lt-LT"/>
              </w:rPr>
              <w:t>s.</w:t>
            </w:r>
          </w:p>
        </w:tc>
      </w:tr>
    </w:tbl>
    <w:p w14:paraId="4263F637" w14:textId="77777777" w:rsidR="001C2852" w:rsidRPr="003E1E17" w:rsidRDefault="001C2852" w:rsidP="001C2852">
      <w:pPr>
        <w:spacing w:line="360" w:lineRule="auto"/>
        <w:ind w:firstLine="720"/>
        <w:jc w:val="both"/>
        <w:rPr>
          <w:rFonts w:ascii="Times New Roman" w:hAnsi="Times New Roman"/>
          <w:szCs w:val="24"/>
          <w:lang w:val="lt-LT"/>
        </w:rPr>
      </w:pPr>
    </w:p>
    <w:p w14:paraId="09A4B31D" w14:textId="77777777" w:rsidR="001C2852" w:rsidRPr="003E1E17" w:rsidRDefault="001C2852" w:rsidP="001C2852">
      <w:pPr>
        <w:spacing w:line="360" w:lineRule="auto"/>
        <w:ind w:firstLine="720"/>
        <w:jc w:val="both"/>
        <w:rPr>
          <w:rFonts w:ascii="Times New Roman" w:hAnsi="Times New Roman"/>
          <w:szCs w:val="24"/>
          <w:lang w:val="lt-LT"/>
        </w:rPr>
      </w:pPr>
      <w:r w:rsidRPr="003E1E17">
        <w:rPr>
          <w:rFonts w:ascii="Times New Roman" w:hAnsi="Times New Roman"/>
          <w:szCs w:val="24"/>
          <w:lang w:val="lt-LT"/>
        </w:rPr>
        <w:t>Vadovaujantis Numatomo teisinio reguliavimo poveikio vertinimo metodikos, patvirtintos Lietuvos Respublikos Vyriausybės 2003 m. vasario 26 d. nutarimu Nr. 276 „Dėl Numatomo teisinio reguliavimo poveikio vertinimo metodikos patvirtinimo“, 4 punktu</w:t>
      </w:r>
      <w:r>
        <w:rPr>
          <w:rFonts w:ascii="Times New Roman" w:hAnsi="Times New Roman"/>
          <w:szCs w:val="24"/>
          <w:lang w:val="lt-LT"/>
        </w:rPr>
        <w:t>,</w:t>
      </w:r>
      <w:r w:rsidRPr="003E1E17">
        <w:rPr>
          <w:rFonts w:ascii="Times New Roman" w:hAnsi="Times New Roman"/>
          <w:szCs w:val="24"/>
          <w:lang w:val="lt-LT"/>
        </w:rPr>
        <w:t xml:space="preserve"> numatomo teisinio reguliavimo poveikio vertinimas neatliekamas. </w:t>
      </w:r>
    </w:p>
    <w:p w14:paraId="0E7809A6" w14:textId="77777777" w:rsidR="001C2852" w:rsidRPr="003E1E17" w:rsidRDefault="001C2852" w:rsidP="001C2852">
      <w:pPr>
        <w:spacing w:line="360" w:lineRule="auto"/>
        <w:ind w:firstLine="720"/>
        <w:jc w:val="both"/>
        <w:rPr>
          <w:rFonts w:ascii="Times New Roman" w:hAnsi="Times New Roman"/>
          <w:szCs w:val="24"/>
          <w:lang w:val="lt-LT"/>
        </w:rPr>
      </w:pPr>
      <w:r w:rsidRPr="003E1E17">
        <w:rPr>
          <w:rFonts w:ascii="Times New Roman" w:hAnsi="Times New Roman"/>
          <w:szCs w:val="24"/>
          <w:lang w:val="lt-LT"/>
        </w:rPr>
        <w:t>Keičiamam Nutarimo projektui neigiamų pasekmių nenumatoma.</w:t>
      </w:r>
    </w:p>
    <w:p w14:paraId="2E16DBEE" w14:textId="6D4565EC" w:rsidR="001C2852" w:rsidRPr="003E1E17" w:rsidRDefault="001C2852" w:rsidP="001C2852">
      <w:pPr>
        <w:spacing w:line="360" w:lineRule="auto"/>
        <w:ind w:firstLine="709"/>
        <w:jc w:val="both"/>
        <w:rPr>
          <w:rFonts w:ascii="Times New Roman" w:hAnsi="Times New Roman"/>
          <w:szCs w:val="24"/>
          <w:lang w:val="lt-LT"/>
        </w:rPr>
      </w:pPr>
      <w:r w:rsidRPr="003E1E17">
        <w:rPr>
          <w:rFonts w:ascii="Times New Roman" w:hAnsi="Times New Roman"/>
          <w:szCs w:val="24"/>
          <w:lang w:val="lt-LT"/>
        </w:rPr>
        <w:t xml:space="preserve">Nutarimo projektas </w:t>
      </w:r>
      <w:r>
        <w:rPr>
          <w:rFonts w:ascii="Times New Roman" w:hAnsi="Times New Roman"/>
          <w:szCs w:val="24"/>
          <w:lang w:val="lt-LT"/>
        </w:rPr>
        <w:t>neprieštarauja Aštuonioliktosios</w:t>
      </w:r>
      <w:r w:rsidRPr="003E1E17">
        <w:rPr>
          <w:rFonts w:ascii="Times New Roman" w:hAnsi="Times New Roman"/>
          <w:szCs w:val="24"/>
          <w:lang w:val="lt-LT"/>
        </w:rPr>
        <w:t xml:space="preserve"> Lietuvos Respublikos Vyriausybės programos, kuriai pritarta Lietuvos Respublikos Seimo 20</w:t>
      </w:r>
      <w:r>
        <w:rPr>
          <w:rFonts w:ascii="Times New Roman" w:hAnsi="Times New Roman"/>
          <w:szCs w:val="24"/>
          <w:lang w:val="lt-LT"/>
        </w:rPr>
        <w:t>20</w:t>
      </w:r>
      <w:r w:rsidRPr="003E1E17">
        <w:rPr>
          <w:rFonts w:ascii="Times New Roman" w:hAnsi="Times New Roman"/>
          <w:szCs w:val="24"/>
          <w:lang w:val="lt-LT"/>
        </w:rPr>
        <w:t xml:space="preserve"> m. gruodžio 1</w:t>
      </w:r>
      <w:r>
        <w:rPr>
          <w:rFonts w:ascii="Times New Roman" w:hAnsi="Times New Roman"/>
          <w:szCs w:val="24"/>
          <w:lang w:val="lt-LT"/>
        </w:rPr>
        <w:t>1</w:t>
      </w:r>
      <w:r w:rsidRPr="003E1E17">
        <w:rPr>
          <w:rFonts w:ascii="Times New Roman" w:hAnsi="Times New Roman"/>
          <w:szCs w:val="24"/>
          <w:lang w:val="lt-LT"/>
        </w:rPr>
        <w:t xml:space="preserve"> d. nutarimu Nr. X</w:t>
      </w:r>
      <w:r>
        <w:rPr>
          <w:rFonts w:ascii="Times New Roman" w:hAnsi="Times New Roman"/>
          <w:szCs w:val="24"/>
          <w:lang w:val="lt-LT"/>
        </w:rPr>
        <w:t>IV</w:t>
      </w:r>
      <w:r w:rsidRPr="003E1E17">
        <w:rPr>
          <w:rFonts w:ascii="Times New Roman" w:hAnsi="Times New Roman"/>
          <w:szCs w:val="24"/>
          <w:lang w:val="lt-LT"/>
        </w:rPr>
        <w:t>-</w:t>
      </w:r>
      <w:r>
        <w:rPr>
          <w:rFonts w:ascii="Times New Roman" w:hAnsi="Times New Roman"/>
          <w:szCs w:val="24"/>
          <w:lang w:val="lt-LT"/>
        </w:rPr>
        <w:t>7</w:t>
      </w:r>
      <w:r w:rsidRPr="003E1E17">
        <w:rPr>
          <w:rFonts w:ascii="Times New Roman" w:hAnsi="Times New Roman"/>
          <w:szCs w:val="24"/>
          <w:lang w:val="lt-LT"/>
        </w:rPr>
        <w:t xml:space="preserve">2 „Dėl </w:t>
      </w:r>
      <w:r>
        <w:rPr>
          <w:rFonts w:ascii="Times New Roman" w:hAnsi="Times New Roman"/>
          <w:szCs w:val="24"/>
          <w:lang w:val="lt-LT"/>
        </w:rPr>
        <w:t xml:space="preserve">Aštuonioliktosios </w:t>
      </w:r>
      <w:r w:rsidRPr="003E1E17">
        <w:rPr>
          <w:rFonts w:ascii="Times New Roman" w:hAnsi="Times New Roman"/>
          <w:szCs w:val="24"/>
          <w:lang w:val="lt-LT"/>
        </w:rPr>
        <w:t>Lietuvos Respublikos Vyriausybės programos“, nuostat</w:t>
      </w:r>
      <w:r>
        <w:rPr>
          <w:rFonts w:ascii="Times New Roman" w:hAnsi="Times New Roman"/>
          <w:szCs w:val="24"/>
          <w:lang w:val="lt-LT"/>
        </w:rPr>
        <w:t>om</w:t>
      </w:r>
      <w:r w:rsidRPr="003E1E17">
        <w:rPr>
          <w:rFonts w:ascii="Times New Roman" w:hAnsi="Times New Roman"/>
          <w:szCs w:val="24"/>
          <w:lang w:val="lt-LT"/>
        </w:rPr>
        <w:t>s.</w:t>
      </w:r>
    </w:p>
    <w:p w14:paraId="3DFFFCE6" w14:textId="54041801" w:rsidR="001C2852" w:rsidRDefault="001C2852" w:rsidP="001C2852">
      <w:pPr>
        <w:spacing w:line="360" w:lineRule="auto"/>
        <w:ind w:firstLine="709"/>
        <w:jc w:val="both"/>
        <w:rPr>
          <w:rFonts w:ascii="Times New Roman" w:hAnsi="Times New Roman"/>
          <w:szCs w:val="24"/>
          <w:lang w:val="lt-LT"/>
        </w:rPr>
      </w:pPr>
      <w:r w:rsidRPr="003E1E17">
        <w:rPr>
          <w:rFonts w:ascii="Times New Roman" w:hAnsi="Times New Roman"/>
          <w:szCs w:val="24"/>
          <w:lang w:val="lt-LT"/>
        </w:rPr>
        <w:t>Nutarimo projektas neperkelia ir neįgyvendina Europos Sąjungos teisės aktų.</w:t>
      </w:r>
    </w:p>
    <w:p w14:paraId="3C19B6EE" w14:textId="1CC26CF6" w:rsidR="00155D84" w:rsidRDefault="00155D84" w:rsidP="001C2852">
      <w:pPr>
        <w:spacing w:line="360" w:lineRule="auto"/>
        <w:ind w:firstLine="709"/>
        <w:jc w:val="both"/>
        <w:rPr>
          <w:rFonts w:ascii="Times New Roman" w:hAnsi="Times New Roman"/>
          <w:szCs w:val="24"/>
          <w:lang w:val="lt-LT"/>
        </w:rPr>
      </w:pPr>
      <w:r w:rsidRPr="004E46BF">
        <w:rPr>
          <w:rFonts w:ascii="Times New Roman" w:hAnsi="Times New Roman"/>
          <w:szCs w:val="24"/>
          <w:lang w:val="lt-LT"/>
        </w:rPr>
        <w:t>Nutarimo projektas derintas su Lietuvos Respublikos finansų ministerija, Lietuvos Respublikos ekonomikos ir inovacijų ministerija, Lietuvos Respublikos konkurencijos taryba, Lietuvos Respublikos teisingumo ministerija ir UAB Žemės ūkio paskolų garantijų fondu. Suderinta be pastabų</w:t>
      </w:r>
      <w:r w:rsidR="00D55E43" w:rsidRPr="004E46BF">
        <w:rPr>
          <w:rFonts w:ascii="Times New Roman" w:hAnsi="Times New Roman"/>
          <w:szCs w:val="24"/>
          <w:lang w:val="lt-LT"/>
        </w:rPr>
        <w:t>.</w:t>
      </w:r>
    </w:p>
    <w:p w14:paraId="2095C951" w14:textId="0FA7B959" w:rsidR="001C2852" w:rsidRDefault="001C2852" w:rsidP="001C2852">
      <w:pPr>
        <w:spacing w:line="360" w:lineRule="auto"/>
        <w:ind w:firstLine="709"/>
        <w:jc w:val="both"/>
        <w:rPr>
          <w:rFonts w:ascii="Times New Roman" w:hAnsi="Times New Roman"/>
          <w:szCs w:val="24"/>
          <w:lang w:val="lt-LT"/>
        </w:rPr>
      </w:pPr>
      <w:r w:rsidRPr="00754580">
        <w:rPr>
          <w:rFonts w:ascii="Times New Roman" w:hAnsi="Times New Roman"/>
          <w:szCs w:val="24"/>
          <w:lang w:val="lt-LT"/>
        </w:rPr>
        <w:lastRenderedPageBreak/>
        <w:t xml:space="preserve">Nutarimo projektas notifikuotinas Europos Komisijai. </w:t>
      </w:r>
      <w:r w:rsidR="00155D84" w:rsidRPr="00754580">
        <w:rPr>
          <w:rFonts w:ascii="Times New Roman" w:hAnsi="Times New Roman"/>
          <w:szCs w:val="24"/>
          <w:lang w:val="lt-LT"/>
        </w:rPr>
        <w:t>Atkreipiame dėmesį, kad negavus pritarimo iš Europos Komisijos, individualios garantijos, susijusios su COVID-19 viruso protrūkiu, nebūtų teikiamos.</w:t>
      </w:r>
    </w:p>
    <w:p w14:paraId="2D58E006" w14:textId="77777777" w:rsidR="001C2852" w:rsidRDefault="001C2852" w:rsidP="001C2852">
      <w:pPr>
        <w:spacing w:line="360" w:lineRule="auto"/>
        <w:ind w:firstLine="709"/>
        <w:jc w:val="both"/>
        <w:rPr>
          <w:rFonts w:ascii="Times New Roman" w:hAnsi="Times New Roman"/>
          <w:szCs w:val="24"/>
          <w:lang w:val="lt-LT"/>
        </w:rPr>
      </w:pPr>
      <w:r>
        <w:rPr>
          <w:rFonts w:ascii="Times New Roman" w:hAnsi="Times New Roman"/>
          <w:szCs w:val="24"/>
          <w:lang w:val="lt-LT"/>
        </w:rPr>
        <w:t>Nutarimo projektui įgyvendinti reikės pakeisti Uždarosios akcinės bendrovės Žemės ūkio paskolų garantijų fondo individualių garantijų teikimo nuostatus, patvirtintus Lietuvos Respublikos žemės ūkio ministro 2019 m. lapkričio 14 d. įsakymu Nr. 3D-624 „Dėl Uždarosios akcinės bendrovės Žemės ūkio paskolų garantijų fondo individualių garantijų nuostatų patvirtinimo“.</w:t>
      </w:r>
    </w:p>
    <w:p w14:paraId="506C803B" w14:textId="448A974B" w:rsidR="001C2852" w:rsidRPr="00E07883" w:rsidRDefault="001C2852" w:rsidP="001C2852">
      <w:pPr>
        <w:spacing w:line="360" w:lineRule="auto"/>
        <w:ind w:firstLine="709"/>
        <w:jc w:val="both"/>
        <w:rPr>
          <w:rFonts w:ascii="Times New Roman" w:hAnsi="Times New Roman"/>
          <w:szCs w:val="24"/>
          <w:lang w:val="lt-LT"/>
        </w:rPr>
      </w:pPr>
      <w:r w:rsidRPr="00E07883">
        <w:rPr>
          <w:rFonts w:ascii="Times New Roman" w:hAnsi="Times New Roman"/>
          <w:szCs w:val="24"/>
          <w:lang w:val="lt-LT"/>
        </w:rPr>
        <w:t xml:space="preserve">Nutarimo projektą parengė Lietuvos Respublikos žemės ūkio ministerijos </w:t>
      </w:r>
      <w:r>
        <w:rPr>
          <w:rFonts w:ascii="Times New Roman" w:hAnsi="Times New Roman"/>
          <w:szCs w:val="24"/>
          <w:lang w:val="lt-LT"/>
        </w:rPr>
        <w:t>Žemės ūkio sektoriaus finansų valdymo grupės</w:t>
      </w:r>
      <w:r w:rsidRPr="00E07883">
        <w:rPr>
          <w:rFonts w:ascii="Times New Roman" w:hAnsi="Times New Roman"/>
          <w:szCs w:val="24"/>
          <w:lang w:val="lt-LT"/>
        </w:rPr>
        <w:t xml:space="preserve"> (v</w:t>
      </w:r>
      <w:r>
        <w:rPr>
          <w:rFonts w:ascii="Times New Roman" w:hAnsi="Times New Roman"/>
          <w:szCs w:val="24"/>
          <w:lang w:val="lt-LT"/>
        </w:rPr>
        <w:t>adovė</w:t>
      </w:r>
      <w:r w:rsidRPr="00E07883">
        <w:rPr>
          <w:rFonts w:ascii="Times New Roman" w:hAnsi="Times New Roman"/>
          <w:szCs w:val="24"/>
          <w:lang w:val="lt-LT"/>
        </w:rPr>
        <w:t xml:space="preserve"> </w:t>
      </w:r>
      <w:r>
        <w:rPr>
          <w:rFonts w:ascii="Times New Roman" w:hAnsi="Times New Roman"/>
          <w:szCs w:val="24"/>
          <w:lang w:val="lt-LT"/>
        </w:rPr>
        <w:t xml:space="preserve">R. </w:t>
      </w:r>
      <w:proofErr w:type="spellStart"/>
      <w:r>
        <w:rPr>
          <w:rFonts w:ascii="Times New Roman" w:hAnsi="Times New Roman"/>
          <w:szCs w:val="24"/>
          <w:lang w:val="lt-LT"/>
        </w:rPr>
        <w:t>Mininienė</w:t>
      </w:r>
      <w:proofErr w:type="spellEnd"/>
      <w:r w:rsidRPr="00E07883">
        <w:rPr>
          <w:rFonts w:ascii="Times New Roman" w:hAnsi="Times New Roman"/>
          <w:szCs w:val="24"/>
          <w:lang w:val="lt-LT"/>
        </w:rPr>
        <w:t>, tel. (8 5) 239 1</w:t>
      </w:r>
      <w:r>
        <w:rPr>
          <w:rFonts w:ascii="Times New Roman" w:hAnsi="Times New Roman"/>
          <w:szCs w:val="24"/>
          <w:lang w:val="lt-LT"/>
        </w:rPr>
        <w:t>341</w:t>
      </w:r>
      <w:r w:rsidRPr="00E07883">
        <w:rPr>
          <w:rFonts w:ascii="Times New Roman" w:hAnsi="Times New Roman"/>
          <w:szCs w:val="24"/>
          <w:lang w:val="lt-LT"/>
        </w:rPr>
        <w:t>) vyriausi</w:t>
      </w:r>
      <w:r w:rsidR="00B9319B">
        <w:rPr>
          <w:rFonts w:ascii="Times New Roman" w:hAnsi="Times New Roman"/>
          <w:szCs w:val="24"/>
          <w:lang w:val="lt-LT"/>
        </w:rPr>
        <w:t>asis</w:t>
      </w:r>
      <w:r w:rsidRPr="00E07883">
        <w:rPr>
          <w:rFonts w:ascii="Times New Roman" w:hAnsi="Times New Roman"/>
          <w:szCs w:val="24"/>
          <w:lang w:val="lt-LT"/>
        </w:rPr>
        <w:t xml:space="preserve"> specialist</w:t>
      </w:r>
      <w:r w:rsidR="00B9319B">
        <w:rPr>
          <w:rFonts w:ascii="Times New Roman" w:hAnsi="Times New Roman"/>
          <w:szCs w:val="24"/>
          <w:lang w:val="lt-LT"/>
        </w:rPr>
        <w:t>as</w:t>
      </w:r>
      <w:r w:rsidRPr="00E07883">
        <w:rPr>
          <w:rFonts w:ascii="Times New Roman" w:hAnsi="Times New Roman"/>
          <w:szCs w:val="24"/>
          <w:lang w:val="lt-LT"/>
        </w:rPr>
        <w:t xml:space="preserve"> </w:t>
      </w:r>
      <w:r w:rsidR="00B9319B">
        <w:rPr>
          <w:rFonts w:ascii="Times New Roman" w:hAnsi="Times New Roman"/>
          <w:szCs w:val="24"/>
          <w:lang w:val="lt-LT"/>
        </w:rPr>
        <w:t>Marius Butkus</w:t>
      </w:r>
      <w:r w:rsidRPr="00E07883">
        <w:rPr>
          <w:rFonts w:ascii="Times New Roman" w:hAnsi="Times New Roman"/>
          <w:szCs w:val="24"/>
          <w:lang w:val="lt-LT"/>
        </w:rPr>
        <w:t>, tel. (8 5) 239</w:t>
      </w:r>
      <w:r w:rsidR="00155D84">
        <w:rPr>
          <w:rFonts w:ascii="Times New Roman" w:hAnsi="Times New Roman"/>
          <w:szCs w:val="24"/>
          <w:lang w:val="lt-LT"/>
        </w:rPr>
        <w:t> </w:t>
      </w:r>
      <w:r w:rsidRPr="00E07883">
        <w:rPr>
          <w:rFonts w:ascii="Times New Roman" w:hAnsi="Times New Roman"/>
          <w:szCs w:val="24"/>
          <w:lang w:val="lt-LT"/>
        </w:rPr>
        <w:t>106</w:t>
      </w:r>
      <w:r w:rsidR="00B9319B">
        <w:rPr>
          <w:rFonts w:ascii="Times New Roman" w:hAnsi="Times New Roman"/>
          <w:szCs w:val="24"/>
          <w:lang w:val="en-US"/>
        </w:rPr>
        <w:t>9</w:t>
      </w:r>
      <w:r w:rsidRPr="00E07883">
        <w:rPr>
          <w:rFonts w:ascii="Times New Roman" w:hAnsi="Times New Roman"/>
          <w:szCs w:val="24"/>
          <w:lang w:val="lt-LT"/>
        </w:rPr>
        <w:t>.</w:t>
      </w:r>
    </w:p>
    <w:p w14:paraId="6D803A43" w14:textId="77777777" w:rsidR="001C2852" w:rsidRPr="00A8791C" w:rsidRDefault="001C2852" w:rsidP="001C2852">
      <w:pPr>
        <w:ind w:firstLine="720"/>
        <w:jc w:val="both"/>
        <w:rPr>
          <w:rFonts w:ascii="Times New Roman" w:hAnsi="Times New Roman"/>
          <w:szCs w:val="24"/>
          <w:lang w:val="lt-LT"/>
        </w:rPr>
      </w:pPr>
      <w:r w:rsidRPr="00A8791C">
        <w:rPr>
          <w:rFonts w:ascii="Times New Roman" w:hAnsi="Times New Roman"/>
          <w:szCs w:val="24"/>
          <w:lang w:val="lt-LT"/>
        </w:rPr>
        <w:t>PRIDEDAMA:</w:t>
      </w:r>
    </w:p>
    <w:p w14:paraId="6B480C95" w14:textId="136EF745" w:rsidR="001C2852" w:rsidRPr="00A8791C" w:rsidRDefault="001C2852" w:rsidP="001C2852">
      <w:pPr>
        <w:ind w:firstLine="720"/>
        <w:jc w:val="both"/>
        <w:rPr>
          <w:rFonts w:ascii="Times New Roman" w:hAnsi="Times New Roman"/>
          <w:szCs w:val="24"/>
          <w:lang w:val="lt-LT"/>
        </w:rPr>
      </w:pPr>
      <w:r w:rsidRPr="00A8791C">
        <w:rPr>
          <w:rFonts w:ascii="Times New Roman" w:hAnsi="Times New Roman"/>
          <w:szCs w:val="24"/>
          <w:lang w:val="lt-LT"/>
        </w:rPr>
        <w:t xml:space="preserve">1. Lietuvos Respublikos Vyriausybės nutarimo „Dėl Lietuvos Respublikos Vyriausybės 1997 m. rugpjūčio 22 d. nutarimo Nr. 912 „Dėl Žemės ūkio paskolų garantijų fondo“ pakeitimo“ projektas, </w:t>
      </w:r>
      <w:r w:rsidR="00E75684">
        <w:rPr>
          <w:rFonts w:ascii="Times New Roman" w:hAnsi="Times New Roman"/>
          <w:szCs w:val="24"/>
          <w:lang w:val="lt-LT"/>
        </w:rPr>
        <w:t xml:space="preserve">1 </w:t>
      </w:r>
      <w:r w:rsidRPr="00A8791C">
        <w:rPr>
          <w:rFonts w:ascii="Times New Roman" w:hAnsi="Times New Roman"/>
          <w:szCs w:val="24"/>
          <w:lang w:val="lt-LT"/>
        </w:rPr>
        <w:t>lapa</w:t>
      </w:r>
      <w:r w:rsidR="00E75684">
        <w:rPr>
          <w:rFonts w:ascii="Times New Roman" w:hAnsi="Times New Roman"/>
          <w:szCs w:val="24"/>
          <w:lang w:val="lt-LT"/>
        </w:rPr>
        <w:t>s</w:t>
      </w:r>
      <w:r w:rsidRPr="00A8791C">
        <w:rPr>
          <w:rFonts w:ascii="Times New Roman" w:hAnsi="Times New Roman"/>
          <w:szCs w:val="24"/>
          <w:lang w:val="lt-LT"/>
        </w:rPr>
        <w:t>.</w:t>
      </w:r>
    </w:p>
    <w:p w14:paraId="46178DDD" w14:textId="07C4E80E" w:rsidR="001C2852" w:rsidRPr="00A8791C" w:rsidRDefault="001C2852" w:rsidP="001C2852">
      <w:pPr>
        <w:ind w:firstLine="720"/>
        <w:jc w:val="both"/>
        <w:rPr>
          <w:rFonts w:ascii="Times New Roman" w:hAnsi="Times New Roman"/>
          <w:szCs w:val="24"/>
          <w:lang w:val="lt-LT"/>
        </w:rPr>
      </w:pPr>
      <w:r w:rsidRPr="00A8791C">
        <w:rPr>
          <w:rFonts w:ascii="Times New Roman" w:hAnsi="Times New Roman"/>
          <w:szCs w:val="24"/>
          <w:lang w:val="lt-LT"/>
        </w:rPr>
        <w:t>2. Lietuvos Respublikos Vyriausyb</w:t>
      </w:r>
      <w:r w:rsidRPr="00A8791C">
        <w:rPr>
          <w:rFonts w:ascii="Times New Roman" w:hAnsi="Times New Roman" w:hint="eastAsia"/>
          <w:szCs w:val="24"/>
          <w:lang w:val="lt-LT"/>
        </w:rPr>
        <w:t>ė</w:t>
      </w:r>
      <w:r w:rsidRPr="00A8791C">
        <w:rPr>
          <w:rFonts w:ascii="Times New Roman" w:hAnsi="Times New Roman"/>
          <w:szCs w:val="24"/>
          <w:lang w:val="lt-LT"/>
        </w:rPr>
        <w:t>s nutarimo „D</w:t>
      </w:r>
      <w:r w:rsidRPr="00A8791C">
        <w:rPr>
          <w:rFonts w:ascii="Times New Roman" w:hAnsi="Times New Roman" w:hint="eastAsia"/>
          <w:szCs w:val="24"/>
          <w:lang w:val="lt-LT"/>
        </w:rPr>
        <w:t>ė</w:t>
      </w:r>
      <w:r w:rsidRPr="00A8791C">
        <w:rPr>
          <w:rFonts w:ascii="Times New Roman" w:hAnsi="Times New Roman"/>
          <w:szCs w:val="24"/>
          <w:lang w:val="lt-LT"/>
        </w:rPr>
        <w:t>l Lietuvos Respublikos Vyriausyb</w:t>
      </w:r>
      <w:r w:rsidRPr="00A8791C">
        <w:rPr>
          <w:rFonts w:ascii="Times New Roman" w:hAnsi="Times New Roman" w:hint="eastAsia"/>
          <w:szCs w:val="24"/>
          <w:lang w:val="lt-LT"/>
        </w:rPr>
        <w:t>ė</w:t>
      </w:r>
      <w:r w:rsidRPr="00A8791C">
        <w:rPr>
          <w:rFonts w:ascii="Times New Roman" w:hAnsi="Times New Roman"/>
          <w:szCs w:val="24"/>
          <w:lang w:val="lt-LT"/>
        </w:rPr>
        <w:t>s 1997 m. rugpj</w:t>
      </w:r>
      <w:r w:rsidRPr="00A8791C">
        <w:rPr>
          <w:rFonts w:ascii="Times New Roman" w:hAnsi="Times New Roman" w:hint="eastAsia"/>
          <w:szCs w:val="24"/>
          <w:lang w:val="lt-LT"/>
        </w:rPr>
        <w:t>ūč</w:t>
      </w:r>
      <w:r w:rsidRPr="00A8791C">
        <w:rPr>
          <w:rFonts w:ascii="Times New Roman" w:hAnsi="Times New Roman"/>
          <w:szCs w:val="24"/>
          <w:lang w:val="lt-LT"/>
        </w:rPr>
        <w:t>io 22 d. nutarimo Nr. 912 „D</w:t>
      </w:r>
      <w:r w:rsidRPr="00A8791C">
        <w:rPr>
          <w:rFonts w:ascii="Times New Roman" w:hAnsi="Times New Roman" w:hint="eastAsia"/>
          <w:szCs w:val="24"/>
          <w:lang w:val="lt-LT"/>
        </w:rPr>
        <w:t>ė</w:t>
      </w:r>
      <w:r w:rsidRPr="00A8791C">
        <w:rPr>
          <w:rFonts w:ascii="Times New Roman" w:hAnsi="Times New Roman"/>
          <w:szCs w:val="24"/>
          <w:lang w:val="lt-LT"/>
        </w:rPr>
        <w:t>l Žem</w:t>
      </w:r>
      <w:r w:rsidRPr="00A8791C">
        <w:rPr>
          <w:rFonts w:ascii="Times New Roman" w:hAnsi="Times New Roman" w:hint="eastAsia"/>
          <w:szCs w:val="24"/>
          <w:lang w:val="lt-LT"/>
        </w:rPr>
        <w:t>ė</w:t>
      </w:r>
      <w:r w:rsidRPr="00A8791C">
        <w:rPr>
          <w:rFonts w:ascii="Times New Roman" w:hAnsi="Times New Roman"/>
          <w:szCs w:val="24"/>
          <w:lang w:val="lt-LT"/>
        </w:rPr>
        <w:t xml:space="preserve">s </w:t>
      </w:r>
      <w:r w:rsidRPr="00A8791C">
        <w:rPr>
          <w:rFonts w:ascii="Times New Roman" w:hAnsi="Times New Roman" w:hint="eastAsia"/>
          <w:szCs w:val="24"/>
          <w:lang w:val="lt-LT"/>
        </w:rPr>
        <w:t>ū</w:t>
      </w:r>
      <w:r w:rsidRPr="00A8791C">
        <w:rPr>
          <w:rFonts w:ascii="Times New Roman" w:hAnsi="Times New Roman"/>
          <w:szCs w:val="24"/>
          <w:lang w:val="lt-LT"/>
        </w:rPr>
        <w:t>kio paskol</w:t>
      </w:r>
      <w:r w:rsidRPr="00A8791C">
        <w:rPr>
          <w:rFonts w:ascii="Times New Roman" w:hAnsi="Times New Roman" w:hint="eastAsia"/>
          <w:szCs w:val="24"/>
          <w:lang w:val="lt-LT"/>
        </w:rPr>
        <w:t>ų</w:t>
      </w:r>
      <w:r w:rsidRPr="00A8791C">
        <w:rPr>
          <w:rFonts w:ascii="Times New Roman" w:hAnsi="Times New Roman"/>
          <w:szCs w:val="24"/>
          <w:lang w:val="lt-LT"/>
        </w:rPr>
        <w:t xml:space="preserve"> garantij</w:t>
      </w:r>
      <w:r w:rsidRPr="00A8791C">
        <w:rPr>
          <w:rFonts w:ascii="Times New Roman" w:hAnsi="Times New Roman" w:hint="eastAsia"/>
          <w:szCs w:val="24"/>
          <w:lang w:val="lt-LT"/>
        </w:rPr>
        <w:t>ų</w:t>
      </w:r>
      <w:r w:rsidRPr="00A8791C">
        <w:rPr>
          <w:rFonts w:ascii="Times New Roman" w:hAnsi="Times New Roman"/>
          <w:szCs w:val="24"/>
          <w:lang w:val="lt-LT"/>
        </w:rPr>
        <w:t xml:space="preserve"> fondo“ pakeitimo“ projekto lyginamasis variantas, </w:t>
      </w:r>
      <w:r w:rsidR="00E75684">
        <w:rPr>
          <w:rFonts w:ascii="Times New Roman" w:hAnsi="Times New Roman"/>
          <w:szCs w:val="24"/>
          <w:lang w:val="lt-LT"/>
        </w:rPr>
        <w:t>1</w:t>
      </w:r>
      <w:r w:rsidRPr="00A8791C">
        <w:rPr>
          <w:rFonts w:ascii="Times New Roman" w:hAnsi="Times New Roman"/>
          <w:szCs w:val="24"/>
          <w:lang w:val="lt-LT"/>
        </w:rPr>
        <w:t xml:space="preserve"> lapa</w:t>
      </w:r>
      <w:r w:rsidR="00E75684">
        <w:rPr>
          <w:rFonts w:ascii="Times New Roman" w:hAnsi="Times New Roman"/>
          <w:szCs w:val="24"/>
          <w:lang w:val="lt-LT"/>
        </w:rPr>
        <w:t>s</w:t>
      </w:r>
      <w:r w:rsidRPr="00A8791C">
        <w:rPr>
          <w:rFonts w:ascii="Times New Roman" w:hAnsi="Times New Roman"/>
          <w:szCs w:val="24"/>
          <w:lang w:val="lt-LT"/>
        </w:rPr>
        <w:t>.</w:t>
      </w:r>
    </w:p>
    <w:p w14:paraId="10AA3A1E" w14:textId="3FACCAB3" w:rsidR="001C2852" w:rsidRPr="00155D84" w:rsidRDefault="001C2852" w:rsidP="001C2852">
      <w:pPr>
        <w:ind w:firstLine="720"/>
        <w:jc w:val="both"/>
        <w:rPr>
          <w:rFonts w:ascii="Times New Roman" w:hAnsi="Times New Roman"/>
          <w:szCs w:val="24"/>
          <w:lang w:val="lt-LT"/>
        </w:rPr>
      </w:pPr>
      <w:r w:rsidRPr="00A8791C">
        <w:rPr>
          <w:rFonts w:ascii="Times New Roman" w:hAnsi="Times New Roman"/>
          <w:szCs w:val="24"/>
          <w:lang w:val="lt-LT"/>
        </w:rPr>
        <w:t xml:space="preserve">3. Lietuvos Respublikos Vyriausybės nutarimo „Dėl Lietuvos Respublikos Vyriausybės 1997 m. rugpjūčio 22 d. nutarimo Nr. 912 „Dėl Žemės ūkio paskolų garantijų fondo“ pakeitimo“ projekto </w:t>
      </w:r>
      <w:r w:rsidRPr="00155D84">
        <w:rPr>
          <w:rFonts w:ascii="Times New Roman" w:hAnsi="Times New Roman"/>
          <w:szCs w:val="24"/>
          <w:lang w:val="lt-LT"/>
        </w:rPr>
        <w:t xml:space="preserve">antikorupcinio vertinimo pažyma, </w:t>
      </w:r>
      <w:r w:rsidR="004A4F61" w:rsidRPr="00155D84">
        <w:rPr>
          <w:rFonts w:ascii="Times New Roman" w:hAnsi="Times New Roman"/>
          <w:szCs w:val="24"/>
          <w:lang w:val="lt-LT"/>
        </w:rPr>
        <w:t>3</w:t>
      </w:r>
      <w:r w:rsidRPr="00155D84">
        <w:rPr>
          <w:rFonts w:ascii="Times New Roman" w:hAnsi="Times New Roman"/>
          <w:szCs w:val="24"/>
          <w:lang w:val="lt-LT"/>
        </w:rPr>
        <w:t xml:space="preserve"> lapai.</w:t>
      </w:r>
    </w:p>
    <w:p w14:paraId="62E91DED" w14:textId="3B254E83" w:rsidR="00155D84" w:rsidRPr="00155D84" w:rsidRDefault="00155D84" w:rsidP="001C2852">
      <w:pPr>
        <w:ind w:firstLine="720"/>
        <w:jc w:val="both"/>
        <w:rPr>
          <w:rFonts w:ascii="Times New Roman" w:hAnsi="Times New Roman"/>
          <w:szCs w:val="24"/>
          <w:lang w:val="lt-LT"/>
        </w:rPr>
      </w:pPr>
      <w:r w:rsidRPr="00155D84">
        <w:rPr>
          <w:rFonts w:ascii="Times New Roman" w:hAnsi="Times New Roman"/>
          <w:szCs w:val="24"/>
          <w:lang w:val="lt-LT"/>
        </w:rPr>
        <w:t xml:space="preserve">4. Suinteresuotų institucijų išvados, </w:t>
      </w:r>
      <w:r w:rsidR="004E46BF" w:rsidRPr="004E46BF">
        <w:rPr>
          <w:rFonts w:ascii="Times New Roman" w:hAnsi="Times New Roman"/>
          <w:szCs w:val="24"/>
          <w:lang w:val="en-US"/>
        </w:rPr>
        <w:t>5</w:t>
      </w:r>
      <w:r w:rsidRPr="004E46BF">
        <w:rPr>
          <w:rFonts w:ascii="Times New Roman" w:hAnsi="Times New Roman"/>
          <w:szCs w:val="24"/>
          <w:lang w:val="lt-LT"/>
        </w:rPr>
        <w:t xml:space="preserve"> lap</w:t>
      </w:r>
      <w:r w:rsidR="004E46BF" w:rsidRPr="004E46BF">
        <w:rPr>
          <w:rFonts w:ascii="Times New Roman" w:hAnsi="Times New Roman"/>
          <w:szCs w:val="24"/>
          <w:lang w:val="lt-LT"/>
        </w:rPr>
        <w:t>ai</w:t>
      </w:r>
      <w:r w:rsidRPr="004E46BF">
        <w:rPr>
          <w:rFonts w:ascii="Times New Roman" w:hAnsi="Times New Roman"/>
          <w:szCs w:val="24"/>
          <w:lang w:val="lt-LT"/>
        </w:rPr>
        <w:t>.</w:t>
      </w:r>
    </w:p>
    <w:p w14:paraId="6D845AC6" w14:textId="77777777" w:rsidR="001C2852" w:rsidRPr="00155D84" w:rsidRDefault="001C2852" w:rsidP="001C2852">
      <w:pPr>
        <w:jc w:val="both"/>
        <w:rPr>
          <w:rFonts w:ascii="Times New Roman" w:hAnsi="Times New Roman"/>
          <w:szCs w:val="24"/>
          <w:lang w:val="lt-LT"/>
        </w:rPr>
      </w:pPr>
    </w:p>
    <w:p w14:paraId="099B61E2" w14:textId="77777777" w:rsidR="001C2852" w:rsidRDefault="001C2852" w:rsidP="001C2852">
      <w:pPr>
        <w:jc w:val="both"/>
        <w:rPr>
          <w:rFonts w:ascii="Times New Roman" w:hAnsi="Times New Roman"/>
          <w:szCs w:val="24"/>
          <w:lang w:val="lt-LT"/>
        </w:rPr>
      </w:pPr>
    </w:p>
    <w:p w14:paraId="2906C9A2" w14:textId="77777777" w:rsidR="001C2852" w:rsidRDefault="001C2852" w:rsidP="001C2852">
      <w:pPr>
        <w:jc w:val="both"/>
        <w:rPr>
          <w:rFonts w:ascii="Times New Roman" w:hAnsi="Times New Roman"/>
          <w:szCs w:val="24"/>
          <w:lang w:val="lt-LT"/>
        </w:rPr>
      </w:pPr>
    </w:p>
    <w:p w14:paraId="23F0E424" w14:textId="77777777" w:rsidR="001C2852" w:rsidRDefault="001C2852" w:rsidP="001C2852">
      <w:pPr>
        <w:jc w:val="both"/>
        <w:rPr>
          <w:rFonts w:ascii="Times New Roman" w:hAnsi="Times New Roman"/>
          <w:szCs w:val="24"/>
          <w:lang w:val="lt-LT"/>
        </w:rPr>
      </w:pPr>
    </w:p>
    <w:p w14:paraId="28F4B64B" w14:textId="67795A0C" w:rsidR="001C2852" w:rsidRDefault="00155D84" w:rsidP="001C2852">
      <w:pPr>
        <w:jc w:val="both"/>
        <w:rPr>
          <w:rFonts w:ascii="Times New Roman" w:hAnsi="Times New Roman"/>
          <w:szCs w:val="24"/>
          <w:lang w:val="lt-LT"/>
        </w:rPr>
      </w:pPr>
      <w:r>
        <w:rPr>
          <w:rFonts w:ascii="Times New Roman" w:hAnsi="Times New Roman"/>
          <w:szCs w:val="24"/>
          <w:lang w:val="lt-LT"/>
        </w:rPr>
        <w:t>M</w:t>
      </w:r>
      <w:r w:rsidR="001C2852">
        <w:rPr>
          <w:rFonts w:ascii="Times New Roman" w:hAnsi="Times New Roman"/>
          <w:szCs w:val="24"/>
          <w:lang w:val="lt-LT"/>
        </w:rPr>
        <w:t>inistras</w:t>
      </w:r>
      <w:r w:rsidR="001C2852">
        <w:rPr>
          <w:rFonts w:ascii="Times New Roman" w:hAnsi="Times New Roman"/>
          <w:szCs w:val="24"/>
          <w:lang w:val="lt-LT"/>
        </w:rPr>
        <w:tab/>
      </w:r>
      <w:r w:rsidR="001C2852">
        <w:rPr>
          <w:rFonts w:ascii="Times New Roman" w:hAnsi="Times New Roman"/>
          <w:szCs w:val="24"/>
          <w:lang w:val="lt-LT"/>
        </w:rPr>
        <w:tab/>
      </w:r>
      <w:r w:rsidR="001C2852">
        <w:rPr>
          <w:rFonts w:ascii="Times New Roman" w:hAnsi="Times New Roman"/>
          <w:szCs w:val="24"/>
          <w:lang w:val="lt-LT"/>
        </w:rPr>
        <w:tab/>
      </w:r>
      <w:r w:rsidR="001C2852">
        <w:rPr>
          <w:rFonts w:ascii="Times New Roman" w:hAnsi="Times New Roman"/>
          <w:szCs w:val="24"/>
          <w:lang w:val="lt-LT"/>
        </w:rPr>
        <w:tab/>
      </w:r>
      <w:r w:rsidR="001C2852">
        <w:rPr>
          <w:rFonts w:ascii="Times New Roman" w:hAnsi="Times New Roman"/>
          <w:szCs w:val="24"/>
          <w:lang w:val="lt-LT"/>
        </w:rPr>
        <w:tab/>
      </w:r>
      <w:r w:rsidR="001C2852">
        <w:rPr>
          <w:rFonts w:ascii="Times New Roman" w:hAnsi="Times New Roman"/>
          <w:szCs w:val="24"/>
          <w:lang w:val="lt-LT"/>
        </w:rPr>
        <w:tab/>
        <w:t xml:space="preserve">  </w:t>
      </w:r>
      <w:r w:rsidR="001C2852">
        <w:rPr>
          <w:rFonts w:ascii="Times New Roman" w:hAnsi="Times New Roman"/>
          <w:szCs w:val="24"/>
          <w:lang w:val="lt-LT"/>
        </w:rPr>
        <w:tab/>
      </w:r>
      <w:r w:rsidR="001C2852">
        <w:rPr>
          <w:rFonts w:ascii="Times New Roman" w:hAnsi="Times New Roman"/>
          <w:szCs w:val="24"/>
          <w:lang w:val="lt-LT"/>
        </w:rPr>
        <w:tab/>
      </w:r>
      <w:r w:rsidR="001C2852">
        <w:rPr>
          <w:rFonts w:ascii="Times New Roman" w:hAnsi="Times New Roman"/>
          <w:szCs w:val="24"/>
          <w:lang w:val="lt-LT"/>
        </w:rPr>
        <w:tab/>
        <w:t xml:space="preserve">        </w:t>
      </w:r>
      <w:r>
        <w:rPr>
          <w:rFonts w:ascii="Times New Roman" w:hAnsi="Times New Roman"/>
          <w:szCs w:val="24"/>
          <w:lang w:val="lt-LT"/>
        </w:rPr>
        <w:t xml:space="preserve">   Kęstutis Navickas</w:t>
      </w:r>
      <w:r w:rsidR="001C2852">
        <w:rPr>
          <w:rFonts w:ascii="Times New Roman" w:hAnsi="Times New Roman"/>
          <w:szCs w:val="24"/>
          <w:lang w:val="lt-LT"/>
        </w:rPr>
        <w:t xml:space="preserve"> </w:t>
      </w:r>
    </w:p>
    <w:p w14:paraId="4F02371C" w14:textId="77777777" w:rsidR="001C2852" w:rsidRPr="003E1E17" w:rsidRDefault="001C2852" w:rsidP="001C2852">
      <w:pPr>
        <w:jc w:val="both"/>
        <w:rPr>
          <w:rFonts w:ascii="Times New Roman" w:hAnsi="Times New Roman"/>
          <w:szCs w:val="24"/>
          <w:lang w:val="lt-LT"/>
        </w:rPr>
      </w:pPr>
    </w:p>
    <w:p w14:paraId="2308FB2D" w14:textId="77777777" w:rsidR="001C2852" w:rsidRPr="003E1E17" w:rsidRDefault="001C2852" w:rsidP="001C2852">
      <w:pPr>
        <w:jc w:val="both"/>
        <w:rPr>
          <w:rFonts w:ascii="Times New Roman" w:hAnsi="Times New Roman"/>
          <w:szCs w:val="24"/>
          <w:lang w:val="lt-LT"/>
        </w:rPr>
      </w:pPr>
    </w:p>
    <w:p w14:paraId="2A98A432" w14:textId="77777777" w:rsidR="001C2852" w:rsidRPr="003E1E17" w:rsidRDefault="001C2852" w:rsidP="001C2852">
      <w:pPr>
        <w:jc w:val="both"/>
        <w:rPr>
          <w:rFonts w:ascii="Times New Roman" w:hAnsi="Times New Roman"/>
          <w:szCs w:val="24"/>
          <w:lang w:val="lt-LT"/>
        </w:rPr>
      </w:pPr>
    </w:p>
    <w:p w14:paraId="3CDFEA81" w14:textId="77777777" w:rsidR="001C2852" w:rsidRPr="003E1E17" w:rsidRDefault="001C2852" w:rsidP="001C2852">
      <w:pPr>
        <w:jc w:val="both"/>
        <w:rPr>
          <w:rFonts w:ascii="Times New Roman" w:hAnsi="Times New Roman"/>
          <w:szCs w:val="24"/>
          <w:lang w:val="lt-LT"/>
        </w:rPr>
      </w:pPr>
    </w:p>
    <w:p w14:paraId="7534369E" w14:textId="77777777" w:rsidR="001C2852" w:rsidRDefault="001C2852" w:rsidP="001C2852">
      <w:pPr>
        <w:jc w:val="both"/>
        <w:rPr>
          <w:rFonts w:ascii="Times New Roman" w:hAnsi="Times New Roman"/>
          <w:szCs w:val="24"/>
          <w:lang w:val="lt-LT"/>
        </w:rPr>
      </w:pPr>
    </w:p>
    <w:p w14:paraId="6F2050D8" w14:textId="77777777" w:rsidR="001C2852" w:rsidRDefault="001C2852" w:rsidP="001C2852">
      <w:pPr>
        <w:jc w:val="both"/>
        <w:rPr>
          <w:rFonts w:ascii="Times New Roman" w:hAnsi="Times New Roman"/>
          <w:szCs w:val="24"/>
          <w:lang w:val="lt-LT"/>
        </w:rPr>
      </w:pPr>
    </w:p>
    <w:p w14:paraId="45CA5BA4" w14:textId="77777777" w:rsidR="001C2852" w:rsidRDefault="001C2852" w:rsidP="001C2852">
      <w:pPr>
        <w:jc w:val="both"/>
        <w:rPr>
          <w:rFonts w:ascii="Times New Roman" w:hAnsi="Times New Roman"/>
          <w:szCs w:val="24"/>
          <w:lang w:val="lt-LT"/>
        </w:rPr>
      </w:pPr>
    </w:p>
    <w:p w14:paraId="7F2A6F14" w14:textId="77777777" w:rsidR="001C2852" w:rsidRDefault="001C2852" w:rsidP="001C2852">
      <w:pPr>
        <w:jc w:val="both"/>
        <w:rPr>
          <w:rFonts w:ascii="Times New Roman" w:hAnsi="Times New Roman"/>
          <w:szCs w:val="24"/>
          <w:lang w:val="lt-LT"/>
        </w:rPr>
      </w:pPr>
    </w:p>
    <w:p w14:paraId="19F43D91" w14:textId="77777777" w:rsidR="001C2852" w:rsidRDefault="001C2852" w:rsidP="001C2852">
      <w:pPr>
        <w:jc w:val="both"/>
        <w:rPr>
          <w:rFonts w:ascii="Times New Roman" w:hAnsi="Times New Roman"/>
          <w:szCs w:val="24"/>
          <w:lang w:val="lt-LT"/>
        </w:rPr>
      </w:pPr>
    </w:p>
    <w:p w14:paraId="49EA9B59" w14:textId="77777777" w:rsidR="001C2852" w:rsidRDefault="001C2852" w:rsidP="001C2852">
      <w:pPr>
        <w:jc w:val="both"/>
        <w:rPr>
          <w:rFonts w:ascii="Times New Roman" w:hAnsi="Times New Roman"/>
          <w:szCs w:val="24"/>
          <w:lang w:val="lt-LT"/>
        </w:rPr>
      </w:pPr>
    </w:p>
    <w:p w14:paraId="48567D99" w14:textId="77777777" w:rsidR="001C2852" w:rsidRDefault="001C2852" w:rsidP="001C2852">
      <w:pPr>
        <w:jc w:val="both"/>
        <w:rPr>
          <w:rFonts w:ascii="Times New Roman" w:hAnsi="Times New Roman"/>
          <w:szCs w:val="24"/>
          <w:lang w:val="lt-LT"/>
        </w:rPr>
      </w:pPr>
    </w:p>
    <w:p w14:paraId="391D2F5F" w14:textId="77777777" w:rsidR="001C2852" w:rsidRDefault="001C2852" w:rsidP="001C2852">
      <w:pPr>
        <w:jc w:val="both"/>
        <w:rPr>
          <w:rFonts w:ascii="Times New Roman" w:hAnsi="Times New Roman"/>
          <w:szCs w:val="24"/>
          <w:lang w:val="lt-LT"/>
        </w:rPr>
      </w:pPr>
    </w:p>
    <w:p w14:paraId="4BDDB1CD" w14:textId="77777777" w:rsidR="001C2852" w:rsidRDefault="001C2852" w:rsidP="001C2852">
      <w:pPr>
        <w:jc w:val="both"/>
        <w:rPr>
          <w:rFonts w:ascii="Times New Roman" w:hAnsi="Times New Roman"/>
          <w:szCs w:val="24"/>
          <w:lang w:val="lt-LT"/>
        </w:rPr>
      </w:pPr>
    </w:p>
    <w:p w14:paraId="3BDA62CE" w14:textId="77777777" w:rsidR="001C2852" w:rsidRDefault="001C2852" w:rsidP="001C2852">
      <w:pPr>
        <w:jc w:val="both"/>
        <w:rPr>
          <w:rFonts w:ascii="Times New Roman" w:hAnsi="Times New Roman"/>
          <w:szCs w:val="24"/>
          <w:lang w:val="lt-LT"/>
        </w:rPr>
      </w:pPr>
    </w:p>
    <w:p w14:paraId="4F20BD66" w14:textId="77777777" w:rsidR="001C2852" w:rsidRDefault="001C2852" w:rsidP="001C2852">
      <w:pPr>
        <w:jc w:val="both"/>
        <w:rPr>
          <w:rFonts w:ascii="Times New Roman" w:hAnsi="Times New Roman"/>
          <w:szCs w:val="24"/>
          <w:lang w:val="lt-LT"/>
        </w:rPr>
      </w:pPr>
    </w:p>
    <w:p w14:paraId="6F40F26A" w14:textId="77777777" w:rsidR="001C2852" w:rsidRDefault="001C2852" w:rsidP="001C2852">
      <w:pPr>
        <w:jc w:val="both"/>
        <w:rPr>
          <w:rFonts w:ascii="Times New Roman" w:hAnsi="Times New Roman"/>
          <w:szCs w:val="24"/>
          <w:lang w:val="lt-LT"/>
        </w:rPr>
      </w:pPr>
    </w:p>
    <w:p w14:paraId="3C95D9E0" w14:textId="77777777" w:rsidR="001C2852" w:rsidRDefault="001C2852" w:rsidP="001C2852">
      <w:pPr>
        <w:jc w:val="both"/>
        <w:rPr>
          <w:rFonts w:ascii="Times New Roman" w:hAnsi="Times New Roman"/>
          <w:szCs w:val="24"/>
          <w:lang w:val="lt-LT"/>
        </w:rPr>
      </w:pPr>
    </w:p>
    <w:p w14:paraId="152D5ECC" w14:textId="77777777" w:rsidR="001C2852" w:rsidRDefault="001C2852" w:rsidP="001C2852">
      <w:pPr>
        <w:jc w:val="both"/>
        <w:rPr>
          <w:rFonts w:ascii="Times New Roman" w:hAnsi="Times New Roman"/>
          <w:szCs w:val="24"/>
          <w:lang w:val="lt-LT"/>
        </w:rPr>
      </w:pPr>
    </w:p>
    <w:p w14:paraId="189EE460" w14:textId="77777777" w:rsidR="00155D84" w:rsidRDefault="00155D84" w:rsidP="00813491">
      <w:pPr>
        <w:jc w:val="both"/>
        <w:rPr>
          <w:rFonts w:ascii="Times New Roman" w:hAnsi="Times New Roman"/>
          <w:szCs w:val="24"/>
          <w:lang w:val="lt-LT"/>
        </w:rPr>
      </w:pPr>
    </w:p>
    <w:p w14:paraId="37479C02" w14:textId="77777777" w:rsidR="00155D84" w:rsidRDefault="00155D84" w:rsidP="00813491">
      <w:pPr>
        <w:jc w:val="both"/>
        <w:rPr>
          <w:rFonts w:ascii="Times New Roman" w:hAnsi="Times New Roman"/>
          <w:szCs w:val="24"/>
          <w:lang w:val="lt-LT"/>
        </w:rPr>
      </w:pPr>
    </w:p>
    <w:p w14:paraId="1E5CC6C7" w14:textId="38822595" w:rsidR="00A10874" w:rsidRDefault="00155D84" w:rsidP="00813491">
      <w:pPr>
        <w:jc w:val="both"/>
        <w:rPr>
          <w:rFonts w:ascii="Times New Roman" w:hAnsi="Times New Roman"/>
          <w:lang w:val="lt-LT"/>
        </w:rPr>
      </w:pPr>
      <w:r>
        <w:rPr>
          <w:rFonts w:ascii="Times New Roman" w:hAnsi="Times New Roman"/>
          <w:szCs w:val="24"/>
          <w:lang w:val="lt-LT"/>
        </w:rPr>
        <w:t>Vita Jurgilienė</w:t>
      </w:r>
      <w:r w:rsidR="001C2852" w:rsidRPr="003E1E17">
        <w:rPr>
          <w:rFonts w:ascii="Times New Roman" w:hAnsi="Times New Roman"/>
          <w:szCs w:val="24"/>
          <w:lang w:val="lt-LT"/>
        </w:rPr>
        <w:t xml:space="preserve">, tel. (8 5)  239 </w:t>
      </w:r>
      <w:r w:rsidR="001C2852" w:rsidRPr="00896CE4">
        <w:rPr>
          <w:rFonts w:ascii="Times New Roman" w:hAnsi="Times New Roman"/>
          <w:szCs w:val="24"/>
          <w:lang w:val="lt-LT"/>
        </w:rPr>
        <w:t>106</w:t>
      </w:r>
      <w:r>
        <w:rPr>
          <w:rFonts w:ascii="Times New Roman" w:hAnsi="Times New Roman"/>
          <w:szCs w:val="24"/>
          <w:lang w:val="en-US"/>
        </w:rPr>
        <w:t>5</w:t>
      </w:r>
      <w:r w:rsidR="001C2852" w:rsidRPr="00896CE4">
        <w:rPr>
          <w:rFonts w:ascii="Times New Roman" w:hAnsi="Times New Roman"/>
          <w:szCs w:val="24"/>
          <w:lang w:val="lt-LT"/>
        </w:rPr>
        <w:t xml:space="preserve">, el. p. </w:t>
      </w:r>
      <w:r>
        <w:rPr>
          <w:rFonts w:ascii="Times New Roman" w:hAnsi="Times New Roman"/>
          <w:szCs w:val="24"/>
          <w:lang w:val="lt-LT"/>
        </w:rPr>
        <w:t>vita.jurgiliene</w:t>
      </w:r>
      <w:r w:rsidR="001C2852" w:rsidRPr="00896CE4">
        <w:rPr>
          <w:rFonts w:ascii="Times New Roman" w:hAnsi="Times New Roman"/>
          <w:szCs w:val="24"/>
          <w:lang w:val="lt-LT"/>
        </w:rPr>
        <w:t>@zum.lt</w:t>
      </w:r>
    </w:p>
    <w:sectPr w:rsidR="00A10874" w:rsidSect="009505A7">
      <w:headerReference w:type="default" r:id="rId9"/>
      <w:footerReference w:type="default" r:id="rId10"/>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DC12A" w14:textId="77777777" w:rsidR="00064853" w:rsidRDefault="00064853">
      <w:r>
        <w:separator/>
      </w:r>
    </w:p>
  </w:endnote>
  <w:endnote w:type="continuationSeparator" w:id="0">
    <w:p w14:paraId="7D3FB73D" w14:textId="77777777" w:rsidR="00064853" w:rsidRDefault="0006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AC3C" w14:textId="77777777"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B0810" w14:textId="77777777" w:rsidR="00064853" w:rsidRDefault="00064853">
      <w:bookmarkStart w:id="0" w:name="_Hlk483820012"/>
      <w:bookmarkEnd w:id="0"/>
      <w:r>
        <w:separator/>
      </w:r>
    </w:p>
  </w:footnote>
  <w:footnote w:type="continuationSeparator" w:id="0">
    <w:p w14:paraId="3B927EAF" w14:textId="77777777" w:rsidR="00064853" w:rsidRDefault="00064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717773"/>
      <w:docPartObj>
        <w:docPartGallery w:val="Page Numbers (Top of Page)"/>
        <w:docPartUnique/>
      </w:docPartObj>
    </w:sdtPr>
    <w:sdtEndPr/>
    <w:sdtContent>
      <w:p w14:paraId="7AEEC761" w14:textId="531316A0" w:rsidR="00E75684" w:rsidRDefault="00E75684">
        <w:pPr>
          <w:pStyle w:val="Antrats"/>
          <w:jc w:val="center"/>
        </w:pPr>
        <w:r>
          <w:fldChar w:fldCharType="begin"/>
        </w:r>
        <w:r>
          <w:instrText>PAGE   \* MERGEFORMAT</w:instrText>
        </w:r>
        <w:r>
          <w:fldChar w:fldCharType="separate"/>
        </w:r>
        <w:r>
          <w:rPr>
            <w:lang w:val="lt-LT"/>
          </w:rPr>
          <w:t>2</w:t>
        </w:r>
        <w:r>
          <w:fldChar w:fldCharType="end"/>
        </w:r>
      </w:p>
    </w:sdtContent>
  </w:sdt>
  <w:p w14:paraId="01FC40CE" w14:textId="77777777" w:rsidR="00E75684" w:rsidRDefault="00E7568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52"/>
    <w:rsid w:val="00011A7F"/>
    <w:rsid w:val="00035096"/>
    <w:rsid w:val="000526CC"/>
    <w:rsid w:val="000574A9"/>
    <w:rsid w:val="00064853"/>
    <w:rsid w:val="0006585C"/>
    <w:rsid w:val="00071121"/>
    <w:rsid w:val="00081F87"/>
    <w:rsid w:val="00085AAF"/>
    <w:rsid w:val="000A4093"/>
    <w:rsid w:val="000A7C0D"/>
    <w:rsid w:val="000B41D8"/>
    <w:rsid w:val="000B642C"/>
    <w:rsid w:val="000D72F7"/>
    <w:rsid w:val="001124C2"/>
    <w:rsid w:val="00132001"/>
    <w:rsid w:val="00133AAD"/>
    <w:rsid w:val="00150FA5"/>
    <w:rsid w:val="00155135"/>
    <w:rsid w:val="00155D84"/>
    <w:rsid w:val="001647FA"/>
    <w:rsid w:val="00172EF7"/>
    <w:rsid w:val="001765A9"/>
    <w:rsid w:val="001775FF"/>
    <w:rsid w:val="00177B39"/>
    <w:rsid w:val="001832A7"/>
    <w:rsid w:val="0018539C"/>
    <w:rsid w:val="00190A68"/>
    <w:rsid w:val="001A3FA9"/>
    <w:rsid w:val="001B74DF"/>
    <w:rsid w:val="001C1110"/>
    <w:rsid w:val="001C2852"/>
    <w:rsid w:val="001D6AAD"/>
    <w:rsid w:val="001E15F2"/>
    <w:rsid w:val="001F3A2E"/>
    <w:rsid w:val="002203C1"/>
    <w:rsid w:val="00243C0A"/>
    <w:rsid w:val="00251B67"/>
    <w:rsid w:val="0025222D"/>
    <w:rsid w:val="002850C7"/>
    <w:rsid w:val="002C5FAF"/>
    <w:rsid w:val="002D7DE4"/>
    <w:rsid w:val="002E04AA"/>
    <w:rsid w:val="002E4FE0"/>
    <w:rsid w:val="002E6516"/>
    <w:rsid w:val="002E6AE4"/>
    <w:rsid w:val="002F3CCB"/>
    <w:rsid w:val="00304731"/>
    <w:rsid w:val="00305A62"/>
    <w:rsid w:val="00313060"/>
    <w:rsid w:val="003421E3"/>
    <w:rsid w:val="0035168A"/>
    <w:rsid w:val="0035287E"/>
    <w:rsid w:val="0038755D"/>
    <w:rsid w:val="0039714C"/>
    <w:rsid w:val="003D1366"/>
    <w:rsid w:val="003E0159"/>
    <w:rsid w:val="003F3D65"/>
    <w:rsid w:val="00412143"/>
    <w:rsid w:val="0042659E"/>
    <w:rsid w:val="004555D8"/>
    <w:rsid w:val="0047204B"/>
    <w:rsid w:val="00473D2C"/>
    <w:rsid w:val="0048474E"/>
    <w:rsid w:val="004A1F23"/>
    <w:rsid w:val="004A4F61"/>
    <w:rsid w:val="004C08F6"/>
    <w:rsid w:val="004C3F1E"/>
    <w:rsid w:val="004C4A63"/>
    <w:rsid w:val="004D0D53"/>
    <w:rsid w:val="004D1E15"/>
    <w:rsid w:val="004D41C2"/>
    <w:rsid w:val="004D5163"/>
    <w:rsid w:val="004E46BF"/>
    <w:rsid w:val="004E4C91"/>
    <w:rsid w:val="004F6DFE"/>
    <w:rsid w:val="005015AA"/>
    <w:rsid w:val="00543887"/>
    <w:rsid w:val="0054395C"/>
    <w:rsid w:val="0055092F"/>
    <w:rsid w:val="00563A45"/>
    <w:rsid w:val="00567D6B"/>
    <w:rsid w:val="00576E74"/>
    <w:rsid w:val="005A0675"/>
    <w:rsid w:val="005D7CD8"/>
    <w:rsid w:val="005E3297"/>
    <w:rsid w:val="005E7F8E"/>
    <w:rsid w:val="005F5FDE"/>
    <w:rsid w:val="0061481F"/>
    <w:rsid w:val="0063162A"/>
    <w:rsid w:val="00647362"/>
    <w:rsid w:val="006476E9"/>
    <w:rsid w:val="00675CC3"/>
    <w:rsid w:val="00680CEF"/>
    <w:rsid w:val="006904A3"/>
    <w:rsid w:val="006A3FC3"/>
    <w:rsid w:val="006A5859"/>
    <w:rsid w:val="006B24F6"/>
    <w:rsid w:val="006E3D25"/>
    <w:rsid w:val="006F76E9"/>
    <w:rsid w:val="00701011"/>
    <w:rsid w:val="00712C74"/>
    <w:rsid w:val="00754580"/>
    <w:rsid w:val="00764FAB"/>
    <w:rsid w:val="007867FB"/>
    <w:rsid w:val="00787874"/>
    <w:rsid w:val="00797F9E"/>
    <w:rsid w:val="007B07EB"/>
    <w:rsid w:val="00813491"/>
    <w:rsid w:val="008165CC"/>
    <w:rsid w:val="00825EE1"/>
    <w:rsid w:val="00832979"/>
    <w:rsid w:val="0085461F"/>
    <w:rsid w:val="008634C0"/>
    <w:rsid w:val="00867626"/>
    <w:rsid w:val="00881B63"/>
    <w:rsid w:val="008A374A"/>
    <w:rsid w:val="008C0248"/>
    <w:rsid w:val="008D31B9"/>
    <w:rsid w:val="00910A21"/>
    <w:rsid w:val="0091780F"/>
    <w:rsid w:val="009343CD"/>
    <w:rsid w:val="009357A6"/>
    <w:rsid w:val="009403C7"/>
    <w:rsid w:val="009503C7"/>
    <w:rsid w:val="009505A7"/>
    <w:rsid w:val="009858A8"/>
    <w:rsid w:val="009934A3"/>
    <w:rsid w:val="009C19DA"/>
    <w:rsid w:val="009C57BC"/>
    <w:rsid w:val="00A05764"/>
    <w:rsid w:val="00A0679C"/>
    <w:rsid w:val="00A10874"/>
    <w:rsid w:val="00A14ECF"/>
    <w:rsid w:val="00A14ED5"/>
    <w:rsid w:val="00A3556D"/>
    <w:rsid w:val="00A60F59"/>
    <w:rsid w:val="00AE6CDA"/>
    <w:rsid w:val="00AF4D82"/>
    <w:rsid w:val="00B020E7"/>
    <w:rsid w:val="00B056EF"/>
    <w:rsid w:val="00B247FE"/>
    <w:rsid w:val="00B37E6A"/>
    <w:rsid w:val="00B67EA3"/>
    <w:rsid w:val="00B92F23"/>
    <w:rsid w:val="00B9319B"/>
    <w:rsid w:val="00BA15C7"/>
    <w:rsid w:val="00BB6ED3"/>
    <w:rsid w:val="00BD055F"/>
    <w:rsid w:val="00C06856"/>
    <w:rsid w:val="00C50256"/>
    <w:rsid w:val="00C506F5"/>
    <w:rsid w:val="00C60B5A"/>
    <w:rsid w:val="00C97FE4"/>
    <w:rsid w:val="00CA103D"/>
    <w:rsid w:val="00CA26FA"/>
    <w:rsid w:val="00CE31BF"/>
    <w:rsid w:val="00CF0BC4"/>
    <w:rsid w:val="00CF17D6"/>
    <w:rsid w:val="00CF31BC"/>
    <w:rsid w:val="00D20084"/>
    <w:rsid w:val="00D3073A"/>
    <w:rsid w:val="00D46316"/>
    <w:rsid w:val="00D54D71"/>
    <w:rsid w:val="00D55E43"/>
    <w:rsid w:val="00D572A3"/>
    <w:rsid w:val="00D9577D"/>
    <w:rsid w:val="00DF251E"/>
    <w:rsid w:val="00E12D5B"/>
    <w:rsid w:val="00E17BDE"/>
    <w:rsid w:val="00E2043E"/>
    <w:rsid w:val="00E35BEE"/>
    <w:rsid w:val="00E75684"/>
    <w:rsid w:val="00E95EC0"/>
    <w:rsid w:val="00EA3D48"/>
    <w:rsid w:val="00EC2BD1"/>
    <w:rsid w:val="00F01E83"/>
    <w:rsid w:val="00F1454C"/>
    <w:rsid w:val="00F34C1F"/>
    <w:rsid w:val="00F424F1"/>
    <w:rsid w:val="00F53EC5"/>
    <w:rsid w:val="00F60677"/>
    <w:rsid w:val="00F90851"/>
    <w:rsid w:val="00F91193"/>
    <w:rsid w:val="00FA2CA7"/>
    <w:rsid w:val="00FE777F"/>
    <w:rsid w:val="00FF1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300C2A"/>
  <w15:docId w15:val="{39F744C4-89B5-4265-A095-F223A6BD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46316"/>
    <w:pPr>
      <w:ind w:left="720"/>
      <w:contextualSpacing/>
    </w:pPr>
  </w:style>
  <w:style w:type="character" w:customStyle="1" w:styleId="AntratsDiagrama">
    <w:name w:val="Antraštės Diagrama"/>
    <w:basedOn w:val="Numatytasispastraiposriftas"/>
    <w:link w:val="Antrats"/>
    <w:uiPriority w:val="99"/>
    <w:rsid w:val="00E75684"/>
    <w:rPr>
      <w:rFonts w:ascii="TimesLT" w:hAnsi="TimesLT"/>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um.lt" TargetMode="External"/><Relationship Id="rId3" Type="http://schemas.openxmlformats.org/officeDocument/2006/relationships/webSettings" Target="webSettings.xml"/><Relationship Id="rId7" Type="http://schemas.openxmlformats.org/officeDocument/2006/relationships/hyperlink" Target="mailto:zum@zum.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oletal\AppData\Local\Microsoft\Windows\INetCache\Content.MSO\F532418E.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F532418E</Template>
  <TotalTime>14</TotalTime>
  <Pages>3</Pages>
  <Words>861</Words>
  <Characters>6188</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7035</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Butkus</dc:creator>
  <cp:lastModifiedBy>Violeta Stulpinienė</cp:lastModifiedBy>
  <cp:revision>6</cp:revision>
  <dcterms:created xsi:type="dcterms:W3CDTF">2021-06-10T07:15:00Z</dcterms:created>
  <dcterms:modified xsi:type="dcterms:W3CDTF">2021-06-10T13:09:00Z</dcterms:modified>
</cp:coreProperties>
</file>