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A5A13" w14:textId="1B85AB42" w:rsidR="00FD3AAC" w:rsidRPr="00037E85" w:rsidRDefault="00A20B15">
      <w:pPr>
        <w:jc w:val="center"/>
        <w:rPr>
          <w:rFonts w:ascii="Times New Roman" w:hAnsi="Times New Roman"/>
          <w:b/>
          <w:bCs/>
          <w:sz w:val="24"/>
          <w:szCs w:val="24"/>
        </w:rPr>
      </w:pPr>
      <w:r w:rsidRPr="00037E85">
        <w:rPr>
          <w:rFonts w:ascii="Times New Roman" w:hAnsi="Times New Roman"/>
          <w:b/>
          <w:bCs/>
          <w:sz w:val="24"/>
          <w:szCs w:val="24"/>
        </w:rPr>
        <w:t>DERINIMO PAŽYMA</w:t>
      </w:r>
    </w:p>
    <w:p w14:paraId="7207C0DD" w14:textId="77777777" w:rsidR="00215AD7" w:rsidRPr="00037E85" w:rsidRDefault="00215AD7">
      <w:pPr>
        <w:jc w:val="center"/>
        <w:rPr>
          <w:rFonts w:ascii="Times New Roman" w:hAnsi="Times New Roman"/>
          <w:b/>
          <w:bCs/>
          <w:sz w:val="24"/>
          <w:szCs w:val="24"/>
        </w:rPr>
      </w:pPr>
    </w:p>
    <w:tbl>
      <w:tblPr>
        <w:tblW w:w="14312" w:type="dxa"/>
        <w:tblCellMar>
          <w:left w:w="10" w:type="dxa"/>
          <w:right w:w="10" w:type="dxa"/>
        </w:tblCellMar>
        <w:tblLook w:val="04A0" w:firstRow="1" w:lastRow="0" w:firstColumn="1" w:lastColumn="0" w:noHBand="0" w:noVBand="1"/>
      </w:tblPr>
      <w:tblGrid>
        <w:gridCol w:w="2122"/>
        <w:gridCol w:w="5953"/>
        <w:gridCol w:w="6237"/>
      </w:tblGrid>
      <w:tr w:rsidR="00FD3AAC" w:rsidRPr="00037E85" w14:paraId="4C5C98E6"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E8A47" w14:textId="77777777" w:rsidR="00FD3AAC" w:rsidRPr="00037E85" w:rsidRDefault="00A20B15">
            <w:pPr>
              <w:spacing w:after="0" w:line="240" w:lineRule="auto"/>
              <w:rPr>
                <w:rFonts w:ascii="Times New Roman" w:hAnsi="Times New Roman"/>
                <w:b/>
                <w:bCs/>
                <w:sz w:val="24"/>
                <w:szCs w:val="24"/>
              </w:rPr>
            </w:pPr>
            <w:r w:rsidRPr="00037E85">
              <w:rPr>
                <w:rFonts w:ascii="Times New Roman" w:hAnsi="Times New Roman"/>
                <w:b/>
                <w:bCs/>
                <w:sz w:val="24"/>
                <w:szCs w:val="24"/>
              </w:rPr>
              <w:t>Institucija, teikianti pastabą</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BDE8" w14:textId="77777777" w:rsidR="00FD3AAC" w:rsidRPr="00037E85" w:rsidRDefault="00A20B15">
            <w:pPr>
              <w:spacing w:after="0" w:line="240" w:lineRule="auto"/>
              <w:rPr>
                <w:rFonts w:ascii="Times New Roman" w:hAnsi="Times New Roman"/>
                <w:b/>
                <w:bCs/>
                <w:sz w:val="24"/>
                <w:szCs w:val="24"/>
              </w:rPr>
            </w:pPr>
            <w:r w:rsidRPr="00037E85">
              <w:rPr>
                <w:rFonts w:ascii="Times New Roman" w:hAnsi="Times New Roman"/>
                <w:b/>
                <w:bCs/>
                <w:sz w:val="24"/>
                <w:szCs w:val="24"/>
              </w:rPr>
              <w:t>Pastaba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2747" w14:textId="77777777" w:rsidR="00FD3AAC" w:rsidRPr="00037E85" w:rsidRDefault="00A20B15">
            <w:pPr>
              <w:spacing w:after="0" w:line="240" w:lineRule="auto"/>
              <w:rPr>
                <w:rFonts w:ascii="Times New Roman" w:hAnsi="Times New Roman"/>
                <w:b/>
                <w:bCs/>
                <w:sz w:val="24"/>
                <w:szCs w:val="24"/>
              </w:rPr>
            </w:pPr>
            <w:r w:rsidRPr="00037E85">
              <w:rPr>
                <w:rFonts w:ascii="Times New Roman" w:hAnsi="Times New Roman"/>
                <w:b/>
                <w:bCs/>
                <w:sz w:val="24"/>
                <w:szCs w:val="24"/>
              </w:rPr>
              <w:t>Neatsižvelgimo (atsižvelgimo iš dalies) argumentai</w:t>
            </w:r>
          </w:p>
        </w:tc>
      </w:tr>
      <w:tr w:rsidR="00BF795D" w:rsidRPr="00037E85" w14:paraId="445CBB82" w14:textId="77777777" w:rsidTr="00B940AA">
        <w:trPr>
          <w:trHeight w:val="1900"/>
        </w:trPr>
        <w:tc>
          <w:tcPr>
            <w:tcW w:w="212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7627BAF" w14:textId="3048D7D3" w:rsidR="00BF795D" w:rsidRPr="00037E85" w:rsidRDefault="00BF795D">
            <w:pPr>
              <w:spacing w:after="0" w:line="240" w:lineRule="auto"/>
              <w:rPr>
                <w:rFonts w:ascii="Times New Roman" w:hAnsi="Times New Roman"/>
                <w:sz w:val="24"/>
                <w:szCs w:val="24"/>
              </w:rPr>
            </w:pPr>
            <w:r w:rsidRPr="00037E85">
              <w:rPr>
                <w:rFonts w:ascii="Times New Roman" w:hAnsi="Times New Roman"/>
                <w:sz w:val="24"/>
                <w:szCs w:val="24"/>
              </w:rPr>
              <w:t>Ekonomikos ir inovacijų ministerija</w:t>
            </w:r>
          </w:p>
        </w:tc>
        <w:tc>
          <w:tcPr>
            <w:tcW w:w="59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3E87F8B" w14:textId="77777777" w:rsidR="00BF795D" w:rsidRPr="00037E85" w:rsidRDefault="00BF795D" w:rsidP="00074846">
            <w:pPr>
              <w:spacing w:after="0" w:line="240" w:lineRule="auto"/>
              <w:jc w:val="both"/>
              <w:rPr>
                <w:rFonts w:ascii="Times New Roman" w:hAnsi="Times New Roman"/>
                <w:sz w:val="24"/>
                <w:szCs w:val="24"/>
              </w:rPr>
            </w:pPr>
            <w:r w:rsidRPr="00037E85">
              <w:rPr>
                <w:rFonts w:ascii="Times New Roman" w:hAnsi="Times New Roman"/>
                <w:sz w:val="24"/>
                <w:szCs w:val="24"/>
              </w:rPr>
              <w:t xml:space="preserve">1. Siūlome papildomai patikslinti Nutarimo 9 punktą suvienodinant 9 punkte nurodytoms paslaugoms taikomus asmeniui tenkančius ploto reikalavimus taip, kaip ir kitų paslaugų teikimo atveju (Nutarimo 8, 11, 13 punktuose), </w:t>
            </w:r>
            <w:proofErr w:type="spellStart"/>
            <w:r w:rsidRPr="00037E85">
              <w:rPr>
                <w:rFonts w:ascii="Times New Roman" w:hAnsi="Times New Roman"/>
                <w:sz w:val="24"/>
                <w:szCs w:val="24"/>
              </w:rPr>
              <w:t>t.y</w:t>
            </w:r>
            <w:proofErr w:type="spellEnd"/>
            <w:r w:rsidRPr="00037E85">
              <w:rPr>
                <w:rFonts w:ascii="Times New Roman" w:hAnsi="Times New Roman"/>
                <w:sz w:val="24"/>
                <w:szCs w:val="24"/>
              </w:rPr>
              <w:t>. nustatyti  10 m</w:t>
            </w:r>
            <w:r w:rsidRPr="00037E85">
              <w:rPr>
                <w:rFonts w:ascii="Times New Roman" w:hAnsi="Times New Roman"/>
                <w:sz w:val="24"/>
                <w:szCs w:val="24"/>
                <w:vertAlign w:val="superscript"/>
              </w:rPr>
              <w:t>2</w:t>
            </w:r>
            <w:r w:rsidRPr="00037E85">
              <w:rPr>
                <w:rFonts w:ascii="Times New Roman" w:hAnsi="Times New Roman"/>
                <w:sz w:val="24"/>
                <w:szCs w:val="24"/>
              </w:rPr>
              <w:t> paslaugos teikimo plotą vienam paslaugos gavėjui.</w:t>
            </w:r>
          </w:p>
          <w:p w14:paraId="65227D77" w14:textId="45188766" w:rsidR="00BF795D" w:rsidRPr="00037E85" w:rsidRDefault="00BF795D" w:rsidP="00074846">
            <w:pPr>
              <w:spacing w:after="0" w:line="240" w:lineRule="auto"/>
              <w:jc w:val="both"/>
              <w:rPr>
                <w:rFonts w:ascii="Times New Roman" w:hAnsi="Times New Roman"/>
                <w:sz w:val="24"/>
                <w:szCs w:val="24"/>
              </w:rPr>
            </w:pPr>
          </w:p>
        </w:tc>
        <w:tc>
          <w:tcPr>
            <w:tcW w:w="623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73428A0" w14:textId="77777777" w:rsidR="00BF795D" w:rsidRPr="00037E85" w:rsidRDefault="00BF795D">
            <w:pPr>
              <w:spacing w:after="0" w:line="240" w:lineRule="auto"/>
              <w:rPr>
                <w:rFonts w:ascii="Times New Roman" w:hAnsi="Times New Roman"/>
                <w:b/>
                <w:bCs/>
                <w:sz w:val="24"/>
                <w:szCs w:val="24"/>
              </w:rPr>
            </w:pPr>
            <w:r w:rsidRPr="00037E85">
              <w:rPr>
                <w:rFonts w:ascii="Times New Roman" w:hAnsi="Times New Roman"/>
                <w:b/>
                <w:bCs/>
                <w:sz w:val="24"/>
                <w:szCs w:val="24"/>
              </w:rPr>
              <w:t>Neatsižvelgta</w:t>
            </w:r>
          </w:p>
          <w:p w14:paraId="6C138831" w14:textId="4177B570" w:rsidR="00BF795D" w:rsidRPr="00037E85" w:rsidRDefault="00041469" w:rsidP="00074846">
            <w:pPr>
              <w:jc w:val="both"/>
              <w:rPr>
                <w:rFonts w:ascii="Times New Roman" w:hAnsi="Times New Roman"/>
                <w:sz w:val="24"/>
                <w:szCs w:val="24"/>
              </w:rPr>
            </w:pPr>
            <w:r w:rsidRPr="00037E85">
              <w:rPr>
                <w:rFonts w:ascii="Times New Roman" w:hAnsi="Times New Roman"/>
                <w:sz w:val="24"/>
                <w:szCs w:val="24"/>
              </w:rPr>
              <w:t xml:space="preserve">Laisvalaikio, sporto įrenginių eksploatavimo, sporto klubų, kūno </w:t>
            </w:r>
            <w:proofErr w:type="spellStart"/>
            <w:r w:rsidRPr="00037E85">
              <w:rPr>
                <w:rFonts w:ascii="Times New Roman" w:hAnsi="Times New Roman"/>
                <w:sz w:val="24"/>
                <w:szCs w:val="24"/>
              </w:rPr>
              <w:t>rengybos</w:t>
            </w:r>
            <w:proofErr w:type="spellEnd"/>
            <w:r w:rsidRPr="00037E85">
              <w:rPr>
                <w:rFonts w:ascii="Times New Roman" w:hAnsi="Times New Roman"/>
                <w:sz w:val="24"/>
                <w:szCs w:val="24"/>
              </w:rPr>
              <w:t xml:space="preserve"> centrų, pramogų, poilsio, baseinų, pirčių, diskotekų, šokių salių paslaugoms nustatytas didesnis ploto reikalavimas, kadangi tai yra aktyvios veiklos, kurių metu galimas didesnis viruso išskyrimas, be to daugelio iš jų metu veikla vykdoma nedėvint kaukės.</w:t>
            </w:r>
          </w:p>
        </w:tc>
      </w:tr>
      <w:tr w:rsidR="00E06AEA" w:rsidRPr="00037E85" w14:paraId="27696228" w14:textId="77777777" w:rsidTr="00816A46">
        <w:trPr>
          <w:trHeight w:val="1156"/>
        </w:trPr>
        <w:tc>
          <w:tcPr>
            <w:tcW w:w="2122"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13D8D5B" w14:textId="77777777" w:rsidR="00E06AEA" w:rsidRPr="00037E85" w:rsidRDefault="00E06AEA">
            <w:pPr>
              <w:spacing w:after="0" w:line="240" w:lineRule="auto"/>
              <w:rPr>
                <w:rFonts w:ascii="Times New Roman" w:hAnsi="Times New Roman"/>
                <w:sz w:val="24"/>
                <w:szCs w:val="24"/>
              </w:rPr>
            </w:pPr>
          </w:p>
        </w:tc>
        <w:tc>
          <w:tcPr>
            <w:tcW w:w="59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1648366" w14:textId="5554D7C1" w:rsidR="00E06AEA" w:rsidRPr="00037E85" w:rsidRDefault="00E06AEA" w:rsidP="00074846">
            <w:pPr>
              <w:spacing w:after="0" w:line="240" w:lineRule="auto"/>
              <w:jc w:val="both"/>
              <w:rPr>
                <w:rFonts w:ascii="Times New Roman" w:hAnsi="Times New Roman"/>
                <w:sz w:val="24"/>
                <w:szCs w:val="24"/>
              </w:rPr>
            </w:pPr>
            <w:r w:rsidRPr="00037E85">
              <w:rPr>
                <w:rFonts w:ascii="Times New Roman" w:hAnsi="Times New Roman"/>
                <w:sz w:val="24"/>
                <w:szCs w:val="24"/>
              </w:rPr>
              <w:t>2. Siūlome patikslinti Nutarimo 10.3 papunktį atsisakant ribojimo prekiauti maistu ir gėrimais renginiuose, kurie vyksta atvirose erdvėse.</w:t>
            </w:r>
          </w:p>
        </w:tc>
        <w:tc>
          <w:tcPr>
            <w:tcW w:w="623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A07FF7D" w14:textId="77777777" w:rsidR="003D6D48" w:rsidRPr="00037E85" w:rsidRDefault="003D6D48" w:rsidP="003D6D48">
            <w:pPr>
              <w:spacing w:after="0" w:line="240" w:lineRule="auto"/>
              <w:rPr>
                <w:rFonts w:ascii="Times New Roman" w:hAnsi="Times New Roman"/>
                <w:b/>
                <w:bCs/>
                <w:sz w:val="24"/>
                <w:szCs w:val="24"/>
              </w:rPr>
            </w:pPr>
            <w:r w:rsidRPr="00037E85">
              <w:rPr>
                <w:rFonts w:ascii="Times New Roman" w:hAnsi="Times New Roman"/>
                <w:b/>
                <w:bCs/>
                <w:sz w:val="24"/>
                <w:szCs w:val="24"/>
              </w:rPr>
              <w:t>Neatsižvelgta</w:t>
            </w:r>
          </w:p>
          <w:p w14:paraId="2724A076" w14:textId="42336BCC" w:rsidR="00E06AEA" w:rsidRPr="00037E85" w:rsidRDefault="00041469">
            <w:pPr>
              <w:spacing w:after="0" w:line="240" w:lineRule="auto"/>
              <w:rPr>
                <w:rFonts w:ascii="Times New Roman" w:hAnsi="Times New Roman"/>
                <w:sz w:val="24"/>
                <w:szCs w:val="24"/>
              </w:rPr>
            </w:pPr>
            <w:r w:rsidRPr="00037E85">
              <w:rPr>
                <w:rFonts w:ascii="Times New Roman" w:hAnsi="Times New Roman"/>
                <w:sz w:val="24"/>
                <w:szCs w:val="24"/>
              </w:rPr>
              <w:t>Kadangi atvirose erdvėse dalyvių skaičius neribojamas ir asmenims neatitinkantiems 18 punkto, siūloma palikti maisto ir gėrimų prekybos ribojimą renginiuose, siekiant išvengti papildomo asmenų būriavimosi maisto ir gėrimų prekybos vietose.</w:t>
            </w:r>
            <w:r w:rsidR="00535042" w:rsidRPr="00037E85">
              <w:rPr>
                <w:rFonts w:ascii="Times New Roman" w:hAnsi="Times New Roman"/>
                <w:sz w:val="24"/>
                <w:szCs w:val="24"/>
              </w:rPr>
              <w:t xml:space="preserve"> Tuo pačiu siekiama, kad kuo daugiau asmenų naudotųsi Galimybių pasu ir kuo daugiau renginių vyktų asmenims, turintiems Galimybių pasą.</w:t>
            </w:r>
          </w:p>
          <w:p w14:paraId="0811A165" w14:textId="7344880F" w:rsidR="00535042" w:rsidRPr="00037E85" w:rsidRDefault="00535042">
            <w:pPr>
              <w:spacing w:after="0" w:line="240" w:lineRule="auto"/>
              <w:rPr>
                <w:rFonts w:ascii="Times New Roman" w:hAnsi="Times New Roman"/>
                <w:sz w:val="24"/>
                <w:szCs w:val="24"/>
              </w:rPr>
            </w:pPr>
          </w:p>
        </w:tc>
      </w:tr>
      <w:tr w:rsidR="00E06AEA" w:rsidRPr="00037E85" w14:paraId="0BF87B1D" w14:textId="77777777" w:rsidTr="00B940AA">
        <w:trPr>
          <w:trHeight w:val="1900"/>
        </w:trPr>
        <w:tc>
          <w:tcPr>
            <w:tcW w:w="2122"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DCFA674" w14:textId="77777777" w:rsidR="00E06AEA" w:rsidRPr="00037E85" w:rsidRDefault="00E06AEA">
            <w:pPr>
              <w:spacing w:after="0" w:line="240" w:lineRule="auto"/>
              <w:rPr>
                <w:rFonts w:ascii="Times New Roman" w:hAnsi="Times New Roman"/>
                <w:sz w:val="24"/>
                <w:szCs w:val="24"/>
              </w:rPr>
            </w:pPr>
          </w:p>
        </w:tc>
        <w:tc>
          <w:tcPr>
            <w:tcW w:w="59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231B66A" w14:textId="05E740EB" w:rsidR="00E06AEA" w:rsidRPr="00037E85" w:rsidRDefault="00E06AEA" w:rsidP="00074846">
            <w:pPr>
              <w:spacing w:after="0" w:line="240" w:lineRule="auto"/>
              <w:jc w:val="both"/>
              <w:rPr>
                <w:rFonts w:ascii="Times New Roman" w:hAnsi="Times New Roman"/>
                <w:sz w:val="24"/>
                <w:szCs w:val="24"/>
              </w:rPr>
            </w:pPr>
            <w:r w:rsidRPr="00037E85">
              <w:rPr>
                <w:rFonts w:ascii="Times New Roman" w:hAnsi="Times New Roman"/>
                <w:sz w:val="24"/>
                <w:szCs w:val="24"/>
              </w:rPr>
              <w:t>3. Siūlome patikslinti Nutarimo 12.2 papunktį nustatant, kad nuo 2021 m. birželio 23 d. dienos yra leidžiama teikti Nutarimo 12.2 punkte numatytas paslaugas ir asmenims, nenurodytiems Nutarimo 18 punkte, užtikrinant reikalingų saugos ir higienos reikalavimų, nustatytų valstybės lygio ekstremaliosios situacijos operacijų vadovo sprendimuose, laikymąsi.</w:t>
            </w:r>
          </w:p>
        </w:tc>
        <w:tc>
          <w:tcPr>
            <w:tcW w:w="623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FE1497C" w14:textId="77777777" w:rsidR="003D6D48" w:rsidRPr="00037E85" w:rsidRDefault="003D6D48" w:rsidP="003D6D48">
            <w:pPr>
              <w:spacing w:after="0" w:line="240" w:lineRule="auto"/>
              <w:rPr>
                <w:rFonts w:ascii="Times New Roman" w:hAnsi="Times New Roman"/>
                <w:b/>
                <w:bCs/>
                <w:sz w:val="24"/>
                <w:szCs w:val="24"/>
              </w:rPr>
            </w:pPr>
            <w:r w:rsidRPr="00037E85">
              <w:rPr>
                <w:rFonts w:ascii="Times New Roman" w:hAnsi="Times New Roman"/>
                <w:b/>
                <w:bCs/>
                <w:sz w:val="24"/>
                <w:szCs w:val="24"/>
              </w:rPr>
              <w:t>Neatsižvelgta</w:t>
            </w:r>
          </w:p>
          <w:p w14:paraId="682FC72A" w14:textId="733442C0" w:rsidR="00E06AEA" w:rsidRPr="00037E85" w:rsidRDefault="00041469">
            <w:pPr>
              <w:spacing w:after="0" w:line="240" w:lineRule="auto"/>
              <w:rPr>
                <w:rFonts w:ascii="Times New Roman" w:hAnsi="Times New Roman"/>
                <w:sz w:val="24"/>
                <w:szCs w:val="24"/>
              </w:rPr>
            </w:pPr>
            <w:r w:rsidRPr="00037E85">
              <w:rPr>
                <w:rFonts w:ascii="Times New Roman" w:hAnsi="Times New Roman"/>
                <w:sz w:val="24"/>
                <w:szCs w:val="24"/>
              </w:rPr>
              <w:t xml:space="preserve">Kadangi </w:t>
            </w:r>
            <w:r w:rsidR="00E31963" w:rsidRPr="00037E85">
              <w:rPr>
                <w:rFonts w:ascii="Times New Roman" w:hAnsi="Times New Roman"/>
                <w:sz w:val="24"/>
                <w:szCs w:val="24"/>
              </w:rPr>
              <w:t>jūrų ir oro uostų keleivių išvykimo terminaluose uždarose erdvėse leidžiamos viešo maitinimą ir asmenims, neatitinkantiems 18 punkto, tai ribojimas turėtų išlikti vienodas, kaip ir visoms viešo maitinimo įstaigoms, vykdančioms maitinimą uždarose patalpose.</w:t>
            </w:r>
          </w:p>
        </w:tc>
      </w:tr>
      <w:tr w:rsidR="00816A46" w:rsidRPr="00037E85" w14:paraId="70AC0FEC" w14:textId="77777777" w:rsidTr="00816A46">
        <w:trPr>
          <w:trHeight w:val="1314"/>
        </w:trPr>
        <w:tc>
          <w:tcPr>
            <w:tcW w:w="2122"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6125B56" w14:textId="77777777" w:rsidR="00816A46" w:rsidRPr="00037E85" w:rsidRDefault="00816A46">
            <w:pPr>
              <w:spacing w:after="0" w:line="240" w:lineRule="auto"/>
              <w:rPr>
                <w:rFonts w:ascii="Times New Roman" w:hAnsi="Times New Roman"/>
                <w:sz w:val="24"/>
                <w:szCs w:val="24"/>
              </w:rPr>
            </w:pPr>
          </w:p>
        </w:tc>
        <w:tc>
          <w:tcPr>
            <w:tcW w:w="59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946B8AC" w14:textId="74851248" w:rsidR="00816A46" w:rsidRPr="00037E85" w:rsidRDefault="00816A46" w:rsidP="00074846">
            <w:pPr>
              <w:spacing w:after="0" w:line="240" w:lineRule="auto"/>
              <w:jc w:val="both"/>
              <w:rPr>
                <w:rFonts w:ascii="Times New Roman" w:hAnsi="Times New Roman"/>
                <w:sz w:val="24"/>
                <w:szCs w:val="24"/>
              </w:rPr>
            </w:pPr>
            <w:r w:rsidRPr="00037E85">
              <w:rPr>
                <w:rFonts w:ascii="Times New Roman" w:hAnsi="Times New Roman"/>
                <w:sz w:val="24"/>
                <w:szCs w:val="24"/>
              </w:rPr>
              <w:t>4. Siūlome patikslinti Nutarimo 10.4 papunktį atsisakant 2000 žiūrovių ir (ar) dalyvių ribojimo, kai renginyje dalyvauja tik asmenys, atitinkantys Nutarimo 18 punkto reikalavimus.</w:t>
            </w:r>
          </w:p>
        </w:tc>
        <w:tc>
          <w:tcPr>
            <w:tcW w:w="623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0CCE32D" w14:textId="77777777" w:rsidR="003D6D48" w:rsidRPr="00037E85" w:rsidRDefault="003D6D48" w:rsidP="003D6D48">
            <w:pPr>
              <w:spacing w:after="0" w:line="240" w:lineRule="auto"/>
              <w:rPr>
                <w:rFonts w:ascii="Times New Roman" w:hAnsi="Times New Roman"/>
                <w:b/>
                <w:bCs/>
                <w:sz w:val="24"/>
                <w:szCs w:val="24"/>
              </w:rPr>
            </w:pPr>
            <w:r w:rsidRPr="00037E85">
              <w:rPr>
                <w:rFonts w:ascii="Times New Roman" w:hAnsi="Times New Roman"/>
                <w:b/>
                <w:bCs/>
                <w:sz w:val="24"/>
                <w:szCs w:val="24"/>
              </w:rPr>
              <w:t>Neatsižvelgta</w:t>
            </w:r>
          </w:p>
          <w:p w14:paraId="2927A32F" w14:textId="54400FD6" w:rsidR="00816A46" w:rsidRPr="00037E85" w:rsidRDefault="00E31963">
            <w:pPr>
              <w:spacing w:after="0" w:line="240" w:lineRule="auto"/>
              <w:rPr>
                <w:rFonts w:ascii="Times New Roman" w:hAnsi="Times New Roman"/>
                <w:sz w:val="24"/>
                <w:szCs w:val="24"/>
              </w:rPr>
            </w:pPr>
            <w:r w:rsidRPr="00037E85">
              <w:rPr>
                <w:rFonts w:ascii="Times New Roman" w:hAnsi="Times New Roman"/>
                <w:sz w:val="24"/>
                <w:szCs w:val="24"/>
              </w:rPr>
              <w:t xml:space="preserve">Siekiant </w:t>
            </w:r>
            <w:r w:rsidR="00B50964" w:rsidRPr="00037E85">
              <w:rPr>
                <w:rFonts w:ascii="Times New Roman" w:hAnsi="Times New Roman"/>
                <w:sz w:val="24"/>
                <w:szCs w:val="24"/>
              </w:rPr>
              <w:t xml:space="preserve">užtikrinti tinkamą srautų valdymą renginiuose, tikslinga nedidinti žiūrovių ir (ar) dalyvių skaičiaus. </w:t>
            </w:r>
          </w:p>
        </w:tc>
      </w:tr>
      <w:tr w:rsidR="00BF795D" w:rsidRPr="00037E85" w14:paraId="19E5FEF4" w14:textId="77777777" w:rsidTr="00B940AA">
        <w:trPr>
          <w:trHeight w:val="590"/>
        </w:trPr>
        <w:tc>
          <w:tcPr>
            <w:tcW w:w="212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5828E" w14:textId="77777777" w:rsidR="00BF795D" w:rsidRPr="00037E85" w:rsidRDefault="00BF795D">
            <w:pPr>
              <w:spacing w:after="0" w:line="240" w:lineRule="auto"/>
              <w:rPr>
                <w:rFonts w:ascii="Times New Roman" w:hAnsi="Times New Roman"/>
                <w:sz w:val="24"/>
                <w:szCs w:val="24"/>
              </w:rPr>
            </w:pPr>
          </w:p>
        </w:tc>
        <w:tc>
          <w:tcPr>
            <w:tcW w:w="595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E7FEB" w14:textId="2D85A0D8" w:rsidR="00BF795D" w:rsidRPr="00037E85" w:rsidRDefault="00C20311" w:rsidP="00074846">
            <w:pPr>
              <w:spacing w:after="0" w:line="240" w:lineRule="auto"/>
              <w:jc w:val="both"/>
              <w:rPr>
                <w:rFonts w:ascii="Times New Roman" w:hAnsi="Times New Roman"/>
                <w:sz w:val="24"/>
                <w:szCs w:val="24"/>
              </w:rPr>
            </w:pPr>
            <w:r w:rsidRPr="00037E85">
              <w:rPr>
                <w:rFonts w:ascii="Times New Roman" w:hAnsi="Times New Roman"/>
                <w:sz w:val="24"/>
                <w:szCs w:val="24"/>
              </w:rPr>
              <w:t>5.  Siūlome Projekte nenustatyti Nutarimo įsigaliojimo datos ir numatyti, kad Nutarimas įsigaliotų iš karto po jo priėmimo.</w:t>
            </w:r>
          </w:p>
        </w:tc>
        <w:tc>
          <w:tcPr>
            <w:tcW w:w="623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2B19" w14:textId="77777777" w:rsidR="000429DA" w:rsidRPr="00037E85" w:rsidRDefault="000429DA" w:rsidP="000429DA">
            <w:pPr>
              <w:spacing w:after="0" w:line="240" w:lineRule="auto"/>
              <w:rPr>
                <w:rFonts w:ascii="Times New Roman" w:hAnsi="Times New Roman"/>
                <w:b/>
                <w:bCs/>
                <w:sz w:val="24"/>
                <w:szCs w:val="24"/>
              </w:rPr>
            </w:pPr>
            <w:r w:rsidRPr="00037E85">
              <w:rPr>
                <w:rFonts w:ascii="Times New Roman" w:hAnsi="Times New Roman"/>
                <w:b/>
                <w:bCs/>
                <w:sz w:val="24"/>
                <w:szCs w:val="24"/>
              </w:rPr>
              <w:t>Neatsižvelgta</w:t>
            </w:r>
          </w:p>
          <w:p w14:paraId="474E1770" w14:textId="1AECB6C7" w:rsidR="00BF795D" w:rsidRPr="00037E85" w:rsidRDefault="00747EEF" w:rsidP="00074846">
            <w:pPr>
              <w:jc w:val="both"/>
              <w:rPr>
                <w:rFonts w:ascii="Times New Roman" w:hAnsi="Times New Roman"/>
                <w:sz w:val="24"/>
                <w:szCs w:val="24"/>
              </w:rPr>
            </w:pPr>
            <w:r w:rsidRPr="00037E85">
              <w:rPr>
                <w:rFonts w:ascii="Times New Roman" w:hAnsi="Times New Roman"/>
                <w:sz w:val="24"/>
                <w:szCs w:val="24"/>
              </w:rPr>
              <w:t>Nutarimo (jeigu jis bus priimtas) įgyvendinimui reikalinga parengti ir suderinti operacijų vadovo sprendimus</w:t>
            </w:r>
            <w:r w:rsidR="00FD4B4D" w:rsidRPr="00037E85">
              <w:rPr>
                <w:rFonts w:ascii="Times New Roman" w:hAnsi="Times New Roman"/>
                <w:sz w:val="24"/>
                <w:szCs w:val="24"/>
              </w:rPr>
              <w:t xml:space="preserve"> bei sveikatos apsaugos ministro įsakymus.</w:t>
            </w:r>
          </w:p>
        </w:tc>
      </w:tr>
      <w:tr w:rsidR="00DB2195" w:rsidRPr="00037E85" w14:paraId="6E7E71CE" w14:textId="77777777" w:rsidTr="004D05B1">
        <w:trPr>
          <w:trHeight w:val="760"/>
        </w:trPr>
        <w:tc>
          <w:tcPr>
            <w:tcW w:w="2122"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4994DBB5" w14:textId="77777777" w:rsidR="00DB2195" w:rsidRPr="00037E85" w:rsidRDefault="00DB2195" w:rsidP="00BA0810">
            <w:pPr>
              <w:spacing w:after="0" w:line="240" w:lineRule="auto"/>
              <w:rPr>
                <w:rFonts w:ascii="Times New Roman" w:hAnsi="Times New Roman"/>
                <w:sz w:val="24"/>
                <w:szCs w:val="24"/>
              </w:rPr>
            </w:pPr>
            <w:r w:rsidRPr="00037E85">
              <w:rPr>
                <w:rFonts w:ascii="Times New Roman" w:hAnsi="Times New Roman"/>
                <w:sz w:val="24"/>
                <w:szCs w:val="24"/>
              </w:rPr>
              <w:t>Teisingumo ministerija</w:t>
            </w:r>
          </w:p>
          <w:p w14:paraId="12A426E5" w14:textId="77777777" w:rsidR="00DB2195" w:rsidRPr="00037E85" w:rsidRDefault="00DB2195">
            <w:pPr>
              <w:spacing w:after="0" w:line="240" w:lineRule="auto"/>
              <w:rPr>
                <w:rFonts w:ascii="Times New Roman" w:hAnsi="Times New Roman"/>
                <w:sz w:val="24"/>
                <w:szCs w:val="24"/>
              </w:rPr>
            </w:pPr>
          </w:p>
        </w:tc>
        <w:tc>
          <w:tcPr>
            <w:tcW w:w="595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B2FB67" w14:textId="77777777" w:rsidR="00DB2195" w:rsidRPr="0006396E" w:rsidRDefault="00DB2195" w:rsidP="00BA0810">
            <w:pPr>
              <w:spacing w:after="0" w:line="240" w:lineRule="auto"/>
              <w:jc w:val="both"/>
              <w:rPr>
                <w:rFonts w:ascii="Times New Roman" w:hAnsi="Times New Roman"/>
                <w:sz w:val="24"/>
                <w:szCs w:val="24"/>
              </w:rPr>
            </w:pPr>
            <w:r w:rsidRPr="0006396E">
              <w:rPr>
                <w:rFonts w:ascii="Times New Roman" w:hAnsi="Times New Roman"/>
                <w:sz w:val="24"/>
                <w:szCs w:val="24"/>
              </w:rPr>
              <w:t>1. Projekto 1.15 papunkčiu dėstomo keičiamo nutarimo 18.2 papunktyje nustatoma, kad teisę į švelnesnes karantino režimo priemones turi asmuo, kuris persirgo COVID-19 liga (</w:t>
            </w:r>
            <w:proofErr w:type="spellStart"/>
            <w:r w:rsidRPr="0006396E">
              <w:rPr>
                <w:rFonts w:ascii="Times New Roman" w:hAnsi="Times New Roman"/>
                <w:sz w:val="24"/>
                <w:szCs w:val="24"/>
              </w:rPr>
              <w:t>koronaviruso</w:t>
            </w:r>
            <w:proofErr w:type="spellEnd"/>
            <w:r w:rsidRPr="0006396E">
              <w:rPr>
                <w:rFonts w:ascii="Times New Roman" w:hAnsi="Times New Roman"/>
                <w:sz w:val="24"/>
                <w:szCs w:val="24"/>
              </w:rPr>
              <w:t xml:space="preserve"> infekcija) ir diagnozė buvo patvirtinta remiantis teigiamu SARS-CoV-2 PGR tyrimo ar antigeno testo rezultatu, o nuo teigiamo tyrimo rezultato praėjo ne daugiau kaip 210 dienų. Praėjus šiam terminui ir aiškinant kartu su 18.1.5 papunkčio nuostata COVID-19 liga persirgusiam asmeniui teisė į švelnesnes karantino režimo priemones būtų toliau išlaikoma, jei asmuo ne vėliau kaip likus dviem savaitėms iki nurodyto 210 dienų termino pabaigos pasiskiepytų viena iš pripažįstamų vakcinų ir tik tuo atveju, jei COVID-19 ligos diagnozė jam būtų buvus patvirtinta teigiamu SARS-CoV-2 PGR tyrimo rezultatu. Sistemiškai vertinant šias nuostatas </w:t>
            </w:r>
            <w:proofErr w:type="spellStart"/>
            <w:r w:rsidRPr="0006396E">
              <w:rPr>
                <w:rFonts w:ascii="Times New Roman" w:hAnsi="Times New Roman"/>
                <w:sz w:val="24"/>
                <w:szCs w:val="24"/>
              </w:rPr>
              <w:t>teiktinos</w:t>
            </w:r>
            <w:proofErr w:type="spellEnd"/>
            <w:r w:rsidRPr="0006396E">
              <w:rPr>
                <w:rFonts w:ascii="Times New Roman" w:hAnsi="Times New Roman"/>
                <w:sz w:val="24"/>
                <w:szCs w:val="24"/>
              </w:rPr>
              <w:t xml:space="preserve"> šios pastabos:</w:t>
            </w:r>
          </w:p>
          <w:p w14:paraId="49635437" w14:textId="77777777" w:rsidR="00DB2195" w:rsidRPr="0006396E" w:rsidRDefault="00DB2195" w:rsidP="00BA0810">
            <w:pPr>
              <w:spacing w:after="0" w:line="240" w:lineRule="auto"/>
              <w:jc w:val="both"/>
              <w:rPr>
                <w:rFonts w:ascii="Times New Roman" w:hAnsi="Times New Roman"/>
                <w:sz w:val="24"/>
                <w:szCs w:val="24"/>
              </w:rPr>
            </w:pPr>
            <w:r w:rsidRPr="0006396E">
              <w:rPr>
                <w:rFonts w:ascii="Times New Roman" w:hAnsi="Times New Roman"/>
                <w:sz w:val="24"/>
                <w:szCs w:val="24"/>
              </w:rPr>
              <w:t xml:space="preserve">1.1. Lieka visiškai neaišku, kodėl persirgę asmenys, kurių diagnozė būtų patvirtinta </w:t>
            </w:r>
            <w:r w:rsidRPr="0006396E">
              <w:rPr>
                <w:rFonts w:ascii="Times New Roman" w:hAnsi="Times New Roman"/>
                <w:i/>
                <w:iCs/>
                <w:sz w:val="24"/>
                <w:szCs w:val="24"/>
              </w:rPr>
              <w:t>antigeno testo rezultatu</w:t>
            </w:r>
            <w:r w:rsidRPr="0006396E">
              <w:rPr>
                <w:rFonts w:ascii="Times New Roman" w:hAnsi="Times New Roman"/>
                <w:sz w:val="24"/>
                <w:szCs w:val="24"/>
              </w:rPr>
              <w:t xml:space="preserve">, nebegalėtų išlaikyti teisės į švelnesnes karantino režimo priemones pasiskiepijimo atveju, nors ją būtų turėję ištisą 210 dienų laikotarpį. Be to, pastebėtina, kad galimybė atsižvelgti į atvejus, kai persirgusio COVID-19 liga diagnozė buvo patvirtinta remiantis antigeno testo rezultatu, buvo numatyta ir keičiamo nutarimo galiojančioje 2.4.3 papunkčio, numatančio išimtis dėl COVID-19 tyrimo atlikimo prieš grįžtant ar atvykstant į Lietuvos Respubliką, redakcijoje, tačiau priėmus projekto 1.4 papunkčiu siūlomą 2.4.3.1 papunkčio formuluotę šiems asmenims taptų taikomas reikalavimas atlikti COVID-19 tyrimą. Kyla klausimas, kodėl projekte dėstomuose 2.2.19.3, 2.4.3.1, </w:t>
            </w:r>
            <w:r w:rsidRPr="0006396E">
              <w:rPr>
                <w:rFonts w:ascii="Times New Roman" w:hAnsi="Times New Roman"/>
                <w:sz w:val="24"/>
                <w:szCs w:val="24"/>
              </w:rPr>
              <w:lastRenderedPageBreak/>
              <w:t>18.1.5 ir 18.2 papunkčiuose aprašomais atvejais COVID-19 ligos diagnozės patvirtinimo praeityje būdai traktuojami nevienodai ir tam tikrais atvejais lemia tapačias, o kitais – skirtingas teisines pasekmes.</w:t>
            </w:r>
          </w:p>
          <w:p w14:paraId="02A2ABDC" w14:textId="77777777" w:rsidR="00DB2195" w:rsidRPr="00037E85" w:rsidRDefault="00DB2195" w:rsidP="00BA0810">
            <w:pPr>
              <w:spacing w:after="0" w:line="240" w:lineRule="auto"/>
              <w:jc w:val="both"/>
              <w:rPr>
                <w:rFonts w:ascii="Times New Roman" w:hAnsi="Times New Roman"/>
                <w:sz w:val="24"/>
                <w:szCs w:val="24"/>
              </w:rPr>
            </w:pPr>
            <w:r w:rsidRPr="0006396E">
              <w:rPr>
                <w:rFonts w:ascii="Times New Roman" w:hAnsi="Times New Roman"/>
                <w:sz w:val="24"/>
                <w:szCs w:val="24"/>
              </w:rPr>
              <w:t>1.2. Siūlytina įvertinti, ar persirgę asmenys, norintys išsaugoti teisę į „galimybių pasą“, praktikoje visais atvejais turės galimybę pasiskiepyti viena iš nurodytų vakcinų per 196 dienas nuo diagnozės patvirtinimo, ar visgi galimos situacijos, kai dėl objektyvių priežasčių (pakankamai didelio antikūnų skaičiaus) galimybė skiepytis tam tikriems asmenims kurį laiką gali būti neprieinama. Manytume, kad pastaraisiais atvejais, jei įgytas imunitetas vis dar būtų pakankamas, teisės į švelnesnes karantino režimo priemones atėmimas būtų nepagrįstas, todėl atitinkamai siūlytina papildyti keičiamo nutarimo 18 punktą.</w:t>
            </w:r>
          </w:p>
          <w:p w14:paraId="3E74D2E4" w14:textId="77777777" w:rsidR="00DB2195" w:rsidRPr="00037E85" w:rsidRDefault="00DB2195" w:rsidP="0006396E">
            <w:pPr>
              <w:spacing w:after="0" w:line="240" w:lineRule="auto"/>
              <w:jc w:val="both"/>
              <w:rPr>
                <w:rFonts w:ascii="Times New Roman" w:hAnsi="Times New Roman"/>
                <w:sz w:val="24"/>
                <w:szCs w:val="24"/>
              </w:rPr>
            </w:pPr>
          </w:p>
        </w:tc>
        <w:tc>
          <w:tcPr>
            <w:tcW w:w="623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70038C7" w14:textId="77777777" w:rsidR="00DB2195" w:rsidRPr="00037E85" w:rsidRDefault="00DB2195" w:rsidP="00BA0810">
            <w:pPr>
              <w:spacing w:after="0" w:line="240" w:lineRule="auto"/>
              <w:rPr>
                <w:rFonts w:ascii="Times New Roman" w:hAnsi="Times New Roman"/>
                <w:b/>
                <w:bCs/>
                <w:sz w:val="24"/>
                <w:szCs w:val="24"/>
              </w:rPr>
            </w:pPr>
            <w:r w:rsidRPr="00037E85">
              <w:rPr>
                <w:rFonts w:ascii="Times New Roman" w:hAnsi="Times New Roman"/>
                <w:b/>
                <w:bCs/>
                <w:sz w:val="24"/>
                <w:szCs w:val="24"/>
              </w:rPr>
              <w:lastRenderedPageBreak/>
              <w:t>Neatsižvelgta.</w:t>
            </w:r>
          </w:p>
          <w:p w14:paraId="11C903D5" w14:textId="7C088271" w:rsidR="001627BC" w:rsidRPr="001627BC" w:rsidRDefault="00DB2195" w:rsidP="001627BC">
            <w:pPr>
              <w:spacing w:after="0" w:line="240" w:lineRule="auto"/>
              <w:rPr>
                <w:rFonts w:ascii="Times New Roman" w:hAnsi="Times New Roman"/>
                <w:sz w:val="24"/>
                <w:szCs w:val="24"/>
              </w:rPr>
            </w:pPr>
            <w:r w:rsidRPr="00037E85">
              <w:rPr>
                <w:rFonts w:ascii="Times New Roman" w:hAnsi="Times New Roman"/>
                <w:sz w:val="24"/>
                <w:szCs w:val="24"/>
              </w:rPr>
              <w:t xml:space="preserve">1.1. </w:t>
            </w:r>
            <w:r w:rsidR="001627BC" w:rsidRPr="001627BC">
              <w:rPr>
                <w:rFonts w:ascii="Times New Roman" w:hAnsi="Times New Roman"/>
                <w:sz w:val="24"/>
                <w:szCs w:val="24"/>
              </w:rPr>
              <w:t xml:space="preserve">Bendru ES sutarimu į ES skaitmeninį COVID-19 sertifikatą persirgusiems, nėra įtraukiami asmenys, kuriems diagnozė buvo patvirtinta antigeno testu, nors Lietuva visada pasisakė už tokių testų įtraukimą į </w:t>
            </w:r>
            <w:proofErr w:type="spellStart"/>
            <w:r w:rsidR="001627BC" w:rsidRPr="001627BC">
              <w:rPr>
                <w:rFonts w:ascii="Times New Roman" w:hAnsi="Times New Roman"/>
                <w:sz w:val="24"/>
                <w:szCs w:val="24"/>
              </w:rPr>
              <w:t>persrigusio</w:t>
            </w:r>
            <w:proofErr w:type="spellEnd"/>
            <w:r w:rsidR="001627BC" w:rsidRPr="001627BC">
              <w:rPr>
                <w:rFonts w:ascii="Times New Roman" w:hAnsi="Times New Roman"/>
                <w:sz w:val="24"/>
                <w:szCs w:val="24"/>
              </w:rPr>
              <w:t xml:space="preserve"> asmens sertifikatą. Siekiant užtikrinti Europos Parlamento ir Tarybos reglamento dėl  ES skaitmeninio COVID-19 sertifikato įgyvendinimą ir nesukelti nepagrįstų lūkesčių keliaujantiems į kitas šalis,   reikalavimuose keliautojams diagnozės patvirtinimas antigeno testu yra išbraukimas. Tuo tarpu, atsižvelgiant į tai, kad  Lietuva diagnozės nustatymui greitąjį antigeno testą naudoja bei siekiant užtikrinti tokių asmenų teisę naudotis švelnesnėmis karantino režimo priemonėmis šalies viduje, persirgimas, kai diagnozė patvirtinta antigeno testu, yra paliekamas Galimybių paso rėmuose. Planuojama, kad asmenims, kuriems diagnozė buvo patvirtinta antigeno testu, bus taikoma kita vakcinacijos schema, skiepijant dviem vakcinos dozėmis. </w:t>
            </w:r>
          </w:p>
          <w:p w14:paraId="6DEC518D" w14:textId="77777777" w:rsidR="00DB2195" w:rsidRPr="00037E85" w:rsidRDefault="00DB2195" w:rsidP="00BA0810">
            <w:pPr>
              <w:spacing w:after="0" w:line="240" w:lineRule="auto"/>
              <w:rPr>
                <w:rFonts w:ascii="Times New Roman" w:hAnsi="Times New Roman"/>
                <w:sz w:val="24"/>
                <w:szCs w:val="24"/>
              </w:rPr>
            </w:pPr>
          </w:p>
          <w:p w14:paraId="1E017015" w14:textId="77777777" w:rsidR="00DB2195" w:rsidRPr="00037E85" w:rsidRDefault="00DB2195" w:rsidP="00BA0810">
            <w:pPr>
              <w:spacing w:after="0" w:line="240" w:lineRule="auto"/>
              <w:rPr>
                <w:rFonts w:ascii="Times New Roman" w:hAnsi="Times New Roman"/>
                <w:sz w:val="24"/>
                <w:szCs w:val="24"/>
              </w:rPr>
            </w:pPr>
            <w:r w:rsidRPr="00037E85">
              <w:rPr>
                <w:rFonts w:ascii="Times New Roman" w:hAnsi="Times New Roman"/>
                <w:sz w:val="24"/>
                <w:szCs w:val="24"/>
              </w:rPr>
              <w:t>1.2. Persirgusiems asmenims galimybė pasiskiepyti COVID-19 vakcina praktikoje bus suteikiama jau nuo 150 dienos. Atitinkamai „galimybių paso“ galiojimas pratęstas iki 210 dienų (vietoje buvusių 180 dienų). Taigi, asmenims suteiktas 60 dienų protingas terminas pasiskiepyti. Persirgę asmenys, kurie nepasiskiepys 210 dienų laikotarpiu, neteks galimybės naudotis „galimybių pasu“, tačiau vėliau jiems pasiskiepijus, kad ir viena vakcinos doze, „galimybių pasas“ bus suteikiamas iš naujo, kaip ir nurodyta 18.1.5 papunktyje.</w:t>
            </w:r>
          </w:p>
          <w:p w14:paraId="22CB5B68" w14:textId="77777777" w:rsidR="00DB2195" w:rsidRPr="00037E85" w:rsidRDefault="00DB2195" w:rsidP="000429DA">
            <w:pPr>
              <w:spacing w:after="0" w:line="240" w:lineRule="auto"/>
              <w:rPr>
                <w:rFonts w:ascii="Times New Roman" w:hAnsi="Times New Roman"/>
                <w:b/>
                <w:bCs/>
                <w:sz w:val="24"/>
                <w:szCs w:val="24"/>
              </w:rPr>
            </w:pPr>
          </w:p>
        </w:tc>
      </w:tr>
      <w:tr w:rsidR="00DB2195" w:rsidRPr="00037E85" w14:paraId="302DBE01" w14:textId="77777777" w:rsidTr="00AF3CBF">
        <w:trPr>
          <w:trHeight w:val="760"/>
        </w:trPr>
        <w:tc>
          <w:tcPr>
            <w:tcW w:w="2122" w:type="dxa"/>
            <w:vMerge/>
            <w:tcBorders>
              <w:left w:val="single" w:sz="4" w:space="0" w:color="000000"/>
              <w:right w:val="single" w:sz="4" w:space="0" w:color="000000"/>
            </w:tcBorders>
            <w:shd w:val="clear" w:color="auto" w:fill="auto"/>
            <w:tcMar>
              <w:top w:w="0" w:type="dxa"/>
              <w:left w:w="108" w:type="dxa"/>
              <w:bottom w:w="0" w:type="dxa"/>
              <w:right w:w="108" w:type="dxa"/>
            </w:tcMar>
          </w:tcPr>
          <w:p w14:paraId="062B58BA" w14:textId="77777777" w:rsidR="00DB2195" w:rsidRPr="00037E85" w:rsidRDefault="00DB2195" w:rsidP="00BA0810">
            <w:pPr>
              <w:spacing w:after="0" w:line="240" w:lineRule="auto"/>
              <w:rPr>
                <w:rFonts w:ascii="Times New Roman" w:hAnsi="Times New Roman"/>
                <w:sz w:val="24"/>
                <w:szCs w:val="24"/>
              </w:rPr>
            </w:pPr>
          </w:p>
        </w:tc>
        <w:tc>
          <w:tcPr>
            <w:tcW w:w="595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7F7916A" w14:textId="3F452281" w:rsidR="00DB2195" w:rsidRPr="00037E85" w:rsidRDefault="00DB2195" w:rsidP="00BA0810">
            <w:pPr>
              <w:spacing w:after="0" w:line="240" w:lineRule="auto"/>
              <w:jc w:val="both"/>
              <w:rPr>
                <w:rFonts w:ascii="Times New Roman" w:hAnsi="Times New Roman"/>
                <w:sz w:val="24"/>
                <w:szCs w:val="24"/>
              </w:rPr>
            </w:pPr>
            <w:r w:rsidRPr="00545A0B">
              <w:rPr>
                <w:rFonts w:ascii="Times New Roman" w:hAnsi="Times New Roman"/>
                <w:sz w:val="24"/>
                <w:szCs w:val="24"/>
              </w:rPr>
              <w:t>2. Projekto 1.5 papunkčiu dėstomoje keičiamo nutarimo 3.7 papunkčio nuostatoje siūloma vartoti naują „viešo renginio“ sąvoką, kai visur kitur projekte kalbama apie „renginius“, kurių samprata pateikta keičiamo nutarimo 10 punkte. Jei šiuo atveju siekiama vartoti kitokio turinio sąvoką, siūlytina ją paaiškinti.</w:t>
            </w:r>
          </w:p>
        </w:tc>
        <w:tc>
          <w:tcPr>
            <w:tcW w:w="623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6D6EB10" w14:textId="77777777" w:rsidR="00DB2195" w:rsidRPr="00037E85" w:rsidRDefault="00DB2195" w:rsidP="00665CDF">
            <w:pPr>
              <w:spacing w:after="0" w:line="240" w:lineRule="auto"/>
              <w:rPr>
                <w:rFonts w:ascii="Times New Roman" w:hAnsi="Times New Roman"/>
                <w:b/>
                <w:bCs/>
                <w:sz w:val="24"/>
                <w:szCs w:val="24"/>
              </w:rPr>
            </w:pPr>
            <w:r w:rsidRPr="00037E85">
              <w:rPr>
                <w:rFonts w:ascii="Times New Roman" w:hAnsi="Times New Roman"/>
                <w:b/>
                <w:bCs/>
                <w:sz w:val="24"/>
                <w:szCs w:val="24"/>
              </w:rPr>
              <w:t>Atsižvelgta</w:t>
            </w:r>
          </w:p>
          <w:p w14:paraId="7F927209" w14:textId="77777777" w:rsidR="00DB2195" w:rsidRPr="00037E85" w:rsidRDefault="00DB2195" w:rsidP="00BA0810">
            <w:pPr>
              <w:spacing w:after="0" w:line="240" w:lineRule="auto"/>
              <w:rPr>
                <w:rFonts w:ascii="Times New Roman" w:hAnsi="Times New Roman"/>
                <w:b/>
                <w:bCs/>
                <w:sz w:val="24"/>
                <w:szCs w:val="24"/>
              </w:rPr>
            </w:pPr>
          </w:p>
        </w:tc>
      </w:tr>
      <w:tr w:rsidR="00DB2195" w:rsidRPr="00037E85" w14:paraId="11F53EE0" w14:textId="77777777" w:rsidTr="00AF3CBF">
        <w:trPr>
          <w:trHeight w:val="760"/>
        </w:trPr>
        <w:tc>
          <w:tcPr>
            <w:tcW w:w="2122" w:type="dxa"/>
            <w:vMerge/>
            <w:tcBorders>
              <w:left w:val="single" w:sz="4" w:space="0" w:color="000000"/>
              <w:right w:val="single" w:sz="4" w:space="0" w:color="000000"/>
            </w:tcBorders>
            <w:shd w:val="clear" w:color="auto" w:fill="auto"/>
            <w:tcMar>
              <w:top w:w="0" w:type="dxa"/>
              <w:left w:w="108" w:type="dxa"/>
              <w:bottom w:w="0" w:type="dxa"/>
              <w:right w:w="108" w:type="dxa"/>
            </w:tcMar>
          </w:tcPr>
          <w:p w14:paraId="17739E21" w14:textId="77777777" w:rsidR="00DB2195" w:rsidRPr="00037E85" w:rsidRDefault="00DB2195" w:rsidP="00BA0810">
            <w:pPr>
              <w:spacing w:after="0" w:line="240" w:lineRule="auto"/>
              <w:rPr>
                <w:rFonts w:ascii="Times New Roman" w:hAnsi="Times New Roman"/>
                <w:sz w:val="24"/>
                <w:szCs w:val="24"/>
              </w:rPr>
            </w:pPr>
          </w:p>
        </w:tc>
        <w:tc>
          <w:tcPr>
            <w:tcW w:w="595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862726" w14:textId="742834B5" w:rsidR="00DB2195" w:rsidRPr="00037E85" w:rsidRDefault="00DB2195" w:rsidP="00BA0810">
            <w:pPr>
              <w:spacing w:after="0" w:line="240" w:lineRule="auto"/>
              <w:jc w:val="both"/>
              <w:rPr>
                <w:rFonts w:ascii="Times New Roman" w:hAnsi="Times New Roman"/>
                <w:sz w:val="24"/>
                <w:szCs w:val="24"/>
              </w:rPr>
            </w:pPr>
            <w:r w:rsidRPr="00880D6A">
              <w:rPr>
                <w:rFonts w:ascii="Times New Roman" w:hAnsi="Times New Roman"/>
                <w:sz w:val="24"/>
                <w:szCs w:val="24"/>
              </w:rPr>
              <w:t>3. Projekto 1.15 papunkčiu dėstomame keičiamo nutarimo 18.1.5 papunktyje kaip perteklinis išbrauktinas žodis „testo“.</w:t>
            </w:r>
          </w:p>
        </w:tc>
        <w:tc>
          <w:tcPr>
            <w:tcW w:w="623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8F17781" w14:textId="77777777" w:rsidR="00DB2195" w:rsidRPr="00037E85" w:rsidRDefault="00DB2195" w:rsidP="00F1030F">
            <w:pPr>
              <w:spacing w:after="0" w:line="240" w:lineRule="auto"/>
              <w:rPr>
                <w:rFonts w:ascii="Times New Roman" w:hAnsi="Times New Roman"/>
                <w:b/>
                <w:bCs/>
                <w:sz w:val="24"/>
                <w:szCs w:val="24"/>
              </w:rPr>
            </w:pPr>
            <w:r w:rsidRPr="00037E85">
              <w:rPr>
                <w:rFonts w:ascii="Times New Roman" w:hAnsi="Times New Roman"/>
                <w:b/>
                <w:bCs/>
                <w:sz w:val="24"/>
                <w:szCs w:val="24"/>
              </w:rPr>
              <w:t>Atsižvelgta</w:t>
            </w:r>
          </w:p>
          <w:p w14:paraId="3A98C61E" w14:textId="77777777" w:rsidR="00DB2195" w:rsidRPr="00037E85" w:rsidRDefault="00DB2195" w:rsidP="00BA0810">
            <w:pPr>
              <w:spacing w:after="0" w:line="240" w:lineRule="auto"/>
              <w:rPr>
                <w:rFonts w:ascii="Times New Roman" w:hAnsi="Times New Roman"/>
                <w:b/>
                <w:bCs/>
                <w:sz w:val="24"/>
                <w:szCs w:val="24"/>
              </w:rPr>
            </w:pPr>
          </w:p>
        </w:tc>
      </w:tr>
      <w:tr w:rsidR="00DB2195" w:rsidRPr="00037E85" w14:paraId="5DF560FB" w14:textId="77777777" w:rsidTr="00AF3CBF">
        <w:trPr>
          <w:trHeight w:val="760"/>
        </w:trPr>
        <w:tc>
          <w:tcPr>
            <w:tcW w:w="2122" w:type="dxa"/>
            <w:vMerge/>
            <w:tcBorders>
              <w:left w:val="single" w:sz="4" w:space="0" w:color="000000"/>
              <w:right w:val="single" w:sz="4" w:space="0" w:color="000000"/>
            </w:tcBorders>
            <w:shd w:val="clear" w:color="auto" w:fill="auto"/>
            <w:tcMar>
              <w:top w:w="0" w:type="dxa"/>
              <w:left w:w="108" w:type="dxa"/>
              <w:bottom w:w="0" w:type="dxa"/>
              <w:right w:w="108" w:type="dxa"/>
            </w:tcMar>
          </w:tcPr>
          <w:p w14:paraId="2F30C441" w14:textId="77777777" w:rsidR="00DB2195" w:rsidRPr="00037E85" w:rsidRDefault="00DB2195" w:rsidP="00BA0810">
            <w:pPr>
              <w:spacing w:after="0" w:line="240" w:lineRule="auto"/>
              <w:rPr>
                <w:rFonts w:ascii="Times New Roman" w:hAnsi="Times New Roman"/>
                <w:sz w:val="24"/>
                <w:szCs w:val="24"/>
              </w:rPr>
            </w:pPr>
          </w:p>
        </w:tc>
        <w:tc>
          <w:tcPr>
            <w:tcW w:w="595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CE5CCCC" w14:textId="1FD7E968" w:rsidR="00DB2195" w:rsidRPr="00037E85" w:rsidRDefault="00DB2195" w:rsidP="00BA0810">
            <w:pPr>
              <w:spacing w:after="0" w:line="240" w:lineRule="auto"/>
              <w:jc w:val="both"/>
              <w:rPr>
                <w:rFonts w:ascii="Times New Roman" w:hAnsi="Times New Roman"/>
                <w:sz w:val="24"/>
                <w:szCs w:val="24"/>
              </w:rPr>
            </w:pPr>
            <w:r w:rsidRPr="000D7CAF">
              <w:rPr>
                <w:rFonts w:ascii="Times New Roman" w:hAnsi="Times New Roman"/>
                <w:sz w:val="24"/>
                <w:szCs w:val="24"/>
              </w:rPr>
              <w:t>4. Įvertinus projekto 1.15 papunkčiu siūlomą keičiamo nutarimo 18.3 papunkčio pakeitimą pastebėtina, kad nuostata galėtų būti sutrumpinta atsižvelgiant į tai, kad joje naudojamas keičiamo nutarimo 2.4 papunktyje įvestas trumpinys „COVID-19 tyrimas“ nesant būtinybės nustatyti kitokių tyrimo sąlygų.</w:t>
            </w:r>
          </w:p>
        </w:tc>
        <w:tc>
          <w:tcPr>
            <w:tcW w:w="623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6981D9" w14:textId="77777777" w:rsidR="00DB2195" w:rsidRPr="00037E85" w:rsidRDefault="00DB2195" w:rsidP="00BA0810">
            <w:pPr>
              <w:spacing w:after="0" w:line="240" w:lineRule="auto"/>
              <w:rPr>
                <w:rFonts w:ascii="Times New Roman" w:hAnsi="Times New Roman"/>
                <w:b/>
                <w:bCs/>
                <w:sz w:val="24"/>
                <w:szCs w:val="24"/>
              </w:rPr>
            </w:pPr>
            <w:r w:rsidRPr="00037E85">
              <w:rPr>
                <w:rFonts w:ascii="Times New Roman" w:hAnsi="Times New Roman"/>
                <w:b/>
                <w:bCs/>
                <w:sz w:val="24"/>
                <w:szCs w:val="24"/>
              </w:rPr>
              <w:t>Neatsižvelgta</w:t>
            </w:r>
          </w:p>
          <w:p w14:paraId="16EEB07D" w14:textId="4A30D3DE" w:rsidR="00DB2195" w:rsidRPr="00037E85" w:rsidRDefault="00DB2195" w:rsidP="00BA0810">
            <w:pPr>
              <w:spacing w:after="0" w:line="240" w:lineRule="auto"/>
              <w:rPr>
                <w:rFonts w:ascii="Times New Roman" w:hAnsi="Times New Roman"/>
                <w:sz w:val="24"/>
                <w:szCs w:val="24"/>
              </w:rPr>
            </w:pPr>
            <w:r w:rsidRPr="00037E85">
              <w:rPr>
                <w:rFonts w:ascii="Times New Roman" w:hAnsi="Times New Roman"/>
                <w:sz w:val="24"/>
                <w:szCs w:val="24"/>
              </w:rPr>
              <w:t>2.4 papunktyje nustatomi reikalavimai asmenims atvykstantiems/grįžtantiems į Lietuvos Respubliką, o 18.3 papunktis – asmenims norintiems gauti „galimybių pasą“. Šie reikalavimai nebūtinai visais atvejais sutaps, atsižvelgiant į kintančią situaciją. Todėl ateityje keičiant vieną ar kitą nuostatą, reikėtų keisti jas abi.</w:t>
            </w:r>
          </w:p>
        </w:tc>
      </w:tr>
      <w:tr w:rsidR="00DB2195" w:rsidRPr="00037E85" w14:paraId="7CC34E83" w14:textId="77777777" w:rsidTr="00637493">
        <w:trPr>
          <w:trHeight w:val="760"/>
        </w:trPr>
        <w:tc>
          <w:tcPr>
            <w:tcW w:w="2122"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0A90F4C" w14:textId="77777777" w:rsidR="00DB2195" w:rsidRPr="00037E85" w:rsidRDefault="00DB2195" w:rsidP="00BA0810">
            <w:pPr>
              <w:spacing w:after="0" w:line="240" w:lineRule="auto"/>
              <w:rPr>
                <w:rFonts w:ascii="Times New Roman" w:hAnsi="Times New Roman"/>
                <w:sz w:val="24"/>
                <w:szCs w:val="24"/>
              </w:rPr>
            </w:pPr>
          </w:p>
        </w:tc>
        <w:tc>
          <w:tcPr>
            <w:tcW w:w="595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0BC9E64" w14:textId="25AED41F" w:rsidR="00DB2195" w:rsidRPr="00037E85" w:rsidRDefault="00DB2195" w:rsidP="00BA0810">
            <w:pPr>
              <w:spacing w:after="0" w:line="240" w:lineRule="auto"/>
              <w:jc w:val="both"/>
              <w:rPr>
                <w:rFonts w:ascii="Times New Roman" w:hAnsi="Times New Roman"/>
                <w:sz w:val="24"/>
                <w:szCs w:val="24"/>
              </w:rPr>
            </w:pPr>
            <w:r w:rsidRPr="00DB2195">
              <w:rPr>
                <w:rFonts w:ascii="Times New Roman" w:hAnsi="Times New Roman"/>
                <w:sz w:val="24"/>
                <w:szCs w:val="24"/>
              </w:rPr>
              <w:t>5. Teisės technikos aspektu pastebėtina, kad nurodant teisės aktą pasirašančių asmenų pareigas, nepaisant to, koks asmuo vėliau pasirašys priimtą nutarimą, projekte pareigos nurodytinos vyriška gimine („Ministras Pirmininkas“).</w:t>
            </w:r>
          </w:p>
        </w:tc>
        <w:tc>
          <w:tcPr>
            <w:tcW w:w="623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C79BA8D" w14:textId="4E231E4D" w:rsidR="00E31C5C" w:rsidRPr="00037E85" w:rsidRDefault="00BD1D58" w:rsidP="00E31C5C">
            <w:pPr>
              <w:spacing w:after="0" w:line="240" w:lineRule="auto"/>
              <w:rPr>
                <w:rFonts w:ascii="Times New Roman" w:hAnsi="Times New Roman"/>
                <w:b/>
                <w:bCs/>
                <w:sz w:val="24"/>
                <w:szCs w:val="24"/>
              </w:rPr>
            </w:pPr>
            <w:r w:rsidRPr="00037E85">
              <w:rPr>
                <w:rFonts w:ascii="Times New Roman" w:hAnsi="Times New Roman"/>
                <w:b/>
                <w:bCs/>
                <w:sz w:val="24"/>
                <w:szCs w:val="24"/>
              </w:rPr>
              <w:t>Neatsižvelgta</w:t>
            </w:r>
          </w:p>
          <w:p w14:paraId="344E61CA" w14:textId="0A2E3E8E" w:rsidR="00BD1D58" w:rsidRPr="00037E85" w:rsidRDefault="00BD1D58" w:rsidP="00E31C5C">
            <w:pPr>
              <w:spacing w:after="0" w:line="240" w:lineRule="auto"/>
              <w:rPr>
                <w:rFonts w:ascii="Times New Roman" w:hAnsi="Times New Roman"/>
                <w:sz w:val="24"/>
                <w:szCs w:val="24"/>
              </w:rPr>
            </w:pPr>
            <w:r w:rsidRPr="00037E85">
              <w:rPr>
                <w:rFonts w:ascii="Times New Roman" w:hAnsi="Times New Roman"/>
                <w:sz w:val="24"/>
                <w:szCs w:val="24"/>
              </w:rPr>
              <w:t xml:space="preserve">Moteriška giminė naudojama atsižvelgiant į Vyriausybės kanceliarijos </w:t>
            </w:r>
            <w:r w:rsidR="00535FA9" w:rsidRPr="00037E85">
              <w:rPr>
                <w:rFonts w:ascii="Times New Roman" w:hAnsi="Times New Roman"/>
                <w:sz w:val="24"/>
                <w:szCs w:val="24"/>
              </w:rPr>
              <w:t>teisininkų</w:t>
            </w:r>
            <w:r w:rsidRPr="00037E85">
              <w:rPr>
                <w:rFonts w:ascii="Times New Roman" w:hAnsi="Times New Roman"/>
                <w:sz w:val="24"/>
                <w:szCs w:val="24"/>
              </w:rPr>
              <w:t xml:space="preserve"> pastabas.</w:t>
            </w:r>
          </w:p>
          <w:p w14:paraId="4F153C9E" w14:textId="77777777" w:rsidR="00DB2195" w:rsidRPr="00037E85" w:rsidRDefault="00DB2195" w:rsidP="00BA0810">
            <w:pPr>
              <w:spacing w:after="0" w:line="240" w:lineRule="auto"/>
              <w:rPr>
                <w:rFonts w:ascii="Times New Roman" w:hAnsi="Times New Roman"/>
                <w:b/>
                <w:bCs/>
                <w:sz w:val="24"/>
                <w:szCs w:val="24"/>
              </w:rPr>
            </w:pPr>
          </w:p>
        </w:tc>
      </w:tr>
      <w:tr w:rsidR="00E06AEA" w:rsidRPr="00037E85" w14:paraId="722CE750" w14:textId="77777777" w:rsidTr="00B940AA">
        <w:trPr>
          <w:trHeight w:val="590"/>
        </w:trPr>
        <w:tc>
          <w:tcPr>
            <w:tcW w:w="212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00D8E" w14:textId="4DECDDDE" w:rsidR="00E06AEA" w:rsidRPr="00037E85" w:rsidRDefault="00E4380C">
            <w:pPr>
              <w:spacing w:after="0" w:line="240" w:lineRule="auto"/>
              <w:rPr>
                <w:rFonts w:ascii="Times New Roman" w:hAnsi="Times New Roman"/>
                <w:sz w:val="24"/>
                <w:szCs w:val="24"/>
              </w:rPr>
            </w:pPr>
            <w:r w:rsidRPr="00037E85">
              <w:rPr>
                <w:rFonts w:ascii="Times New Roman" w:hAnsi="Times New Roman"/>
                <w:sz w:val="24"/>
                <w:szCs w:val="24"/>
              </w:rPr>
              <w:t>Užsienio reikalų ministerija</w:t>
            </w:r>
          </w:p>
        </w:tc>
        <w:tc>
          <w:tcPr>
            <w:tcW w:w="595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B842" w14:textId="48A7DA56" w:rsidR="00E06AEA" w:rsidRPr="00037E85" w:rsidRDefault="00191974" w:rsidP="00074846">
            <w:pPr>
              <w:spacing w:after="0" w:line="240" w:lineRule="auto"/>
              <w:jc w:val="both"/>
              <w:rPr>
                <w:rFonts w:ascii="Times New Roman" w:hAnsi="Times New Roman"/>
                <w:sz w:val="24"/>
                <w:szCs w:val="24"/>
              </w:rPr>
            </w:pPr>
            <w:r w:rsidRPr="00037E85">
              <w:rPr>
                <w:rFonts w:ascii="Times New Roman" w:hAnsi="Times New Roman"/>
                <w:sz w:val="24"/>
                <w:szCs w:val="24"/>
              </w:rPr>
              <w:t>Pagal projektu keičiamo nutarimo 2.4.3.2 papunktį „asmens skiepijimas pagal valstybės, kurioje buvo atlikta vakcinacija, kompetentingos institucijos  patvirtintą schemą yra baigtas, „kaip tai nurodyta šio nutarimo 2.2.19 papunktyje“. Mūsų vertinimu, keičiamo nutarimo 2.2.19 papunktyje,  nėra nustatyta, kada vakcinacija, atlikta kitoje valstybėje, yra laikoma baigta – jame tik nurodoma, kad asmuo, siekiantis, kad jam būtų taikoma draudimo atvykti į Lietuvos Respubliką išimtis,  turi turėti atitinkamą dokumentą, nurodantį, kad asmens skiepijimas pagal valstybės, kurioje buvo atlikta vakcinacija, kompetentingos institucijos </w:t>
            </w:r>
            <w:r w:rsidRPr="00037E85">
              <w:rPr>
                <w:rFonts w:ascii="Times New Roman" w:hAnsi="Times New Roman"/>
                <w:i/>
                <w:iCs/>
                <w:sz w:val="24"/>
                <w:szCs w:val="24"/>
              </w:rPr>
              <w:t>patvirtintą skiepijimo schemą yra baigtas</w:t>
            </w:r>
            <w:r w:rsidRPr="00037E85">
              <w:rPr>
                <w:rFonts w:ascii="Times New Roman" w:hAnsi="Times New Roman"/>
                <w:sz w:val="24"/>
                <w:szCs w:val="24"/>
              </w:rPr>
              <w:t>, ir nustatoma papildoma sąlyga, kuriai esant asmuo gali atvykti į Lietuvą – „jei po COVID-19 ligos (</w:t>
            </w:r>
            <w:proofErr w:type="spellStart"/>
            <w:r w:rsidRPr="00037E85">
              <w:rPr>
                <w:rFonts w:ascii="Times New Roman" w:hAnsi="Times New Roman"/>
                <w:sz w:val="24"/>
                <w:szCs w:val="24"/>
              </w:rPr>
              <w:t>koronaviruso</w:t>
            </w:r>
            <w:proofErr w:type="spellEnd"/>
            <w:r w:rsidRPr="00037E85">
              <w:rPr>
                <w:rFonts w:ascii="Times New Roman" w:hAnsi="Times New Roman"/>
                <w:sz w:val="24"/>
                <w:szCs w:val="24"/>
              </w:rPr>
              <w:t xml:space="preserve"> infekcijos) vakcinos dozės suleidimo yra praėję ne mažiau kaip 14 dienų ir asmuo buvo paskiepytas &lt;...&gt;“. Manytina, kad vakcinacijos, atliktos kitoje valstybėje pagal tos valstybės kompetentingos institucijos  patvirtintą schemą, pabaigos faktą gali konstatuoti tik ta valstybė, kurioje buvo atlikta vakcinacija. Todėl projektu keičiamo nutarimo 2.4.3.2 papunktis turėtų būti suformuluotas analogiškai kaip 2.2.19 papunktis.</w:t>
            </w:r>
          </w:p>
        </w:tc>
        <w:tc>
          <w:tcPr>
            <w:tcW w:w="623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6873E" w14:textId="2D1E7411" w:rsidR="00191974" w:rsidRPr="00037E85" w:rsidRDefault="00191974" w:rsidP="00191974">
            <w:pPr>
              <w:spacing w:after="0" w:line="240" w:lineRule="auto"/>
              <w:rPr>
                <w:rFonts w:ascii="Times New Roman" w:hAnsi="Times New Roman"/>
                <w:b/>
                <w:bCs/>
                <w:sz w:val="24"/>
                <w:szCs w:val="24"/>
              </w:rPr>
            </w:pPr>
            <w:r w:rsidRPr="00037E85">
              <w:rPr>
                <w:rFonts w:ascii="Times New Roman" w:hAnsi="Times New Roman"/>
                <w:b/>
                <w:bCs/>
                <w:sz w:val="24"/>
                <w:szCs w:val="24"/>
              </w:rPr>
              <w:t>A</w:t>
            </w:r>
            <w:r w:rsidRPr="00037E85">
              <w:rPr>
                <w:rFonts w:ascii="Times New Roman" w:hAnsi="Times New Roman"/>
                <w:b/>
                <w:bCs/>
                <w:sz w:val="24"/>
                <w:szCs w:val="24"/>
              </w:rPr>
              <w:t>tsižvelgta</w:t>
            </w:r>
          </w:p>
          <w:p w14:paraId="43FD943E" w14:textId="77777777" w:rsidR="00E06AEA" w:rsidRPr="00037E85" w:rsidRDefault="00E06AEA" w:rsidP="000429DA">
            <w:pPr>
              <w:spacing w:after="0" w:line="240" w:lineRule="auto"/>
              <w:rPr>
                <w:rFonts w:ascii="Times New Roman" w:hAnsi="Times New Roman"/>
                <w:b/>
                <w:bCs/>
                <w:sz w:val="24"/>
                <w:szCs w:val="24"/>
              </w:rPr>
            </w:pPr>
          </w:p>
        </w:tc>
      </w:tr>
    </w:tbl>
    <w:p w14:paraId="34923FDF" w14:textId="77777777" w:rsidR="00FD3AAC" w:rsidRPr="00037E85" w:rsidRDefault="00FD3AAC">
      <w:pPr>
        <w:ind w:firstLine="1296"/>
        <w:jc w:val="center"/>
        <w:rPr>
          <w:rFonts w:ascii="Times New Roman" w:hAnsi="Times New Roman"/>
          <w:sz w:val="24"/>
          <w:szCs w:val="24"/>
        </w:rPr>
      </w:pPr>
    </w:p>
    <w:p w14:paraId="69A91916" w14:textId="77777777" w:rsidR="00FD3AAC" w:rsidRDefault="00A20B15">
      <w:pPr>
        <w:ind w:firstLine="1296"/>
        <w:jc w:val="center"/>
        <w:rPr>
          <w:rFonts w:ascii="Times New Roman" w:hAnsi="Times New Roman"/>
          <w:sz w:val="24"/>
          <w:szCs w:val="24"/>
        </w:rPr>
      </w:pPr>
      <w:r w:rsidRPr="00037E85">
        <w:rPr>
          <w:rFonts w:ascii="Times New Roman" w:hAnsi="Times New Roman"/>
          <w:sz w:val="24"/>
          <w:szCs w:val="24"/>
        </w:rPr>
        <w:t>__________________</w:t>
      </w:r>
    </w:p>
    <w:p w14:paraId="17346159" w14:textId="77777777" w:rsidR="00FD3AAC" w:rsidRDefault="00FD3AAC">
      <w:pPr>
        <w:rPr>
          <w:rFonts w:ascii="Times New Roman" w:hAnsi="Times New Roman"/>
          <w:sz w:val="24"/>
          <w:szCs w:val="24"/>
        </w:rPr>
      </w:pPr>
    </w:p>
    <w:p w14:paraId="4F874C94" w14:textId="77777777" w:rsidR="00FD3AAC" w:rsidRDefault="00FD3AAC"/>
    <w:sectPr w:rsidR="00FD3AAC" w:rsidSect="00215AD7">
      <w:headerReference w:type="default" r:id="rId7"/>
      <w:pgSz w:w="16838" w:h="11906" w:orient="landscape" w:code="9"/>
      <w:pgMar w:top="1134" w:right="567" w:bottom="1134" w:left="1701" w:header="680"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B38D" w14:textId="77777777" w:rsidR="00620990" w:rsidRDefault="00620990">
      <w:pPr>
        <w:spacing w:after="0" w:line="240" w:lineRule="auto"/>
      </w:pPr>
      <w:r>
        <w:separator/>
      </w:r>
    </w:p>
  </w:endnote>
  <w:endnote w:type="continuationSeparator" w:id="0">
    <w:p w14:paraId="40346691" w14:textId="77777777" w:rsidR="00620990" w:rsidRDefault="00620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AC76D" w14:textId="77777777" w:rsidR="00620990" w:rsidRDefault="00620990">
      <w:pPr>
        <w:spacing w:after="0" w:line="240" w:lineRule="auto"/>
      </w:pPr>
      <w:r>
        <w:rPr>
          <w:color w:val="000000"/>
        </w:rPr>
        <w:separator/>
      </w:r>
    </w:p>
  </w:footnote>
  <w:footnote w:type="continuationSeparator" w:id="0">
    <w:p w14:paraId="22E75813" w14:textId="77777777" w:rsidR="00620990" w:rsidRDefault="00620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505B" w14:textId="77777777" w:rsidR="007F20FF" w:rsidRPr="006E4F30" w:rsidRDefault="00A20B15">
    <w:pPr>
      <w:pStyle w:val="Antrats"/>
      <w:jc w:val="center"/>
      <w:rPr>
        <w:rFonts w:ascii="Times New Roman" w:hAnsi="Times New Roman"/>
        <w:sz w:val="24"/>
        <w:szCs w:val="24"/>
      </w:rPr>
    </w:pPr>
    <w:r w:rsidRPr="006E4F30">
      <w:rPr>
        <w:rFonts w:ascii="Times New Roman" w:hAnsi="Times New Roman"/>
        <w:sz w:val="24"/>
        <w:szCs w:val="24"/>
      </w:rPr>
      <w:fldChar w:fldCharType="begin"/>
    </w:r>
    <w:r w:rsidRPr="006E4F30">
      <w:rPr>
        <w:rFonts w:ascii="Times New Roman" w:hAnsi="Times New Roman"/>
        <w:sz w:val="24"/>
        <w:szCs w:val="24"/>
      </w:rPr>
      <w:instrText xml:space="preserve"> PAGE </w:instrText>
    </w:r>
    <w:r w:rsidRPr="006E4F30">
      <w:rPr>
        <w:rFonts w:ascii="Times New Roman" w:hAnsi="Times New Roman"/>
        <w:sz w:val="24"/>
        <w:szCs w:val="24"/>
      </w:rPr>
      <w:fldChar w:fldCharType="separate"/>
    </w:r>
    <w:r w:rsidRPr="006E4F30">
      <w:rPr>
        <w:rFonts w:ascii="Times New Roman" w:hAnsi="Times New Roman"/>
        <w:sz w:val="24"/>
        <w:szCs w:val="24"/>
      </w:rPr>
      <w:t>2</w:t>
    </w:r>
    <w:r w:rsidRPr="006E4F30">
      <w:rPr>
        <w:rFonts w:ascii="Times New Roman" w:hAnsi="Times New Roman"/>
        <w:sz w:val="24"/>
        <w:szCs w:val="24"/>
      </w:rPr>
      <w:fldChar w:fldCharType="end"/>
    </w:r>
  </w:p>
  <w:p w14:paraId="31AF9837" w14:textId="77777777" w:rsidR="007F20FF" w:rsidRDefault="006209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03C16"/>
    <w:multiLevelType w:val="multilevel"/>
    <w:tmpl w:val="9A009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AAC"/>
    <w:rsid w:val="00037E85"/>
    <w:rsid w:val="00041469"/>
    <w:rsid w:val="000429DA"/>
    <w:rsid w:val="0006396E"/>
    <w:rsid w:val="00074846"/>
    <w:rsid w:val="000D7CAF"/>
    <w:rsid w:val="001464AD"/>
    <w:rsid w:val="001627BC"/>
    <w:rsid w:val="00191974"/>
    <w:rsid w:val="00215AD7"/>
    <w:rsid w:val="002A6C1B"/>
    <w:rsid w:val="003A71BC"/>
    <w:rsid w:val="003D6D48"/>
    <w:rsid w:val="003E1D65"/>
    <w:rsid w:val="004447E5"/>
    <w:rsid w:val="0044720F"/>
    <w:rsid w:val="00455391"/>
    <w:rsid w:val="00456C17"/>
    <w:rsid w:val="004F27E0"/>
    <w:rsid w:val="00535042"/>
    <w:rsid w:val="00535FA9"/>
    <w:rsid w:val="00545A0B"/>
    <w:rsid w:val="00574803"/>
    <w:rsid w:val="005C3E5B"/>
    <w:rsid w:val="00620990"/>
    <w:rsid w:val="00637493"/>
    <w:rsid w:val="00665CDF"/>
    <w:rsid w:val="006B0255"/>
    <w:rsid w:val="006E4210"/>
    <w:rsid w:val="006E4F30"/>
    <w:rsid w:val="007139B1"/>
    <w:rsid w:val="007153BF"/>
    <w:rsid w:val="00747EEF"/>
    <w:rsid w:val="00816A46"/>
    <w:rsid w:val="0085123B"/>
    <w:rsid w:val="00861020"/>
    <w:rsid w:val="00880D6A"/>
    <w:rsid w:val="00946F35"/>
    <w:rsid w:val="009521A2"/>
    <w:rsid w:val="00975F45"/>
    <w:rsid w:val="00A20B15"/>
    <w:rsid w:val="00B50964"/>
    <w:rsid w:val="00B52EF9"/>
    <w:rsid w:val="00B94AA3"/>
    <w:rsid w:val="00BA0810"/>
    <w:rsid w:val="00BA41D2"/>
    <w:rsid w:val="00BD1D58"/>
    <w:rsid w:val="00BD24E9"/>
    <w:rsid w:val="00BF795D"/>
    <w:rsid w:val="00C20311"/>
    <w:rsid w:val="00C47722"/>
    <w:rsid w:val="00C710B4"/>
    <w:rsid w:val="00D4242B"/>
    <w:rsid w:val="00D63A28"/>
    <w:rsid w:val="00DB2195"/>
    <w:rsid w:val="00E06AEA"/>
    <w:rsid w:val="00E31963"/>
    <w:rsid w:val="00E31C5C"/>
    <w:rsid w:val="00E4380C"/>
    <w:rsid w:val="00EF7316"/>
    <w:rsid w:val="00F1030F"/>
    <w:rsid w:val="00F63D30"/>
    <w:rsid w:val="00FD3AAC"/>
    <w:rsid w:val="00FD4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E930"/>
  <w15:docId w15:val="{B63CB164-334F-488B-A8B0-B7BD4ED6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paragraph" w:styleId="Sraopastraipa">
    <w:name w:val="List Paragraph"/>
    <w:basedOn w:val="prastasis"/>
    <w:pPr>
      <w:ind w:left="720"/>
    </w:pPr>
  </w:style>
  <w:style w:type="paragraph" w:styleId="Antrats">
    <w:name w:val="header"/>
    <w:basedOn w:val="prastasis"/>
    <w:pPr>
      <w:tabs>
        <w:tab w:val="center" w:pos="4819"/>
        <w:tab w:val="right" w:pos="9638"/>
      </w:tabs>
      <w:spacing w:after="0" w:line="240" w:lineRule="auto"/>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spacing w:after="0" w:line="240" w:lineRule="auto"/>
    </w:pPr>
  </w:style>
  <w:style w:type="character" w:customStyle="1" w:styleId="PoratDiagrama">
    <w:name w:val="Poraštė Diagrama"/>
    <w:basedOn w:val="Numatytasispastraiposriftas"/>
  </w:style>
  <w:style w:type="paragraph" w:styleId="Komentarotekstas">
    <w:name w:val="annotation text"/>
    <w:basedOn w:val="prastasis"/>
    <w:pPr>
      <w:suppressAutoHyphens w:val="0"/>
      <w:spacing w:after="0" w:line="240" w:lineRule="auto"/>
      <w:textAlignment w:val="auto"/>
    </w:pPr>
    <w:rPr>
      <w:rFonts w:ascii="Times New Roman" w:eastAsia="Times New Roman" w:hAnsi="Times New Roman"/>
      <w:sz w:val="20"/>
      <w:szCs w:val="20"/>
    </w:rPr>
  </w:style>
  <w:style w:type="character" w:customStyle="1" w:styleId="KomentarotekstasDiagrama">
    <w:name w:val="Komentaro tekstas Diagrama"/>
    <w:basedOn w:val="Numatytasispastraiposriftas"/>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5873</Words>
  <Characters>3348</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Kazys Rušinskas</dc:creator>
  <dc:description/>
  <cp:lastModifiedBy>Donatas Keršis</cp:lastModifiedBy>
  <cp:revision>2</cp:revision>
  <cp:lastPrinted>2020-02-17T13:26:00Z</cp:lastPrinted>
  <dcterms:created xsi:type="dcterms:W3CDTF">2021-06-11T11:44:00Z</dcterms:created>
  <dcterms:modified xsi:type="dcterms:W3CDTF">2021-06-11T11:44:00Z</dcterms:modified>
</cp:coreProperties>
</file>