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35B8E" w14:textId="77777777" w:rsidR="00804EC2" w:rsidRPr="00647ECF" w:rsidRDefault="00804EC2" w:rsidP="00264FB8">
      <w:pPr>
        <w:spacing w:after="0" w:line="240" w:lineRule="auto"/>
        <w:jc w:val="center"/>
        <w:rPr>
          <w:rFonts w:ascii="Times New Roman" w:hAnsi="Times New Roman" w:cs="Times New Roman"/>
          <w:b/>
        </w:rPr>
      </w:pPr>
      <w:r w:rsidRPr="00647ECF">
        <w:rPr>
          <w:rFonts w:ascii="Times New Roman" w:hAnsi="Times New Roman" w:cs="Times New Roman"/>
          <w:b/>
        </w:rPr>
        <w:t xml:space="preserve">LIETUVOS RESPUBLIKOS </w:t>
      </w:r>
      <w:r w:rsidR="00264FB8" w:rsidRPr="00647ECF">
        <w:rPr>
          <w:rFonts w:ascii="Times New Roman" w:hAnsi="Times New Roman" w:cs="Times New Roman"/>
          <w:b/>
        </w:rPr>
        <w:t>VYRIAUSYBĖS NUTARIMO</w:t>
      </w:r>
      <w:r w:rsidRPr="00647ECF">
        <w:rPr>
          <w:rFonts w:ascii="Times New Roman" w:hAnsi="Times New Roman" w:cs="Times New Roman"/>
          <w:b/>
        </w:rPr>
        <w:t xml:space="preserve"> „</w:t>
      </w:r>
      <w:r w:rsidR="00832B2C" w:rsidRPr="00647ECF">
        <w:rPr>
          <w:rFonts w:ascii="Times New Roman" w:hAnsi="Times New Roman" w:cs="Times New Roman"/>
          <w:b/>
        </w:rPr>
        <w:t xml:space="preserve">DĖL LIETUVOS REPUBLIKOS VYRIAUSYBĖS 2021 M. SAUSIO 15 D. </w:t>
      </w:r>
      <w:r w:rsidR="00832B2C" w:rsidRPr="00647ECF">
        <w:rPr>
          <w:rFonts w:ascii="Times New Roman" w:hAnsi="Times New Roman" w:cs="Times New Roman"/>
          <w:b/>
        </w:rPr>
        <w:br/>
        <w:t>NUTARIMO NR. 24 „DĖL PRIEMONĖS „SUBSIDIJOS NUO COVID-19 NUKENTĖJUSIOMS ĮMONĖMS“ LĖŠŲ SKYRIMO IR ADMINISTRAVIMO TVARKOS APRAŠO PATVIRTINIMO“</w:t>
      </w:r>
      <w:r w:rsidR="00264FB8" w:rsidRPr="00647ECF">
        <w:rPr>
          <w:rFonts w:ascii="Times New Roman" w:hAnsi="Times New Roman" w:cs="Times New Roman"/>
          <w:b/>
        </w:rPr>
        <w:t xml:space="preserve"> PAKEITIMO</w:t>
      </w:r>
      <w:r w:rsidRPr="00647ECF">
        <w:rPr>
          <w:rFonts w:ascii="Times New Roman" w:hAnsi="Times New Roman" w:cs="Times New Roman"/>
          <w:b/>
          <w:bCs/>
          <w:color w:val="000000"/>
        </w:rPr>
        <w:t>“</w:t>
      </w:r>
      <w:r w:rsidRPr="00647ECF">
        <w:rPr>
          <w:rFonts w:ascii="Times New Roman" w:hAnsi="Times New Roman" w:cs="Times New Roman"/>
          <w:b/>
        </w:rPr>
        <w:t xml:space="preserve"> PROJEKTO</w:t>
      </w:r>
    </w:p>
    <w:p w14:paraId="2E1C3825" w14:textId="77777777" w:rsidR="00804EC2" w:rsidRPr="00647ECF" w:rsidRDefault="00804EC2" w:rsidP="00264FB8">
      <w:pPr>
        <w:spacing w:after="0" w:line="240" w:lineRule="auto"/>
        <w:jc w:val="center"/>
        <w:rPr>
          <w:rFonts w:ascii="Times New Roman" w:hAnsi="Times New Roman" w:cs="Times New Roman"/>
          <w:b/>
        </w:rPr>
      </w:pPr>
      <w:r w:rsidRPr="00647ECF">
        <w:rPr>
          <w:rFonts w:ascii="Times New Roman" w:hAnsi="Times New Roman" w:cs="Times New Roman"/>
          <w:b/>
        </w:rPr>
        <w:t xml:space="preserve">(TOLIAU – </w:t>
      </w:r>
      <w:r w:rsidR="00264FB8" w:rsidRPr="00647ECF">
        <w:rPr>
          <w:rFonts w:ascii="Times New Roman" w:hAnsi="Times New Roman" w:cs="Times New Roman"/>
          <w:b/>
        </w:rPr>
        <w:t>NUTARIMO</w:t>
      </w:r>
      <w:r w:rsidRPr="00647ECF">
        <w:rPr>
          <w:rFonts w:ascii="Times New Roman" w:hAnsi="Times New Roman" w:cs="Times New Roman"/>
          <w:b/>
        </w:rPr>
        <w:t xml:space="preserve"> PROJEKTAS)</w:t>
      </w:r>
    </w:p>
    <w:p w14:paraId="0BA2A9F4" w14:textId="77777777" w:rsidR="00264FB8" w:rsidRPr="00647ECF" w:rsidRDefault="00264FB8" w:rsidP="00763E73">
      <w:pPr>
        <w:spacing w:after="0" w:line="240" w:lineRule="auto"/>
        <w:jc w:val="center"/>
        <w:rPr>
          <w:rFonts w:ascii="Times New Roman" w:hAnsi="Times New Roman" w:cs="Times New Roman"/>
          <w:b/>
        </w:rPr>
      </w:pPr>
    </w:p>
    <w:p w14:paraId="7A5EA631" w14:textId="77777777" w:rsidR="000E368E" w:rsidRPr="00647ECF" w:rsidRDefault="00804EC2" w:rsidP="00763E73">
      <w:pPr>
        <w:spacing w:after="0" w:line="240" w:lineRule="auto"/>
        <w:jc w:val="center"/>
        <w:rPr>
          <w:rFonts w:ascii="Times New Roman" w:hAnsi="Times New Roman" w:cs="Times New Roman"/>
          <w:b/>
        </w:rPr>
      </w:pPr>
      <w:r w:rsidRPr="00647ECF">
        <w:rPr>
          <w:rFonts w:ascii="Times New Roman" w:hAnsi="Times New Roman" w:cs="Times New Roman"/>
          <w:b/>
        </w:rPr>
        <w:t>DERINIMO PAŽYMA</w:t>
      </w:r>
    </w:p>
    <w:p w14:paraId="1C1A9A9E" w14:textId="5030F4EB" w:rsidR="006550A9" w:rsidRPr="00647ECF" w:rsidRDefault="00F71F4C" w:rsidP="00763E73">
      <w:pPr>
        <w:spacing w:after="0" w:line="240" w:lineRule="auto"/>
        <w:jc w:val="center"/>
        <w:rPr>
          <w:rFonts w:ascii="Times New Roman" w:hAnsi="Times New Roman" w:cs="Times New Roman"/>
        </w:rPr>
      </w:pPr>
      <w:r>
        <w:rPr>
          <w:rFonts w:ascii="Times New Roman" w:hAnsi="Times New Roman" w:cs="Times New Roman"/>
        </w:rPr>
        <w:t>2021-02-17</w:t>
      </w:r>
    </w:p>
    <w:p w14:paraId="43AA59C5" w14:textId="77777777" w:rsidR="00264FB8" w:rsidRPr="00647ECF" w:rsidRDefault="00264FB8" w:rsidP="00763E73">
      <w:pPr>
        <w:spacing w:after="0" w:line="240" w:lineRule="auto"/>
        <w:jc w:val="center"/>
        <w:rPr>
          <w:rFonts w:ascii="Times New Roman" w:hAnsi="Times New Roman" w:cs="Times New Roman"/>
          <w:b/>
        </w:rPr>
      </w:pPr>
    </w:p>
    <w:tbl>
      <w:tblPr>
        <w:tblStyle w:val="TableGrid"/>
        <w:tblW w:w="15134" w:type="dxa"/>
        <w:tblLayout w:type="fixed"/>
        <w:tblLook w:val="04A0" w:firstRow="1" w:lastRow="0" w:firstColumn="1" w:lastColumn="0" w:noHBand="0" w:noVBand="1"/>
      </w:tblPr>
      <w:tblGrid>
        <w:gridCol w:w="675"/>
        <w:gridCol w:w="29"/>
        <w:gridCol w:w="7371"/>
        <w:gridCol w:w="7059"/>
      </w:tblGrid>
      <w:tr w:rsidR="00804EC2" w:rsidRPr="00647ECF" w14:paraId="138A5D65" w14:textId="77777777" w:rsidTr="00771467">
        <w:tc>
          <w:tcPr>
            <w:tcW w:w="675" w:type="dxa"/>
            <w:tcBorders>
              <w:bottom w:val="single" w:sz="4" w:space="0" w:color="auto"/>
            </w:tcBorders>
            <w:shd w:val="clear" w:color="auto" w:fill="D9D9D9" w:themeFill="background1" w:themeFillShade="D9"/>
          </w:tcPr>
          <w:p w14:paraId="7942A125" w14:textId="77777777" w:rsidR="00804EC2" w:rsidRPr="00647ECF" w:rsidRDefault="0002116D" w:rsidP="0002116D">
            <w:pPr>
              <w:jc w:val="center"/>
              <w:rPr>
                <w:rFonts w:ascii="Times New Roman" w:hAnsi="Times New Roman" w:cs="Times New Roman"/>
                <w:b/>
              </w:rPr>
            </w:pPr>
            <w:r w:rsidRPr="00647ECF">
              <w:rPr>
                <w:rFonts w:ascii="Times New Roman" w:hAnsi="Times New Roman" w:cs="Times New Roman"/>
                <w:b/>
              </w:rPr>
              <w:t>Eil.Nr.</w:t>
            </w:r>
          </w:p>
        </w:tc>
        <w:tc>
          <w:tcPr>
            <w:tcW w:w="7400" w:type="dxa"/>
            <w:gridSpan w:val="2"/>
            <w:tcBorders>
              <w:bottom w:val="single" w:sz="4" w:space="0" w:color="auto"/>
            </w:tcBorders>
            <w:shd w:val="clear" w:color="auto" w:fill="D9D9D9" w:themeFill="background1" w:themeFillShade="D9"/>
          </w:tcPr>
          <w:p w14:paraId="0C2D0CB1" w14:textId="77777777" w:rsidR="00804EC2" w:rsidRPr="00647ECF" w:rsidRDefault="0002116D" w:rsidP="00707CBC">
            <w:pPr>
              <w:jc w:val="center"/>
              <w:rPr>
                <w:rFonts w:ascii="Times New Roman" w:hAnsi="Times New Roman" w:cs="Times New Roman"/>
                <w:b/>
              </w:rPr>
            </w:pPr>
            <w:r w:rsidRPr="00647ECF">
              <w:rPr>
                <w:rFonts w:ascii="Times New Roman" w:hAnsi="Times New Roman" w:cs="Times New Roman"/>
                <w:b/>
              </w:rPr>
              <w:t xml:space="preserve">Institucijų pastabos ir pasiūlymai </w:t>
            </w:r>
          </w:p>
        </w:tc>
        <w:tc>
          <w:tcPr>
            <w:tcW w:w="7059" w:type="dxa"/>
            <w:shd w:val="clear" w:color="auto" w:fill="D9D9D9" w:themeFill="background1" w:themeFillShade="D9"/>
          </w:tcPr>
          <w:p w14:paraId="374CACB5" w14:textId="77777777" w:rsidR="00804EC2" w:rsidRPr="00647ECF" w:rsidRDefault="003C2C32" w:rsidP="0002116D">
            <w:pPr>
              <w:jc w:val="center"/>
              <w:rPr>
                <w:rFonts w:ascii="Times New Roman" w:hAnsi="Times New Roman" w:cs="Times New Roman"/>
              </w:rPr>
            </w:pPr>
            <w:r w:rsidRPr="00647ECF">
              <w:rPr>
                <w:rFonts w:ascii="Times New Roman" w:hAnsi="Times New Roman" w:cs="Times New Roman"/>
                <w:b/>
              </w:rPr>
              <w:t xml:space="preserve">Ekonomikos ir inovacijų </w:t>
            </w:r>
            <w:r w:rsidR="00804EC2" w:rsidRPr="00647ECF">
              <w:rPr>
                <w:rFonts w:ascii="Times New Roman" w:hAnsi="Times New Roman" w:cs="Times New Roman"/>
                <w:b/>
              </w:rPr>
              <w:t>ministerijos komentarai</w:t>
            </w:r>
          </w:p>
        </w:tc>
      </w:tr>
      <w:tr w:rsidR="00342133" w:rsidRPr="00647ECF" w14:paraId="77EC7E88" w14:textId="77777777" w:rsidTr="00A00A7C">
        <w:tc>
          <w:tcPr>
            <w:tcW w:w="15134" w:type="dxa"/>
            <w:gridSpan w:val="4"/>
            <w:tcBorders>
              <w:bottom w:val="single" w:sz="4" w:space="0" w:color="auto"/>
            </w:tcBorders>
            <w:shd w:val="clear" w:color="auto" w:fill="EAF1DD" w:themeFill="accent3" w:themeFillTint="33"/>
          </w:tcPr>
          <w:p w14:paraId="3E2DA3AA" w14:textId="77777777" w:rsidR="00342133" w:rsidRPr="00647ECF" w:rsidRDefault="0038149B" w:rsidP="003C2C32">
            <w:pPr>
              <w:jc w:val="both"/>
              <w:rPr>
                <w:rFonts w:ascii="Times New Roman" w:hAnsi="Times New Roman" w:cs="Times New Roman"/>
                <w:b/>
              </w:rPr>
            </w:pPr>
            <w:r w:rsidRPr="00647ECF">
              <w:rPr>
                <w:rFonts w:ascii="Times New Roman" w:hAnsi="Times New Roman" w:cs="Times New Roman"/>
                <w:b/>
              </w:rPr>
              <w:t>Valstybinė mokesčių inspekcija prie Lietuvos Respublikos finansų ministerijos, 2021-02</w:t>
            </w:r>
            <w:r w:rsidR="00A00A7C" w:rsidRPr="00647ECF">
              <w:rPr>
                <w:rFonts w:ascii="Times New Roman" w:hAnsi="Times New Roman" w:cs="Times New Roman"/>
                <w:b/>
              </w:rPr>
              <w:t>-1</w:t>
            </w:r>
            <w:r w:rsidR="003C2C32" w:rsidRPr="00647ECF">
              <w:rPr>
                <w:rFonts w:ascii="Times New Roman" w:hAnsi="Times New Roman" w:cs="Times New Roman"/>
                <w:b/>
              </w:rPr>
              <w:t>2 raštas Nr. R-666</w:t>
            </w:r>
          </w:p>
        </w:tc>
      </w:tr>
      <w:tr w:rsidR="001822DD" w:rsidRPr="00647ECF" w14:paraId="6BA88E2B" w14:textId="77777777" w:rsidTr="00771467">
        <w:tc>
          <w:tcPr>
            <w:tcW w:w="675" w:type="dxa"/>
          </w:tcPr>
          <w:p w14:paraId="46BF1613" w14:textId="77777777" w:rsidR="001822DD" w:rsidRPr="00647ECF" w:rsidRDefault="00A00A7C" w:rsidP="00A00A7C">
            <w:pPr>
              <w:pStyle w:val="ListParagraph"/>
              <w:tabs>
                <w:tab w:val="left" w:pos="284"/>
              </w:tabs>
              <w:ind w:left="0"/>
              <w:rPr>
                <w:rFonts w:ascii="Times New Roman" w:hAnsi="Times New Roman" w:cs="Times New Roman"/>
              </w:rPr>
            </w:pPr>
            <w:r w:rsidRPr="00647ECF">
              <w:rPr>
                <w:rFonts w:ascii="Times New Roman" w:hAnsi="Times New Roman" w:cs="Times New Roman"/>
              </w:rPr>
              <w:t>1.</w:t>
            </w:r>
          </w:p>
        </w:tc>
        <w:tc>
          <w:tcPr>
            <w:tcW w:w="7400" w:type="dxa"/>
            <w:gridSpan w:val="2"/>
            <w:tcBorders>
              <w:bottom w:val="single" w:sz="4" w:space="0" w:color="auto"/>
            </w:tcBorders>
          </w:tcPr>
          <w:p w14:paraId="2BBEBBAF" w14:textId="77777777" w:rsidR="003C2C32" w:rsidRPr="00647ECF" w:rsidRDefault="003C2C32" w:rsidP="003C2C32">
            <w:pPr>
              <w:jc w:val="both"/>
              <w:rPr>
                <w:rFonts w:ascii="Times New Roman" w:hAnsi="Times New Roman" w:cs="Times New Roman"/>
                <w:b/>
              </w:rPr>
            </w:pPr>
            <w:r w:rsidRPr="00647ECF">
              <w:rPr>
                <w:rFonts w:ascii="Times New Roman" w:hAnsi="Times New Roman" w:cs="Times New Roman"/>
                <w:b/>
              </w:rPr>
              <w:t>Dėl Aprašo 4 punkto.</w:t>
            </w:r>
          </w:p>
          <w:p w14:paraId="4F32E7D0" w14:textId="77777777" w:rsidR="003C2C32" w:rsidRPr="00647ECF" w:rsidRDefault="003C2C32" w:rsidP="003C2C32">
            <w:pPr>
              <w:jc w:val="both"/>
              <w:rPr>
                <w:rFonts w:ascii="Times New Roman" w:hAnsi="Times New Roman" w:cs="Times New Roman"/>
              </w:rPr>
            </w:pPr>
            <w:r w:rsidRPr="00647ECF">
              <w:rPr>
                <w:rFonts w:ascii="Times New Roman" w:hAnsi="Times New Roman" w:cs="Times New Roman"/>
              </w:rPr>
              <w:t>Atsižvelgiant į praktikoje kylančias problemas pareiškėjams nurodant ar neteisingai nurodant sąskaitas, į kurias pervedama subsidija, dėl ko NBFC negali pervesti skirtos subsidijos, siūlome įvesti Apraše sąskaitos sąvoką:</w:t>
            </w:r>
          </w:p>
          <w:p w14:paraId="6EF3FC16" w14:textId="77777777" w:rsidR="002B5FDD" w:rsidRPr="00647ECF" w:rsidRDefault="003C2C32" w:rsidP="003C2C32">
            <w:pPr>
              <w:jc w:val="both"/>
              <w:rPr>
                <w:rFonts w:ascii="Times New Roman" w:hAnsi="Times New Roman" w:cs="Times New Roman"/>
                <w:b/>
              </w:rPr>
            </w:pPr>
            <w:r w:rsidRPr="00647ECF">
              <w:rPr>
                <w:rFonts w:ascii="Times New Roman" w:hAnsi="Times New Roman" w:cs="Times New Roman"/>
              </w:rPr>
              <w:t>,,</w:t>
            </w:r>
            <w:r w:rsidRPr="00647ECF">
              <w:rPr>
                <w:rFonts w:ascii="Times New Roman" w:hAnsi="Times New Roman" w:cs="Times New Roman"/>
                <w:b/>
              </w:rPr>
              <w:t xml:space="preserve">Sąskaita – </w:t>
            </w:r>
            <w:r w:rsidRPr="00647ECF">
              <w:rPr>
                <w:rFonts w:ascii="Times New Roman" w:hAnsi="Times New Roman" w:cs="Times New Roman"/>
              </w:rPr>
              <w:t>pareiškėjo vardu Lietuvos Respublikoje registruotų finansų rinkos dalyvių įstaigose atidaryta įmonės atsiskaitomoji ar mokėjimo kortelės sąskaita, apie kurią įstatymų nustatyta tvarka pranešta Valstybinei mokesčių inspekcijai prie Lietuvos Respublikos finansų ministerijos.“</w:t>
            </w:r>
          </w:p>
        </w:tc>
        <w:tc>
          <w:tcPr>
            <w:tcW w:w="7059" w:type="dxa"/>
          </w:tcPr>
          <w:p w14:paraId="211ADCEB" w14:textId="77777777" w:rsidR="001822DD" w:rsidRPr="00647ECF" w:rsidRDefault="0094749A" w:rsidP="0002116D">
            <w:pPr>
              <w:rPr>
                <w:rFonts w:ascii="Times New Roman" w:hAnsi="Times New Roman" w:cs="Times New Roman"/>
                <w:b/>
              </w:rPr>
            </w:pPr>
            <w:r w:rsidRPr="00647ECF">
              <w:rPr>
                <w:rFonts w:ascii="Times New Roman" w:hAnsi="Times New Roman" w:cs="Times New Roman"/>
                <w:b/>
              </w:rPr>
              <w:t>A</w:t>
            </w:r>
            <w:r w:rsidR="002B5FDD" w:rsidRPr="00647ECF">
              <w:rPr>
                <w:rFonts w:ascii="Times New Roman" w:hAnsi="Times New Roman" w:cs="Times New Roman"/>
                <w:b/>
              </w:rPr>
              <w:t>tsižvelgta</w:t>
            </w:r>
            <w:r w:rsidR="003C2C32" w:rsidRPr="00647ECF">
              <w:rPr>
                <w:rFonts w:ascii="Times New Roman" w:hAnsi="Times New Roman" w:cs="Times New Roman"/>
                <w:b/>
              </w:rPr>
              <w:t xml:space="preserve"> iš dalies. </w:t>
            </w:r>
          </w:p>
          <w:p w14:paraId="1E99DFD7" w14:textId="77777777" w:rsidR="00D070AD" w:rsidRPr="00647ECF" w:rsidRDefault="00A42492" w:rsidP="00A42492">
            <w:pPr>
              <w:suppressAutoHyphens/>
              <w:jc w:val="both"/>
              <w:textAlignment w:val="center"/>
              <w:rPr>
                <w:rFonts w:ascii="Times New Roman" w:hAnsi="Times New Roman" w:cs="Times New Roman"/>
                <w:color w:val="000000"/>
              </w:rPr>
            </w:pPr>
            <w:r w:rsidRPr="00647ECF">
              <w:rPr>
                <w:rFonts w:ascii="Times New Roman" w:hAnsi="Times New Roman" w:cs="Times New Roman"/>
              </w:rPr>
              <w:t>Atsižvelgiant į tai, kad pagal p</w:t>
            </w:r>
            <w:r w:rsidRPr="00647ECF">
              <w:rPr>
                <w:rFonts w:ascii="Times New Roman" w:hAnsi="Times New Roman" w:cs="Times New Roman"/>
                <w:color w:val="000000"/>
              </w:rPr>
              <w:t>riemonę „Subsidijos nuo COVID-19 nukentėjusioms įmonėms“</w:t>
            </w:r>
            <w:r w:rsidR="00300ECE" w:rsidRPr="00647ECF">
              <w:rPr>
                <w:rFonts w:ascii="Times New Roman" w:hAnsi="Times New Roman" w:cs="Times New Roman"/>
                <w:color w:val="000000"/>
              </w:rPr>
              <w:t xml:space="preserve"> (toliau – Priemonė)</w:t>
            </w:r>
            <w:r w:rsidRPr="00647ECF">
              <w:rPr>
                <w:rFonts w:ascii="Times New Roman" w:hAnsi="Times New Roman" w:cs="Times New Roman"/>
                <w:color w:val="000000"/>
              </w:rPr>
              <w:t xml:space="preserve"> įmonėms skirtos subsidijos negali būti pervestos įmonėms, nes šios subsidijų paraiškoje būna nurodžiusios ne savo sąskaitas arba sąskaitų numeriai nurodomi klaidingai, Nutarimo projektu siūloma nustatyti reikalavimą pareiškėjui turėti </w:t>
            </w:r>
            <w:r w:rsidRPr="00647ECF">
              <w:rPr>
                <w:rFonts w:ascii="Times New Roman" w:hAnsi="Times New Roman" w:cs="Times New Roman"/>
              </w:rPr>
              <w:t>savo vardu atidarytą sąskaitą, kuri būtų nurodyta subsidijų paraiškoje</w:t>
            </w:r>
            <w:r w:rsidRPr="00647ECF">
              <w:rPr>
                <w:rFonts w:ascii="Times New Roman" w:hAnsi="Times New Roman" w:cs="Times New Roman"/>
                <w:color w:val="000000"/>
              </w:rPr>
              <w:t>. Nustačius šį reikalavimą, atitiktį jam dar subsidijų paraiškos vertinimo metu patikrintų V</w:t>
            </w:r>
            <w:r w:rsidR="00D070AD" w:rsidRPr="00647ECF">
              <w:rPr>
                <w:rFonts w:ascii="Times New Roman" w:hAnsi="Times New Roman" w:cs="Times New Roman"/>
                <w:color w:val="000000"/>
              </w:rPr>
              <w:t>alstybinė mokesčių inspekcija prie Lietuvos Respublikos finansų ministerijos (toliau – V</w:t>
            </w:r>
            <w:r w:rsidRPr="00647ECF">
              <w:rPr>
                <w:rFonts w:ascii="Times New Roman" w:hAnsi="Times New Roman" w:cs="Times New Roman"/>
                <w:color w:val="000000"/>
              </w:rPr>
              <w:t>MI</w:t>
            </w:r>
            <w:r w:rsidR="00D070AD" w:rsidRPr="00647ECF">
              <w:rPr>
                <w:rFonts w:ascii="Times New Roman" w:hAnsi="Times New Roman" w:cs="Times New Roman"/>
                <w:color w:val="000000"/>
              </w:rPr>
              <w:t>)</w:t>
            </w:r>
            <w:r w:rsidRPr="00647ECF">
              <w:rPr>
                <w:rFonts w:ascii="Times New Roman" w:hAnsi="Times New Roman" w:cs="Times New Roman"/>
                <w:color w:val="000000"/>
              </w:rPr>
              <w:t xml:space="preserve">, todėl būtų išvengta jau skirtos subsidijos pervedimo įmonei problemų. </w:t>
            </w:r>
          </w:p>
          <w:p w14:paraId="102D04FD" w14:textId="77777777" w:rsidR="00A42492" w:rsidRPr="00647ECF" w:rsidRDefault="00A42492" w:rsidP="008F4490">
            <w:pPr>
              <w:suppressAutoHyphens/>
              <w:jc w:val="both"/>
              <w:textAlignment w:val="center"/>
              <w:rPr>
                <w:rFonts w:ascii="Times New Roman" w:hAnsi="Times New Roman" w:cs="Times New Roman"/>
                <w:color w:val="000000"/>
              </w:rPr>
            </w:pPr>
            <w:r w:rsidRPr="00647ECF">
              <w:rPr>
                <w:rFonts w:ascii="Times New Roman" w:hAnsi="Times New Roman" w:cs="Times New Roman"/>
                <w:color w:val="000000"/>
              </w:rPr>
              <w:t xml:space="preserve">Jeigu Priemonės „Subsidijos nuo COVID-19 nukentėjusioms įmonėms“ lėšų skyrimo ir administravimo tvarkos </w:t>
            </w:r>
            <w:r w:rsidR="00D070AD" w:rsidRPr="00647ECF">
              <w:rPr>
                <w:rFonts w:ascii="Times New Roman" w:hAnsi="Times New Roman" w:cs="Times New Roman"/>
                <w:color w:val="000000"/>
              </w:rPr>
              <w:t>apraše</w:t>
            </w:r>
            <w:r w:rsidR="00D070AD" w:rsidRPr="00647ECF">
              <w:rPr>
                <w:rStyle w:val="FootnoteReference"/>
                <w:rFonts w:ascii="Times New Roman" w:hAnsi="Times New Roman" w:cs="Times New Roman"/>
                <w:color w:val="000000"/>
              </w:rPr>
              <w:footnoteReference w:id="1"/>
            </w:r>
            <w:r w:rsidR="00D070AD" w:rsidRPr="00647ECF">
              <w:rPr>
                <w:rFonts w:ascii="Times New Roman" w:hAnsi="Times New Roman" w:cs="Times New Roman"/>
                <w:color w:val="000000"/>
              </w:rPr>
              <w:t xml:space="preserve"> (toliau – Aprašas) būtų nurodomas tik sąskaitos apibrėžimas, kaip siūlo VMI, tai vis tiek neužtikrintų, kad pareišk</w:t>
            </w:r>
            <w:r w:rsidR="00BA5B11" w:rsidRPr="00647ECF">
              <w:rPr>
                <w:rFonts w:ascii="Times New Roman" w:hAnsi="Times New Roman" w:cs="Times New Roman"/>
                <w:color w:val="000000"/>
              </w:rPr>
              <w:t xml:space="preserve">ėjas subsidijų paraiškoje nurodytų </w:t>
            </w:r>
            <w:r w:rsidR="00D070AD" w:rsidRPr="00647ECF">
              <w:rPr>
                <w:rFonts w:ascii="Times New Roman" w:hAnsi="Times New Roman" w:cs="Times New Roman"/>
                <w:color w:val="000000"/>
              </w:rPr>
              <w:t>būtent šią sąskaitą ir neįpareigotų VMI tikrinti, ar pareiškėjas subsidijų paraiškoje nurodė savo sąskaitą</w:t>
            </w:r>
            <w:r w:rsidR="00BA5B11" w:rsidRPr="00647ECF">
              <w:rPr>
                <w:rFonts w:ascii="Times New Roman" w:hAnsi="Times New Roman" w:cs="Times New Roman"/>
                <w:color w:val="000000"/>
              </w:rPr>
              <w:t>, todėl skirtų subsidijų pervedimo problemos nebūtų išspręstos.</w:t>
            </w:r>
          </w:p>
          <w:p w14:paraId="2A251522" w14:textId="77777777" w:rsidR="008F4490" w:rsidRPr="00647ECF" w:rsidRDefault="008F4490" w:rsidP="008F4490">
            <w:pPr>
              <w:suppressAutoHyphens/>
              <w:jc w:val="both"/>
              <w:textAlignment w:val="center"/>
              <w:rPr>
                <w:rFonts w:ascii="Times New Roman" w:hAnsi="Times New Roman" w:cs="Times New Roman"/>
                <w:b/>
              </w:rPr>
            </w:pPr>
          </w:p>
        </w:tc>
      </w:tr>
      <w:tr w:rsidR="001822DD" w:rsidRPr="00647ECF" w14:paraId="31EF2F9D" w14:textId="77777777" w:rsidTr="00771467">
        <w:tc>
          <w:tcPr>
            <w:tcW w:w="675" w:type="dxa"/>
          </w:tcPr>
          <w:p w14:paraId="3C62F923" w14:textId="77777777" w:rsidR="001822DD" w:rsidRPr="00647ECF" w:rsidRDefault="00A00A7C" w:rsidP="00887BB3">
            <w:pPr>
              <w:pStyle w:val="ListParagraph"/>
              <w:tabs>
                <w:tab w:val="left" w:pos="284"/>
              </w:tabs>
              <w:ind w:left="0"/>
              <w:rPr>
                <w:rFonts w:ascii="Times New Roman" w:hAnsi="Times New Roman" w:cs="Times New Roman"/>
              </w:rPr>
            </w:pPr>
            <w:r w:rsidRPr="00647ECF">
              <w:rPr>
                <w:rFonts w:ascii="Times New Roman" w:hAnsi="Times New Roman" w:cs="Times New Roman"/>
              </w:rPr>
              <w:t>2.</w:t>
            </w:r>
          </w:p>
        </w:tc>
        <w:tc>
          <w:tcPr>
            <w:tcW w:w="7400" w:type="dxa"/>
            <w:gridSpan w:val="2"/>
            <w:tcBorders>
              <w:bottom w:val="single" w:sz="4" w:space="0" w:color="auto"/>
            </w:tcBorders>
          </w:tcPr>
          <w:p w14:paraId="3BFC94BF" w14:textId="77777777" w:rsidR="00BA5B11" w:rsidRPr="00647ECF" w:rsidRDefault="00BA5B11" w:rsidP="00BA5B11">
            <w:pPr>
              <w:jc w:val="both"/>
              <w:rPr>
                <w:rFonts w:ascii="Times New Roman" w:hAnsi="Times New Roman" w:cs="Times New Roman"/>
                <w:b/>
              </w:rPr>
            </w:pPr>
            <w:r w:rsidRPr="00647ECF">
              <w:rPr>
                <w:rFonts w:ascii="Times New Roman" w:hAnsi="Times New Roman" w:cs="Times New Roman"/>
                <w:b/>
              </w:rPr>
              <w:t>Dėl Aprašo 14.1 papunkčio, 35 ir 49 punktų pakeitimo.</w:t>
            </w:r>
          </w:p>
          <w:p w14:paraId="63E345D7" w14:textId="77777777" w:rsidR="00BA5B11" w:rsidRPr="00647ECF" w:rsidRDefault="00BA5B11" w:rsidP="00BA5B11">
            <w:pPr>
              <w:shd w:val="clear" w:color="auto" w:fill="FFFFFF"/>
              <w:jc w:val="both"/>
              <w:rPr>
                <w:rFonts w:ascii="Times New Roman" w:hAnsi="Times New Roman" w:cs="Times New Roman"/>
                <w:color w:val="212121"/>
              </w:rPr>
            </w:pPr>
            <w:r w:rsidRPr="00647ECF">
              <w:rPr>
                <w:rFonts w:ascii="Times New Roman" w:hAnsi="Times New Roman" w:cs="Times New Roman"/>
                <w:color w:val="212121"/>
              </w:rPr>
              <w:t xml:space="preserve">VMI prie FM pastebėjimais, vien apyvartos kritimas ir vienos vykdomos veiklos ribojimas, negali būti visais atvejais siejamas su koronaviruso (COVID-19) plitimo sukeltomis neigiamomis pasekmėmis, nes apyvarta mažėti gali ir dėl kitų priežasčių (pvz., įmonės veikla nuosekliai pradėjo „trauktis“, apyvartos mažėti anksčiau, nei prasidėjo pandemija, dėl padidėjusios pasiūlos ar rinkos pokyčių, </w:t>
            </w:r>
            <w:r w:rsidRPr="00647ECF">
              <w:rPr>
                <w:rFonts w:ascii="Times New Roman" w:hAnsi="Times New Roman" w:cs="Times New Roman"/>
                <w:color w:val="212121"/>
              </w:rPr>
              <w:lastRenderedPageBreak/>
              <w:t>tam tikrame vertinamajame laikotarpyje aktualus  sezoniškumo faktorius, vyksta ekonominių - rinkos priežasčių sąlygoti vykdomos veiklos pokyčiai - verslo perleidimas, atskirų veiklų vykdymo nutraukimas, turto pardavimas ir pan. ). Todėl, remiantis Lietuvos Respublikos Vyriausybės 2020 m. lapkričio 4 d. nutarimo Nr. 1226 „Dėl karantino Lietuvos Respublikos teritorijoje paskelbimo“ 6 punktu, pagrindinis tikslas turėtų būti neapsiriboti vien formaliu apyvartos kritimo vertinimu, bet nustatyti:</w:t>
            </w:r>
          </w:p>
          <w:p w14:paraId="20FB3CDF" w14:textId="77777777" w:rsidR="00BA5B11" w:rsidRPr="00647ECF" w:rsidRDefault="00BA5B11" w:rsidP="00BA5B11">
            <w:pPr>
              <w:shd w:val="clear" w:color="auto" w:fill="FFFFFF"/>
              <w:jc w:val="both"/>
              <w:rPr>
                <w:rFonts w:ascii="Times New Roman" w:hAnsi="Times New Roman" w:cs="Times New Roman"/>
                <w:color w:val="212121"/>
              </w:rPr>
            </w:pPr>
            <w:r w:rsidRPr="00647ECF">
              <w:rPr>
                <w:rFonts w:ascii="Times New Roman" w:hAnsi="Times New Roman" w:cs="Times New Roman"/>
                <w:color w:val="212121"/>
              </w:rPr>
              <w:t xml:space="preserve">1. kad pareiškėjas yra patyręs neigiamą poveikį dėl COVID-19 pandemijos ir jai suvaldyti taikomų priemonių, įskaitant su karantino režimu siejamus draudimus / ribojimus veiklos vykdymui; </w:t>
            </w:r>
          </w:p>
          <w:p w14:paraId="615B02D6" w14:textId="77777777" w:rsidR="00BA5B11" w:rsidRPr="00647ECF" w:rsidRDefault="00BA5B11" w:rsidP="00BA5B11">
            <w:pPr>
              <w:shd w:val="clear" w:color="auto" w:fill="FFFFFF"/>
              <w:jc w:val="both"/>
              <w:rPr>
                <w:rFonts w:ascii="Times New Roman" w:hAnsi="Times New Roman" w:cs="Times New Roman"/>
                <w:color w:val="212121"/>
              </w:rPr>
            </w:pPr>
            <w:r w:rsidRPr="00647ECF">
              <w:rPr>
                <w:rFonts w:ascii="Times New Roman" w:hAnsi="Times New Roman" w:cs="Times New Roman"/>
                <w:color w:val="212121"/>
              </w:rPr>
              <w:t xml:space="preserve">2. kad pareiškėjo ūkinės – finansinės veiklos rodiklių pokyčiai yra nulemti COVID-19 pandemijos ir jai suvaldyti taikomų priemonių, o ne, galimai, kitų priežasčių; </w:t>
            </w:r>
          </w:p>
          <w:p w14:paraId="7B88C50C" w14:textId="77777777" w:rsidR="00BA5B11" w:rsidRPr="00647ECF" w:rsidRDefault="00BA5B11" w:rsidP="00D85199">
            <w:pPr>
              <w:shd w:val="clear" w:color="auto" w:fill="FFFFFF"/>
              <w:jc w:val="both"/>
              <w:rPr>
                <w:rFonts w:ascii="Times New Roman" w:hAnsi="Times New Roman" w:cs="Times New Roman"/>
                <w:color w:val="212121"/>
              </w:rPr>
            </w:pPr>
            <w:r w:rsidRPr="00647ECF">
              <w:rPr>
                <w:rFonts w:ascii="Times New Roman" w:hAnsi="Times New Roman" w:cs="Times New Roman"/>
                <w:color w:val="212121"/>
              </w:rPr>
              <w:t>3. kad pareiškėjas ne formaliai atitinka Apraše nurodytą apyvartos kritimo kriterijų.</w:t>
            </w:r>
          </w:p>
          <w:p w14:paraId="48FC607C" w14:textId="77777777" w:rsidR="00BA5B11" w:rsidRPr="00647ECF" w:rsidRDefault="00BA5B11" w:rsidP="00D85199">
            <w:pPr>
              <w:shd w:val="clear" w:color="auto" w:fill="FFFFFF"/>
              <w:jc w:val="both"/>
              <w:rPr>
                <w:rFonts w:ascii="Times New Roman" w:hAnsi="Times New Roman" w:cs="Times New Roman"/>
              </w:rPr>
            </w:pPr>
            <w:r w:rsidRPr="00647ECF">
              <w:rPr>
                <w:rFonts w:ascii="Times New Roman" w:hAnsi="Times New Roman" w:cs="Times New Roman"/>
              </w:rPr>
              <w:t xml:space="preserve">Siekiant įsitikinti,  kad pareiškėjas, siekiantis gauti negrąžinamą subsidiją pagal priemonę „Subsidijos nuo Covid-19 nukentėjusioms įmonėms“, atitinka Aprašo nustatytus reikalavimus,  gali būti atliekamas individualus vertinimas, prašant pareiškėjo  pateikti vertinimui papildomą informaciją / duomenis. Tačiau, kad VMI prie FM galėtų reikalauti papildomų dokumentų ir atliktų vertinimą, kad apyvarta sumažėjo dėl neigiamo COVID-19 poveikio, reikalinga tai numatyti Apraše. Atsižvelgiant į tai </w:t>
            </w:r>
            <w:r w:rsidRPr="00647ECF">
              <w:rPr>
                <w:rFonts w:ascii="Times New Roman" w:hAnsi="Times New Roman" w:cs="Times New Roman"/>
                <w:b/>
              </w:rPr>
              <w:t>siūlome papildyti Aprašo 14.1 papunktį, jį išdėstant taip</w:t>
            </w:r>
            <w:r w:rsidRPr="00647ECF">
              <w:rPr>
                <w:rFonts w:ascii="Times New Roman" w:hAnsi="Times New Roman" w:cs="Times New Roman"/>
              </w:rPr>
              <w:t>:</w:t>
            </w:r>
          </w:p>
          <w:p w14:paraId="150E4A18" w14:textId="77777777" w:rsidR="00BA5B11" w:rsidRPr="00647ECF" w:rsidRDefault="00BA5B11" w:rsidP="00D85199">
            <w:pPr>
              <w:shd w:val="clear" w:color="auto" w:fill="FFFFFF"/>
              <w:jc w:val="both"/>
              <w:rPr>
                <w:rFonts w:ascii="Times New Roman" w:hAnsi="Times New Roman" w:cs="Times New Roman"/>
              </w:rPr>
            </w:pPr>
            <w:r w:rsidRPr="00647ECF">
              <w:rPr>
                <w:rFonts w:ascii="Times New Roman" w:hAnsi="Times New Roman" w:cs="Times New Roman"/>
              </w:rPr>
              <w:t xml:space="preserve">,,14.1. Įmonės, kurių ūkinės veiklos vidutinė vieno mėnesio apyvarta Lietuvos Respublikos Vyriausybės 2020 m. lapkričio 4 d. nutarimo Nr. 1226 „Dėl karantino Lietuvos Respublikos teritorijoje paskelbimo“ (toliau – Nutarimas Nr. 1226) 6.1 papunktyje nustatytu laikotarpiu sumažėjo ne mažiau kaip 30 procentų </w:t>
            </w:r>
            <w:r w:rsidRPr="00647ECF">
              <w:rPr>
                <w:rFonts w:ascii="Times New Roman" w:hAnsi="Times New Roman" w:cs="Times New Roman"/>
                <w:b/>
              </w:rPr>
              <w:t>dėl neigiamo COVID-19 poveikio</w:t>
            </w:r>
            <w:r w:rsidRPr="00647ECF">
              <w:rPr>
                <w:rFonts w:ascii="Times New Roman" w:hAnsi="Times New Roman" w:cs="Times New Roman"/>
              </w:rPr>
              <w:t xml:space="preserve"> . </w:t>
            </w:r>
            <w:r w:rsidRPr="00647ECF">
              <w:rPr>
                <w:rFonts w:ascii="Times New Roman" w:hAnsi="Times New Roman" w:cs="Times New Roman"/>
                <w:b/>
              </w:rPr>
              <w:t>Apyvartos kritimo</w:t>
            </w:r>
            <w:r w:rsidRPr="00647ECF">
              <w:rPr>
                <w:rFonts w:ascii="Times New Roman" w:hAnsi="Times New Roman" w:cs="Times New Roman"/>
              </w:rPr>
              <w:t xml:space="preserve"> </w:t>
            </w:r>
            <w:r w:rsidRPr="00647ECF">
              <w:rPr>
                <w:rFonts w:ascii="Times New Roman" w:hAnsi="Times New Roman" w:cs="Times New Roman"/>
                <w:strike/>
              </w:rPr>
              <w:t xml:space="preserve">Ši </w:t>
            </w:r>
            <w:r w:rsidRPr="00647ECF">
              <w:rPr>
                <w:rFonts w:ascii="Times New Roman" w:hAnsi="Times New Roman" w:cs="Times New Roman"/>
              </w:rPr>
              <w:t xml:space="preserve">sąlyga nustatoma, remiantis VMI pateiktose mėnesinėse pridėtinės vertės mokesčio (toliau – PVM) deklaracijose (formose FR0600), patvirtintose Valstybinės mokesčių inspekcijos prie Lietuvos Respublikos finansų ministerijos viršininko įsakymu (toliau – mėnesinė PVM deklaracija (forma FR0600), deklaruotais duomenimis (informacija), o teikiantiems kitokias nei mėnesines PVM deklaracijas (formas FR0600) – remiantis duomenimis (informacija), kurie būtų nurodomi mėnesinėse PVM deklaracijose (formose FR0600), jeigu jos būtų teikiamos, arba neprivalantiems teikti PVM deklaracijų – remiantis bendromis Lietuvos </w:t>
            </w:r>
            <w:r w:rsidRPr="00647ECF">
              <w:rPr>
                <w:rFonts w:ascii="Times New Roman" w:hAnsi="Times New Roman" w:cs="Times New Roman"/>
              </w:rPr>
              <w:lastRenderedPageBreak/>
              <w:t>Respublikos pelno mokesčio įstatymo nuostatomis ir pareiškėjo teikiamoje subsidijų paraiškoje deklaruotais (patvirtintais) duomenimis (informacija).“</w:t>
            </w:r>
          </w:p>
          <w:p w14:paraId="603D3469" w14:textId="77777777" w:rsidR="00BA5B11" w:rsidRPr="00647ECF" w:rsidRDefault="00BA5B11" w:rsidP="00D85199">
            <w:pPr>
              <w:shd w:val="clear" w:color="auto" w:fill="FFFFFF"/>
              <w:jc w:val="both"/>
              <w:rPr>
                <w:rFonts w:ascii="Times New Roman" w:hAnsi="Times New Roman" w:cs="Times New Roman"/>
                <w:b/>
              </w:rPr>
            </w:pPr>
            <w:r w:rsidRPr="00647ECF">
              <w:rPr>
                <w:rFonts w:ascii="Times New Roman" w:hAnsi="Times New Roman" w:cs="Times New Roman"/>
                <w:b/>
              </w:rPr>
              <w:t>Atitinkamai Aprašo 35 punktą išdėstyti taip:</w:t>
            </w:r>
          </w:p>
          <w:p w14:paraId="27109B1B" w14:textId="77777777" w:rsidR="00BA5B11" w:rsidRPr="00647ECF" w:rsidRDefault="00BA5B11" w:rsidP="00D85199">
            <w:pPr>
              <w:shd w:val="clear" w:color="auto" w:fill="FFFFFF"/>
              <w:jc w:val="both"/>
              <w:rPr>
                <w:rFonts w:ascii="Times New Roman" w:hAnsi="Times New Roman" w:cs="Times New Roman"/>
                <w:b/>
              </w:rPr>
            </w:pPr>
            <w:r w:rsidRPr="00647ECF">
              <w:rPr>
                <w:rFonts w:ascii="Times New Roman" w:hAnsi="Times New Roman" w:cs="Times New Roman"/>
              </w:rPr>
              <w:t xml:space="preserve">„35. Taikydama subsidijų paraiškų pagrįstumo kontrolę, VMI turi teisę paprašyti </w:t>
            </w:r>
            <w:r w:rsidRPr="00647ECF">
              <w:rPr>
                <w:rFonts w:ascii="Times New Roman" w:hAnsi="Times New Roman" w:cs="Times New Roman"/>
                <w:strike/>
              </w:rPr>
              <w:t>mėnesinio laikotarpio PVM deklaracijų (formų FR0600) neteikiančio</w:t>
            </w:r>
            <w:r w:rsidRPr="00647ECF">
              <w:rPr>
                <w:rFonts w:ascii="Times New Roman" w:hAnsi="Times New Roman" w:cs="Times New Roman"/>
              </w:rPr>
              <w:t xml:space="preserve"> pareiškėjo ne vėliau kaip per 5 darbo dienas pateikti papildomus duomenis (informaciją), kurie pagrindžia subsidijų paraiškoje pateiktus duomenis (informaciją) </w:t>
            </w:r>
            <w:r w:rsidRPr="00647ECF">
              <w:rPr>
                <w:rFonts w:ascii="Times New Roman" w:hAnsi="Times New Roman" w:cs="Times New Roman"/>
                <w:b/>
              </w:rPr>
              <w:t>ir  neigiamą COVID-19 poveikį įmonės finansinei būklei bei apyvartos sumažėjimui.</w:t>
            </w:r>
            <w:r w:rsidRPr="00647ECF">
              <w:rPr>
                <w:rFonts w:ascii="Times New Roman" w:hAnsi="Times New Roman" w:cs="Times New Roman"/>
              </w:rPr>
              <w:t xml:space="preserve"> Gavusi šiuos duomenis (informaciją) ir juos pagrindžiančius dokumentus, </w:t>
            </w:r>
            <w:r w:rsidRPr="00647ECF">
              <w:rPr>
                <w:rFonts w:ascii="Times New Roman" w:hAnsi="Times New Roman" w:cs="Times New Roman"/>
                <w:b/>
              </w:rPr>
              <w:t xml:space="preserve">numatytus Aprašo 49 punkte, </w:t>
            </w:r>
            <w:r w:rsidRPr="00647ECF">
              <w:rPr>
                <w:rFonts w:ascii="Times New Roman" w:hAnsi="Times New Roman" w:cs="Times New Roman"/>
              </w:rPr>
              <w:t>VMI ne vėliau kaip per 5 darbo dienas įvertina, ar subsidijų paraišką pateikęs pareiškėjas atitinka Aprašo 14.1 papunktyje nustatytus reikalavimus, ir apskaičiuoja galimos skirti subsidijos dydį. Jeigu per nustatytą terminą pareiškėjas pagrindžiančių duomenų (informacijos) nepateikia, VMI subsidijų paraiškos netenkina ir apie tai ne vėliau kaip per 3 darbo dienas nuo pagrindžiantiems duomenims (informacijai) pateikti nustatyto termino pabaigos informuoja pareiškėją per „Mano VMI.</w:t>
            </w:r>
            <w:r w:rsidRPr="00647ECF">
              <w:rPr>
                <w:rFonts w:ascii="Times New Roman" w:hAnsi="Times New Roman" w:cs="Times New Roman"/>
                <w:b/>
              </w:rPr>
              <w:t xml:space="preserve"> Jeigu pareiškėjas pateikia nepakankamai pagrindžiančių duomenų (informacijos), VMI turi teisę paprašyti papildomų duomenų (informacijos). Tokiu atveju šiame punkte nurodyti terminai skaičiuojami nuo visų reikalingų dokumentų pateikimo dienos. “</w:t>
            </w:r>
          </w:p>
          <w:p w14:paraId="431B110F" w14:textId="77777777" w:rsidR="00BA5B11" w:rsidRPr="00647ECF" w:rsidRDefault="00BA5B11" w:rsidP="00D85199">
            <w:pPr>
              <w:shd w:val="clear" w:color="auto" w:fill="FFFFFF"/>
              <w:jc w:val="both"/>
              <w:rPr>
                <w:rFonts w:ascii="Times New Roman" w:hAnsi="Times New Roman" w:cs="Times New Roman"/>
                <w:b/>
              </w:rPr>
            </w:pPr>
            <w:r w:rsidRPr="00647ECF">
              <w:rPr>
                <w:rFonts w:ascii="Times New Roman" w:hAnsi="Times New Roman" w:cs="Times New Roman"/>
                <w:b/>
              </w:rPr>
              <w:t>Atitinkamai Aprašo 49 punktą išdėstyti taip:</w:t>
            </w:r>
          </w:p>
          <w:p w14:paraId="006A3369" w14:textId="77777777" w:rsidR="00BA5B11" w:rsidRPr="00647ECF" w:rsidRDefault="00BA5B11" w:rsidP="00D85199">
            <w:pPr>
              <w:shd w:val="clear" w:color="auto" w:fill="FFFFFF"/>
              <w:jc w:val="both"/>
              <w:rPr>
                <w:rFonts w:ascii="Times New Roman" w:hAnsi="Times New Roman" w:cs="Times New Roman"/>
                <w:b/>
              </w:rPr>
            </w:pPr>
            <w:r w:rsidRPr="00647ECF">
              <w:rPr>
                <w:rFonts w:ascii="Times New Roman" w:hAnsi="Times New Roman" w:cs="Times New Roman"/>
              </w:rPr>
              <w:t xml:space="preserve">„49. VMI ir LVPA iki 2021 m. gruodžio 1 d. atlieka atrankines pareiškėjų, kuriems skirtos subsidijos, patikras, siekdama įvertinti subsidijų paraiškoje pateiktos informacijos (duomenų), dokumentų tinkamumą </w:t>
            </w:r>
            <w:r w:rsidRPr="00647ECF">
              <w:rPr>
                <w:rFonts w:ascii="Times New Roman" w:hAnsi="Times New Roman" w:cs="Times New Roman"/>
                <w:b/>
              </w:rPr>
              <w:t>ir neigiamą COVID-19 poveikį įmonės finansinei būklei bei apyvartos sumažėjimui</w:t>
            </w:r>
            <w:r w:rsidRPr="00647ECF">
              <w:rPr>
                <w:rFonts w:ascii="Times New Roman" w:hAnsi="Times New Roman" w:cs="Times New Roman"/>
              </w:rPr>
              <w:t xml:space="preserve"> pagal valstybės registruose ir informacinėse sistemose esančius ar kitus subsidijų skyrimo ir panaudojimo teisėtumui nustatyti svarbius duomenis</w:t>
            </w:r>
            <w:r w:rsidRPr="00647ECF">
              <w:rPr>
                <w:rFonts w:ascii="Times New Roman" w:hAnsi="Times New Roman" w:cs="Times New Roman"/>
                <w:b/>
              </w:rPr>
              <w:t>, taip pat pareikalaujant pareiškėjo pateikti papildomus dokumentus. Vertinama tokia informacija kaip pvz.,</w:t>
            </w:r>
            <w:r w:rsidRPr="00647ECF">
              <w:rPr>
                <w:rFonts w:ascii="Times New Roman" w:hAnsi="Times New Roman" w:cs="Times New Roman"/>
              </w:rPr>
              <w:t xml:space="preserve"> </w:t>
            </w:r>
            <w:r w:rsidRPr="00647ECF">
              <w:rPr>
                <w:rFonts w:ascii="Times New Roman" w:hAnsi="Times New Roman" w:cs="Times New Roman"/>
                <w:b/>
              </w:rPr>
              <w:t>gaunamų pajamų, išrašomų PVM sąskaitų faktūrų pokytis, kreditoriniai / debitoriniai atsiskaitymai, sutartys, užsakymai, veiklos vykdymo vietų apribojimai, klientų srautų pasikeitimai, darbuotojų prastovos, atleidimai ir kt.</w:t>
            </w:r>
          </w:p>
          <w:p w14:paraId="0542F726" w14:textId="77777777" w:rsidR="00BA5B11" w:rsidRPr="00647ECF" w:rsidRDefault="00BA5B11" w:rsidP="00D85199">
            <w:pPr>
              <w:shd w:val="clear" w:color="auto" w:fill="FFFFFF"/>
              <w:jc w:val="both"/>
              <w:rPr>
                <w:rFonts w:ascii="Times New Roman" w:hAnsi="Times New Roman" w:cs="Times New Roman"/>
              </w:rPr>
            </w:pPr>
            <w:r w:rsidRPr="00647ECF">
              <w:rPr>
                <w:rFonts w:ascii="Times New Roman" w:hAnsi="Times New Roman" w:cs="Times New Roman"/>
              </w:rPr>
              <w:t xml:space="preserve">Jei naujos aplinkybės ar informacija (duomenys), galėjusi ar galinti turėti įtakos subsidijų paraiškos vertinimui, subsidijos skyrimui ir panaudojimo teisėtumui, paaiškėja po 2021 m. gruodžio 1 d., VMI ir LVPA </w:t>
            </w:r>
            <w:r w:rsidRPr="00647ECF">
              <w:rPr>
                <w:rFonts w:ascii="Times New Roman" w:hAnsi="Times New Roman" w:cs="Times New Roman"/>
                <w:strike/>
              </w:rPr>
              <w:t>turi teisę</w:t>
            </w:r>
            <w:r w:rsidRPr="00647ECF">
              <w:rPr>
                <w:rFonts w:ascii="Times New Roman" w:hAnsi="Times New Roman" w:cs="Times New Roman"/>
              </w:rPr>
              <w:t xml:space="preserve"> pakartotinai patikrint</w:t>
            </w:r>
            <w:r w:rsidRPr="00647ECF">
              <w:rPr>
                <w:rFonts w:ascii="Times New Roman" w:hAnsi="Times New Roman" w:cs="Times New Roman"/>
                <w:b/>
              </w:rPr>
              <w:t>i</w:t>
            </w:r>
            <w:r w:rsidRPr="00647ECF">
              <w:rPr>
                <w:rFonts w:ascii="Times New Roman" w:hAnsi="Times New Roman" w:cs="Times New Roman"/>
                <w:strike/>
                <w:u w:val="single"/>
              </w:rPr>
              <w:t>a</w:t>
            </w:r>
            <w:r w:rsidRPr="00647ECF">
              <w:rPr>
                <w:rFonts w:ascii="Times New Roman" w:hAnsi="Times New Roman" w:cs="Times New Roman"/>
              </w:rPr>
              <w:t xml:space="preserve"> subsidijų paraiškoje pateiktos informacijos (duomenų) ir dokumentų tinkamumą.“</w:t>
            </w:r>
          </w:p>
          <w:p w14:paraId="75102287" w14:textId="77777777" w:rsidR="002B5FDD" w:rsidRPr="00647ECF" w:rsidRDefault="00BA5B11" w:rsidP="006550A9">
            <w:pPr>
              <w:pStyle w:val="ListParagraph"/>
              <w:tabs>
                <w:tab w:val="left" w:pos="317"/>
              </w:tabs>
              <w:ind w:left="33"/>
              <w:jc w:val="both"/>
              <w:rPr>
                <w:rFonts w:ascii="Times New Roman" w:hAnsi="Times New Roman" w:cs="Times New Roman"/>
              </w:rPr>
            </w:pPr>
            <w:r w:rsidRPr="00647ECF">
              <w:rPr>
                <w:rFonts w:ascii="Times New Roman" w:hAnsi="Times New Roman" w:cs="Times New Roman"/>
              </w:rPr>
              <w:lastRenderedPageBreak/>
              <w:t>Taip pat informuojame, kad nesutinkame su Jūsų pateiktu siūlymu Apraše nurodyti, kad papildomų dokumentų bus reikalaujama atsižvelgiant į paraiškos sumą. VMI prie FM turi tokio vertinimo patirtį, tačiau pažymi, kad nustatyti labai aiškius, tikslius, išgrynintus, baigtinius vertinimo kriterijus, nėra galimybės. VMI prie FM nuomone, atranka turi būti atliekama vadovaujantis rizikų valdymo principais (rizikos valdymo principų privalomas taikymas, vykdant ūkio subjektų priežiūrą, yra įtvirtintas Lietuvos Respublikos Vyriausybės 2010 m. gegužės 4 d. nutarimu Nr. 511 ,,Dėl institucijų atliekamų priežiūros funkcijų optimizavimo“), o kriterijų nenurodyti / neskelbti mokesčių administratoriui leidžia Viešojo administravimo įstatymas (1 str. 7 ir 8 dalys).</w:t>
            </w:r>
          </w:p>
        </w:tc>
        <w:tc>
          <w:tcPr>
            <w:tcW w:w="7059" w:type="dxa"/>
          </w:tcPr>
          <w:p w14:paraId="07098373" w14:textId="77777777" w:rsidR="00D85199" w:rsidRPr="00647ECF" w:rsidRDefault="00D85199" w:rsidP="00D85199">
            <w:pPr>
              <w:rPr>
                <w:rFonts w:ascii="Times New Roman" w:hAnsi="Times New Roman" w:cs="Times New Roman"/>
                <w:b/>
              </w:rPr>
            </w:pPr>
            <w:r w:rsidRPr="00647ECF">
              <w:rPr>
                <w:rFonts w:ascii="Times New Roman" w:hAnsi="Times New Roman" w:cs="Times New Roman"/>
                <w:b/>
              </w:rPr>
              <w:lastRenderedPageBreak/>
              <w:t xml:space="preserve">Atsižvelgta iš dalies. </w:t>
            </w:r>
          </w:p>
          <w:p w14:paraId="20210C37" w14:textId="1C88707E" w:rsidR="00142852" w:rsidRPr="00647ECF" w:rsidRDefault="00D85199" w:rsidP="00F70E42">
            <w:pPr>
              <w:autoSpaceDE w:val="0"/>
              <w:autoSpaceDN w:val="0"/>
              <w:adjustRightInd w:val="0"/>
              <w:jc w:val="both"/>
              <w:rPr>
                <w:rFonts w:ascii="Times New Roman" w:hAnsi="Times New Roman" w:cs="Times New Roman"/>
              </w:rPr>
            </w:pPr>
            <w:r w:rsidRPr="00647ECF">
              <w:rPr>
                <w:rFonts w:ascii="Times New Roman" w:hAnsi="Times New Roman" w:cs="Times New Roman"/>
              </w:rPr>
              <w:t xml:space="preserve">Sutinkama su VMI nuomone, kad </w:t>
            </w:r>
            <w:r w:rsidR="006F56C6" w:rsidRPr="00647ECF">
              <w:rPr>
                <w:rFonts w:ascii="Times New Roman" w:hAnsi="Times New Roman" w:cs="Times New Roman"/>
              </w:rPr>
              <w:t>apyvartos kritimas ir vienos vykdomos veiklos ribojimas visais atvejais negali būti siejamas su COVID-</w:t>
            </w:r>
            <w:r w:rsidR="004009B5" w:rsidRPr="00647ECF">
              <w:rPr>
                <w:rFonts w:ascii="Times New Roman" w:hAnsi="Times New Roman" w:cs="Times New Roman"/>
              </w:rPr>
              <w:t>19 suk</w:t>
            </w:r>
            <w:r w:rsidR="00984320" w:rsidRPr="00647ECF">
              <w:rPr>
                <w:rFonts w:ascii="Times New Roman" w:hAnsi="Times New Roman" w:cs="Times New Roman"/>
              </w:rPr>
              <w:t xml:space="preserve">eltomis neigiamomis pasekmėmis, todėl pritariame, kad VMI turėtų įvertinti, ar tikrai pareiškėjo apyvarta krito būtent dėl priežasčių, susijusių su pandemija ir valstybės taikomų jos suvaldymo priemonių. Pažymime, kad Aprašo 14 </w:t>
            </w:r>
            <w:r w:rsidR="00984320" w:rsidRPr="00647ECF">
              <w:rPr>
                <w:rFonts w:ascii="Times New Roman" w:hAnsi="Times New Roman" w:cs="Times New Roman"/>
              </w:rPr>
              <w:lastRenderedPageBreak/>
              <w:t xml:space="preserve">punkto papunkčiuose yra nustatytos ne tik pareiškėjų tinkamumo sąlygos, bet pačiame </w:t>
            </w:r>
            <w:r w:rsidR="00984320" w:rsidRPr="00647ECF">
              <w:rPr>
                <w:rFonts w:ascii="Times New Roman" w:hAnsi="Times New Roman" w:cs="Times New Roman"/>
                <w:b/>
              </w:rPr>
              <w:t>14 punkte nustatyta</w:t>
            </w:r>
            <w:r w:rsidR="00984320" w:rsidRPr="00647ECF">
              <w:rPr>
                <w:rFonts w:ascii="Times New Roman" w:hAnsi="Times New Roman" w:cs="Times New Roman"/>
              </w:rPr>
              <w:t>, kad „</w:t>
            </w:r>
            <w:r w:rsidR="00A471ED" w:rsidRPr="00647ECF">
              <w:rPr>
                <w:rFonts w:ascii="Times New Roman" w:hAnsi="Times New Roman" w:cs="Times New Roman"/>
                <w:b/>
              </w:rPr>
              <w:t>Pagal Aprašą galimi pareiškėjai yra nuo COVID-19 nukentėjusios įmonės</w:t>
            </w:r>
            <w:r w:rsidR="00A471ED" w:rsidRPr="00647ECF">
              <w:rPr>
                <w:rFonts w:ascii="Times New Roman" w:hAnsi="Times New Roman" w:cs="Times New Roman"/>
              </w:rPr>
              <w:t>, atitinkančios vieną iš šių sąlygų &lt;...&gt;“. Tai reiškia, kad įmonės</w:t>
            </w:r>
            <w:r w:rsidR="002D1CAE" w:rsidRPr="00647ECF">
              <w:rPr>
                <w:rFonts w:ascii="Times New Roman" w:hAnsi="Times New Roman" w:cs="Times New Roman"/>
              </w:rPr>
              <w:t>, kurio</w:t>
            </w:r>
            <w:r w:rsidR="007866CE" w:rsidRPr="00647ECF">
              <w:rPr>
                <w:rFonts w:ascii="Times New Roman" w:hAnsi="Times New Roman" w:cs="Times New Roman"/>
              </w:rPr>
              <w:t>m</w:t>
            </w:r>
            <w:r w:rsidR="002D1CAE" w:rsidRPr="00647ECF">
              <w:rPr>
                <w:rFonts w:ascii="Times New Roman" w:hAnsi="Times New Roman" w:cs="Times New Roman"/>
              </w:rPr>
              <w:t>s skiriama subsidija, privalo</w:t>
            </w:r>
            <w:r w:rsidR="00A471ED" w:rsidRPr="00647ECF">
              <w:rPr>
                <w:rFonts w:ascii="Times New Roman" w:hAnsi="Times New Roman" w:cs="Times New Roman"/>
              </w:rPr>
              <w:t xml:space="preserve"> būti nukentėjusios nuo COVID-19</w:t>
            </w:r>
            <w:r w:rsidR="002D1CAE" w:rsidRPr="00647ECF">
              <w:rPr>
                <w:rFonts w:ascii="Times New Roman" w:hAnsi="Times New Roman" w:cs="Times New Roman"/>
              </w:rPr>
              <w:t xml:space="preserve">, tai yra kaip ir nustatyta  </w:t>
            </w:r>
            <w:r w:rsidR="007866CE" w:rsidRPr="00647ECF">
              <w:rPr>
                <w:rFonts w:ascii="Times New Roman" w:hAnsi="Times New Roman" w:cs="Times New Roman"/>
              </w:rPr>
              <w:t xml:space="preserve">Lietuvos Respublikos Vyriausybės 2020 m. lapkričio 4 d. nutarimo Nr. 1226 „Dėl karantino Lietuvos Respublikos teritorijoje paskelbimo“ </w:t>
            </w:r>
            <w:r w:rsidR="002D7F95" w:rsidRPr="00647ECF">
              <w:rPr>
                <w:rFonts w:ascii="Times New Roman" w:hAnsi="Times New Roman" w:cs="Times New Roman"/>
              </w:rPr>
              <w:t xml:space="preserve">6 punkte, kad paramos priemonės </w:t>
            </w:r>
            <w:r w:rsidR="0068556D" w:rsidRPr="00647ECF">
              <w:rPr>
                <w:rFonts w:ascii="Times New Roman" w:hAnsi="Times New Roman" w:cs="Times New Roman"/>
              </w:rPr>
              <w:t xml:space="preserve">gali būti taikomos </w:t>
            </w:r>
            <w:r w:rsidR="002D7F95" w:rsidRPr="00647ECF">
              <w:rPr>
                <w:rFonts w:ascii="Times New Roman" w:hAnsi="Times New Roman" w:cs="Times New Roman"/>
              </w:rPr>
              <w:t>„&lt;...&gt;dėl karantino metu ribojamų ūkinių veiklų tiesiogiai ir netiesiogiai nukentėjusiems ūkinių veiklų vykdytojams</w:t>
            </w:r>
            <w:r w:rsidR="0068556D" w:rsidRPr="00647ECF">
              <w:rPr>
                <w:rFonts w:ascii="Times New Roman" w:hAnsi="Times New Roman" w:cs="Times New Roman"/>
              </w:rPr>
              <w:t xml:space="preserve"> &lt;...&gt;“. Atsižvelgi</w:t>
            </w:r>
            <w:r w:rsidR="00F70E42" w:rsidRPr="00647ECF">
              <w:rPr>
                <w:rFonts w:ascii="Times New Roman" w:hAnsi="Times New Roman" w:cs="Times New Roman"/>
              </w:rPr>
              <w:t>a</w:t>
            </w:r>
            <w:r w:rsidR="0068556D" w:rsidRPr="00647ECF">
              <w:rPr>
                <w:rFonts w:ascii="Times New Roman" w:hAnsi="Times New Roman" w:cs="Times New Roman"/>
              </w:rPr>
              <w:t>nt į tai,</w:t>
            </w:r>
            <w:r w:rsidR="00142852">
              <w:rPr>
                <w:rFonts w:ascii="Times New Roman" w:hAnsi="Times New Roman" w:cs="Times New Roman"/>
              </w:rPr>
              <w:t xml:space="preserve"> Aprašo </w:t>
            </w:r>
            <w:r w:rsidR="00142852">
              <w:rPr>
                <w:rFonts w:ascii="Times New Roman" w:hAnsi="Times New Roman" w:cs="Times New Roman"/>
                <w:lang w:val="en-US"/>
              </w:rPr>
              <w:t>14.1 papunkt</w:t>
            </w:r>
            <w:r w:rsidR="00142852">
              <w:rPr>
                <w:rFonts w:ascii="Times New Roman" w:hAnsi="Times New Roman" w:cs="Times New Roman"/>
              </w:rPr>
              <w:t>į papildėme taip: „</w:t>
            </w:r>
            <w:r w:rsidR="00142852" w:rsidRPr="00142852">
              <w:rPr>
                <w:rFonts w:ascii="Times New Roman" w:hAnsi="Times New Roman" w:cs="Times New Roman"/>
                <w:b/>
              </w:rPr>
              <w:t>Jeigu nustatoma, kad apyvarta šiame papunktyje nustatytu laikotarpiu krito ne dėl su COVID-19 susijusių priežasčių, laikoma, kad pareiškėjas neatitinka šios sąlygos ir jam subsidija negali būti skiriama</w:t>
            </w:r>
            <w:r w:rsidR="00142852" w:rsidRPr="00142852">
              <w:rPr>
                <w:rFonts w:ascii="Times New Roman" w:hAnsi="Times New Roman" w:cs="Times New Roman"/>
              </w:rPr>
              <w:t>.</w:t>
            </w:r>
            <w:r w:rsidR="00142852">
              <w:rPr>
                <w:rFonts w:ascii="Times New Roman" w:hAnsi="Times New Roman" w:cs="Times New Roman"/>
              </w:rPr>
              <w:t>“</w:t>
            </w:r>
          </w:p>
          <w:p w14:paraId="2F5480A6" w14:textId="77777777" w:rsidR="008F4490" w:rsidRPr="00647ECF" w:rsidRDefault="00F70E42" w:rsidP="009550EB">
            <w:pPr>
              <w:autoSpaceDE w:val="0"/>
              <w:autoSpaceDN w:val="0"/>
              <w:adjustRightInd w:val="0"/>
              <w:jc w:val="both"/>
              <w:rPr>
                <w:rFonts w:ascii="Times New Roman" w:hAnsi="Times New Roman" w:cs="Times New Roman"/>
              </w:rPr>
            </w:pPr>
            <w:r w:rsidRPr="00647ECF">
              <w:rPr>
                <w:rFonts w:ascii="Times New Roman" w:hAnsi="Times New Roman" w:cs="Times New Roman"/>
              </w:rPr>
              <w:t>Aprašo 35</w:t>
            </w:r>
            <w:r w:rsidR="008F4490" w:rsidRPr="00647ECF">
              <w:rPr>
                <w:rFonts w:ascii="Times New Roman" w:hAnsi="Times New Roman" w:cs="Times New Roman"/>
              </w:rPr>
              <w:t xml:space="preserve"> punktas papildytas pagal VMI siūlymą, išskyrus pasiūlymą nustatyti, kad jeigu pareiškėjas pateikia nepakankamai </w:t>
            </w:r>
            <w:r w:rsidR="00D93B3F" w:rsidRPr="00647ECF">
              <w:rPr>
                <w:rFonts w:ascii="Times New Roman" w:hAnsi="Times New Roman" w:cs="Times New Roman"/>
              </w:rPr>
              <w:t xml:space="preserve">pagrindžiančių duomenų (informacijos), VMI turi teisę paprašyti papildomų duomenų (informacijos). Ministerijos nuomone, pirmą kartą pareiškėjo prašant pateikti papildomus duomenis (informaciją), turi būti aiškiai nurodyta, kokių duomenų (informacijos) prašoma, kad pareiškėjas vienu kartu visą prašomą informaciją galėtų pateikti. Atsižvelgiant į </w:t>
            </w:r>
            <w:r w:rsidR="00300ECE" w:rsidRPr="00647ECF">
              <w:rPr>
                <w:rFonts w:ascii="Times New Roman" w:hAnsi="Times New Roman" w:cs="Times New Roman"/>
              </w:rPr>
              <w:t>Priemonės apimtį, potencialių pareiškėjų skaičių, taip pat į tai, kad Priemonę siekiama įgyvendinti kaip galima skubiau, pareiškėjas turėtų būti pats suinteresuotas pateikti visus prašomus dokumentus ir neturėtų būti prašoma pakartotinai</w:t>
            </w:r>
            <w:r w:rsidR="009550EB" w:rsidRPr="00647ECF">
              <w:rPr>
                <w:rFonts w:ascii="Times New Roman" w:hAnsi="Times New Roman" w:cs="Times New Roman"/>
              </w:rPr>
              <w:t xml:space="preserve"> pateikti informaciją</w:t>
            </w:r>
            <w:r w:rsidR="00300ECE" w:rsidRPr="00647ECF">
              <w:rPr>
                <w:rFonts w:ascii="Times New Roman" w:hAnsi="Times New Roman" w:cs="Times New Roman"/>
              </w:rPr>
              <w:t xml:space="preserve">, kurios pareiškėjas </w:t>
            </w:r>
            <w:r w:rsidR="009550EB" w:rsidRPr="00647ECF">
              <w:rPr>
                <w:rFonts w:ascii="Times New Roman" w:hAnsi="Times New Roman" w:cs="Times New Roman"/>
              </w:rPr>
              <w:t xml:space="preserve">prašomas </w:t>
            </w:r>
            <w:r w:rsidR="00300ECE" w:rsidRPr="00647ECF">
              <w:rPr>
                <w:rFonts w:ascii="Times New Roman" w:hAnsi="Times New Roman" w:cs="Times New Roman"/>
              </w:rPr>
              <w:t>ne</w:t>
            </w:r>
            <w:r w:rsidR="009550EB" w:rsidRPr="00647ECF">
              <w:rPr>
                <w:rFonts w:ascii="Times New Roman" w:hAnsi="Times New Roman" w:cs="Times New Roman"/>
              </w:rPr>
              <w:t>pateikė</w:t>
            </w:r>
            <w:r w:rsidR="00300ECE" w:rsidRPr="00647ECF">
              <w:rPr>
                <w:rFonts w:ascii="Times New Roman" w:hAnsi="Times New Roman" w:cs="Times New Roman"/>
              </w:rPr>
              <w:t xml:space="preserve"> pirmą kartą</w:t>
            </w:r>
            <w:r w:rsidR="009550EB" w:rsidRPr="00647ECF">
              <w:rPr>
                <w:rFonts w:ascii="Times New Roman" w:hAnsi="Times New Roman" w:cs="Times New Roman"/>
              </w:rPr>
              <w:t>.</w:t>
            </w:r>
            <w:r w:rsidR="00300ECE" w:rsidRPr="00647ECF">
              <w:rPr>
                <w:rFonts w:ascii="Times New Roman" w:hAnsi="Times New Roman" w:cs="Times New Roman"/>
              </w:rPr>
              <w:t xml:space="preserve"> </w:t>
            </w:r>
          </w:p>
          <w:p w14:paraId="57D831C0" w14:textId="77777777" w:rsidR="00F70E42" w:rsidRPr="00647ECF" w:rsidRDefault="009550EB" w:rsidP="00F70E42">
            <w:pPr>
              <w:autoSpaceDE w:val="0"/>
              <w:autoSpaceDN w:val="0"/>
              <w:adjustRightInd w:val="0"/>
              <w:jc w:val="both"/>
              <w:rPr>
                <w:rFonts w:ascii="Times New Roman" w:hAnsi="Times New Roman" w:cs="Times New Roman"/>
              </w:rPr>
            </w:pPr>
            <w:r w:rsidRPr="00647ECF">
              <w:rPr>
                <w:rFonts w:ascii="Times New Roman" w:hAnsi="Times New Roman" w:cs="Times New Roman"/>
              </w:rPr>
              <w:t>Aprašo 49 punktas papildytas</w:t>
            </w:r>
            <w:r w:rsidR="00F70E42" w:rsidRPr="00647ECF">
              <w:rPr>
                <w:rFonts w:ascii="Times New Roman" w:hAnsi="Times New Roman" w:cs="Times New Roman"/>
              </w:rPr>
              <w:t xml:space="preserve"> pagal VMI siūlymą.</w:t>
            </w:r>
          </w:p>
          <w:p w14:paraId="1BF97D9A" w14:textId="77777777" w:rsidR="008F4490" w:rsidRPr="00647ECF" w:rsidRDefault="00E43070" w:rsidP="008F4490">
            <w:pPr>
              <w:autoSpaceDE w:val="0"/>
              <w:autoSpaceDN w:val="0"/>
              <w:adjustRightInd w:val="0"/>
              <w:jc w:val="both"/>
              <w:rPr>
                <w:rFonts w:ascii="Times New Roman" w:hAnsi="Times New Roman" w:cs="Times New Roman"/>
              </w:rPr>
            </w:pPr>
            <w:r w:rsidRPr="00647ECF">
              <w:rPr>
                <w:rFonts w:ascii="Times New Roman" w:hAnsi="Times New Roman" w:cs="Times New Roman"/>
              </w:rPr>
              <w:t xml:space="preserve">Atkreipiame dėmesį, kad ministerijos 2021 m. vasario 5 d. raštu Nr. (4.5-82)-560 pateiktame derinti Nutarimo projekte </w:t>
            </w:r>
            <w:r w:rsidR="008F4490" w:rsidRPr="00647ECF">
              <w:rPr>
                <w:rFonts w:ascii="Times New Roman" w:hAnsi="Times New Roman" w:cs="Times New Roman"/>
              </w:rPr>
              <w:t>nėra siūloma nustatyti, kad papildomų dokumentų bus reikalaujama atsižvelgiant į paraiškos sumą.</w:t>
            </w:r>
          </w:p>
          <w:p w14:paraId="4D54312B" w14:textId="77777777" w:rsidR="00E43070" w:rsidRPr="00647ECF" w:rsidRDefault="00E43070" w:rsidP="00F70E42">
            <w:pPr>
              <w:autoSpaceDE w:val="0"/>
              <w:autoSpaceDN w:val="0"/>
              <w:adjustRightInd w:val="0"/>
              <w:jc w:val="both"/>
              <w:rPr>
                <w:rFonts w:ascii="Times New Roman" w:hAnsi="Times New Roman" w:cs="Times New Roman"/>
              </w:rPr>
            </w:pPr>
          </w:p>
        </w:tc>
      </w:tr>
      <w:tr w:rsidR="001822DD" w:rsidRPr="00647ECF" w14:paraId="337A800E" w14:textId="77777777" w:rsidTr="00771467">
        <w:tc>
          <w:tcPr>
            <w:tcW w:w="675" w:type="dxa"/>
          </w:tcPr>
          <w:p w14:paraId="40027094" w14:textId="77777777" w:rsidR="001822DD" w:rsidRPr="00647ECF" w:rsidRDefault="00A00A7C" w:rsidP="0002116D">
            <w:pPr>
              <w:jc w:val="center"/>
              <w:rPr>
                <w:rFonts w:ascii="Times New Roman" w:hAnsi="Times New Roman" w:cs="Times New Roman"/>
              </w:rPr>
            </w:pPr>
            <w:r w:rsidRPr="00647ECF">
              <w:rPr>
                <w:rFonts w:ascii="Times New Roman" w:hAnsi="Times New Roman" w:cs="Times New Roman"/>
              </w:rPr>
              <w:lastRenderedPageBreak/>
              <w:t>3.</w:t>
            </w:r>
          </w:p>
        </w:tc>
        <w:tc>
          <w:tcPr>
            <w:tcW w:w="7400" w:type="dxa"/>
            <w:gridSpan w:val="2"/>
          </w:tcPr>
          <w:p w14:paraId="38A5AFBD" w14:textId="77777777" w:rsidR="009550EB" w:rsidRPr="00647ECF" w:rsidRDefault="009550EB" w:rsidP="009550EB">
            <w:pPr>
              <w:shd w:val="clear" w:color="auto" w:fill="FFFFFF"/>
              <w:jc w:val="both"/>
              <w:rPr>
                <w:rFonts w:ascii="Times New Roman" w:hAnsi="Times New Roman" w:cs="Times New Roman"/>
                <w:b/>
              </w:rPr>
            </w:pPr>
            <w:r w:rsidRPr="00647ECF">
              <w:rPr>
                <w:rFonts w:ascii="Times New Roman" w:hAnsi="Times New Roman" w:cs="Times New Roman"/>
                <w:b/>
              </w:rPr>
              <w:t>Dėl Aprašo 14.2 papunkčio.</w:t>
            </w:r>
          </w:p>
          <w:p w14:paraId="4753B48F" w14:textId="77777777" w:rsidR="009550EB" w:rsidRPr="00647ECF" w:rsidRDefault="009550EB" w:rsidP="00572F9E">
            <w:pPr>
              <w:shd w:val="clear" w:color="auto" w:fill="FFFFFF"/>
              <w:jc w:val="both"/>
              <w:rPr>
                <w:rFonts w:ascii="Times New Roman" w:hAnsi="Times New Roman" w:cs="Times New Roman"/>
              </w:rPr>
            </w:pPr>
            <w:r w:rsidRPr="00647ECF">
              <w:rPr>
                <w:rFonts w:ascii="Times New Roman" w:hAnsi="Times New Roman" w:cs="Times New Roman"/>
              </w:rPr>
              <w:t>Siūlome papildyti antrą pastraipą numatant, kokiose deklaracijas yra tikrinamas pajamų negavimas (taip, kaip tai yra numatyta 14.1 papunktyje):</w:t>
            </w:r>
          </w:p>
          <w:p w14:paraId="7142B60D" w14:textId="77777777" w:rsidR="009550EB" w:rsidRPr="00647ECF" w:rsidRDefault="009550EB" w:rsidP="00572F9E">
            <w:pPr>
              <w:shd w:val="clear" w:color="auto" w:fill="FFFFFF"/>
              <w:jc w:val="both"/>
              <w:rPr>
                <w:rFonts w:ascii="Times New Roman" w:hAnsi="Times New Roman" w:cs="Times New Roman"/>
              </w:rPr>
            </w:pPr>
            <w:r w:rsidRPr="00647ECF">
              <w:rPr>
                <w:rFonts w:ascii="Times New Roman" w:hAnsi="Times New Roman" w:cs="Times New Roman"/>
              </w:rPr>
              <w:t>,,14.2. Nuo 2019 m. lapkričio 1 d. iki 2020 m. lapkričio 30 d. įsteigtos, tačiau Nutarimo Nr. 1226 6.1 papunktyje nustatytu laikotarpiu pajamų negavusios įmonės, kurių vykdoma pagrindinė ūkinė veikla yra įtraukta į Lietuvos Respublikos ekonomikos ir inovacijų ministro ir Lietuvos Respublikos socialinės apsaugos ir darbo ministro įsakymu patvirtintą sąrašą, į kurį įtraukiamos Nutarimu Nr. 1226 ribojamos ūkinės veiklos, taip pat tos veiklos, kurios yra ribojamos netiesiogiai ir kurių įtraukimui į sąrašą yra pritarusi Vyriausybė.</w:t>
            </w:r>
          </w:p>
          <w:p w14:paraId="274F0457" w14:textId="77777777" w:rsidR="001E0481" w:rsidRPr="00647ECF" w:rsidRDefault="009550EB" w:rsidP="009550EB">
            <w:pPr>
              <w:tabs>
                <w:tab w:val="left" w:pos="600"/>
              </w:tabs>
              <w:jc w:val="both"/>
              <w:rPr>
                <w:rFonts w:ascii="Times New Roman" w:hAnsi="Times New Roman" w:cs="Times New Roman"/>
                <w:b/>
              </w:rPr>
            </w:pPr>
            <w:r w:rsidRPr="00647ECF">
              <w:rPr>
                <w:rFonts w:ascii="Times New Roman" w:hAnsi="Times New Roman" w:cs="Times New Roman"/>
                <w:b/>
              </w:rPr>
              <w:t>Nurodytos įmonės, registruotos PVM mokėtojomis nuo 2019 m. lapkričio 1 d. iki 2020 m. sausio 31 d., privalo būti pateikusios visas mokestinio laikotarpio PVM deklaracijas (formas FR0600), patvirtintas Valstybinės mokesčių inspekcijos prie Lietuvos Respublikos finansų ministerijos viršininko įsakymu, kurių pateikimo terminas yra suėjęs, o įmonės, kurios yra įsteigtos nuo 2019 m. lapkričio 1 d. iki 2019 m. gruodžio 31 d., ir nėra PVM mokėtojos, turi būti pateikusios Pelno mokesčio deklaracijas už 2019 m.‘‘</w:t>
            </w:r>
          </w:p>
        </w:tc>
        <w:tc>
          <w:tcPr>
            <w:tcW w:w="7059" w:type="dxa"/>
          </w:tcPr>
          <w:p w14:paraId="1D663B93" w14:textId="77777777" w:rsidR="00D04563" w:rsidRPr="00647ECF" w:rsidRDefault="00572F9E" w:rsidP="00572F9E">
            <w:pPr>
              <w:tabs>
                <w:tab w:val="left" w:pos="993"/>
              </w:tabs>
              <w:jc w:val="both"/>
              <w:rPr>
                <w:rFonts w:ascii="Times New Roman" w:hAnsi="Times New Roman" w:cs="Times New Roman"/>
                <w:b/>
              </w:rPr>
            </w:pPr>
            <w:r w:rsidRPr="00647ECF">
              <w:rPr>
                <w:rFonts w:ascii="Times New Roman" w:hAnsi="Times New Roman" w:cs="Times New Roman"/>
                <w:b/>
              </w:rPr>
              <w:t>Neatsižvelgta.</w:t>
            </w:r>
          </w:p>
          <w:p w14:paraId="76083231" w14:textId="77777777" w:rsidR="00572F9E" w:rsidRPr="00647ECF" w:rsidRDefault="00572F9E" w:rsidP="00572F9E">
            <w:pPr>
              <w:tabs>
                <w:tab w:val="left" w:pos="993"/>
              </w:tabs>
              <w:jc w:val="both"/>
              <w:rPr>
                <w:rFonts w:ascii="Times New Roman" w:hAnsi="Times New Roman" w:cs="Times New Roman"/>
              </w:rPr>
            </w:pPr>
            <w:r w:rsidRPr="00647ECF">
              <w:rPr>
                <w:rFonts w:ascii="Times New Roman" w:hAnsi="Times New Roman" w:cs="Times New Roman"/>
              </w:rPr>
              <w:t xml:space="preserve">Atkreiptinas dėmesys, kad siūloma </w:t>
            </w:r>
            <w:r w:rsidRPr="00647ECF">
              <w:rPr>
                <w:rFonts w:ascii="Times New Roman" w:hAnsi="Times New Roman" w:cs="Times New Roman"/>
                <w:u w:val="single"/>
              </w:rPr>
              <w:t>nustatyti ne pagal kokius</w:t>
            </w:r>
            <w:r w:rsidRPr="00647ECF">
              <w:rPr>
                <w:rFonts w:ascii="Times New Roman" w:hAnsi="Times New Roman" w:cs="Times New Roman"/>
              </w:rPr>
              <w:t xml:space="preserve"> duomenis tikrinamas pajamų negavimas, o </w:t>
            </w:r>
            <w:r w:rsidRPr="00647ECF">
              <w:rPr>
                <w:rFonts w:ascii="Times New Roman" w:hAnsi="Times New Roman" w:cs="Times New Roman"/>
                <w:u w:val="single"/>
              </w:rPr>
              <w:t>prievolę pareiškėjui būti pateikus pridėtinės vertės mokesčio ir pelno mokesčio deklaracijas</w:t>
            </w:r>
            <w:r w:rsidRPr="00647ECF">
              <w:rPr>
                <w:rFonts w:ascii="Times New Roman" w:hAnsi="Times New Roman" w:cs="Times New Roman"/>
              </w:rPr>
              <w:t>. Atkreipiame dėmesį, kad mokesčių deklaracijų pateikimas yra nustatomas atitinkamas mokestines prievoles reglamentuojančiuose teisės aktuose ir nėra šio Aprašo dalykas.</w:t>
            </w:r>
          </w:p>
        </w:tc>
      </w:tr>
      <w:tr w:rsidR="003454EA" w:rsidRPr="00647ECF" w14:paraId="661856A4" w14:textId="77777777" w:rsidTr="00771467">
        <w:tc>
          <w:tcPr>
            <w:tcW w:w="675" w:type="dxa"/>
          </w:tcPr>
          <w:p w14:paraId="7D8F7578" w14:textId="77777777" w:rsidR="003454EA" w:rsidRPr="00647ECF" w:rsidRDefault="003454EA" w:rsidP="0002116D">
            <w:pPr>
              <w:jc w:val="center"/>
              <w:rPr>
                <w:rFonts w:ascii="Times New Roman" w:hAnsi="Times New Roman" w:cs="Times New Roman"/>
              </w:rPr>
            </w:pPr>
            <w:r w:rsidRPr="00647ECF">
              <w:rPr>
                <w:rFonts w:ascii="Times New Roman" w:hAnsi="Times New Roman" w:cs="Times New Roman"/>
              </w:rPr>
              <w:t xml:space="preserve">4. </w:t>
            </w:r>
          </w:p>
        </w:tc>
        <w:tc>
          <w:tcPr>
            <w:tcW w:w="7400" w:type="dxa"/>
            <w:gridSpan w:val="2"/>
          </w:tcPr>
          <w:p w14:paraId="039A7B60" w14:textId="77777777" w:rsidR="003454EA" w:rsidRPr="00647ECF" w:rsidRDefault="003454EA" w:rsidP="003454EA">
            <w:pPr>
              <w:shd w:val="clear" w:color="auto" w:fill="FFFFFF"/>
              <w:jc w:val="both"/>
              <w:rPr>
                <w:rFonts w:ascii="Times New Roman" w:hAnsi="Times New Roman" w:cs="Times New Roman"/>
                <w:b/>
              </w:rPr>
            </w:pPr>
            <w:r w:rsidRPr="00647ECF">
              <w:rPr>
                <w:rFonts w:ascii="Times New Roman" w:hAnsi="Times New Roman" w:cs="Times New Roman"/>
                <w:b/>
              </w:rPr>
              <w:t>Dėl Aprašo 17.6 papunkčio.</w:t>
            </w:r>
          </w:p>
          <w:p w14:paraId="587BD23D" w14:textId="77777777" w:rsidR="003454EA" w:rsidRPr="00647ECF" w:rsidRDefault="003454EA" w:rsidP="003454EA">
            <w:pPr>
              <w:shd w:val="clear" w:color="auto" w:fill="FFFFFF"/>
              <w:jc w:val="both"/>
              <w:rPr>
                <w:rFonts w:ascii="Times New Roman" w:hAnsi="Times New Roman" w:cs="Times New Roman"/>
                <w:b/>
              </w:rPr>
            </w:pPr>
            <w:r w:rsidRPr="00647ECF">
              <w:rPr>
                <w:rFonts w:ascii="Times New Roman" w:hAnsi="Times New Roman" w:cs="Times New Roman"/>
              </w:rPr>
              <w:t>Atsižvelgiant į tai, kad ne visi pareiškėjai turi prievolę ar galimybę teikti metinių finansinių ataskaitų rinkinius, o ši informacija reikalinga vertinimams VMI prie FM ir LVPA atlikti, siūlome atitinkamai koreguoti 17.6. papunkčio reikalavimą nustatant, kokių teisinių formų įmonės, neprivalančios ar neturinčios galimybių teikti metinių finansinių ataskaitų rinkinius, negali pretenduoti į subsidiją.</w:t>
            </w:r>
          </w:p>
        </w:tc>
        <w:tc>
          <w:tcPr>
            <w:tcW w:w="7059" w:type="dxa"/>
          </w:tcPr>
          <w:p w14:paraId="213D4920" w14:textId="77777777" w:rsidR="003454EA" w:rsidRPr="00647ECF" w:rsidRDefault="003454EA" w:rsidP="00572F9E">
            <w:pPr>
              <w:tabs>
                <w:tab w:val="left" w:pos="993"/>
              </w:tabs>
              <w:jc w:val="both"/>
              <w:rPr>
                <w:rFonts w:ascii="Times New Roman" w:hAnsi="Times New Roman" w:cs="Times New Roman"/>
                <w:b/>
              </w:rPr>
            </w:pPr>
            <w:r w:rsidRPr="00647ECF">
              <w:rPr>
                <w:rFonts w:ascii="Times New Roman" w:hAnsi="Times New Roman" w:cs="Times New Roman"/>
                <w:b/>
              </w:rPr>
              <w:t>Atsižvelgta iš dalies.</w:t>
            </w:r>
          </w:p>
          <w:p w14:paraId="472B17BB" w14:textId="77777777" w:rsidR="003454EA" w:rsidRPr="00647ECF" w:rsidRDefault="003454EA" w:rsidP="00572F9E">
            <w:pPr>
              <w:tabs>
                <w:tab w:val="left" w:pos="993"/>
              </w:tabs>
              <w:jc w:val="both"/>
              <w:rPr>
                <w:rFonts w:ascii="Times New Roman" w:hAnsi="Times New Roman" w:cs="Times New Roman"/>
              </w:rPr>
            </w:pPr>
            <w:r w:rsidRPr="00647ECF">
              <w:rPr>
                <w:rFonts w:ascii="Times New Roman" w:hAnsi="Times New Roman" w:cs="Times New Roman"/>
              </w:rPr>
              <w:t xml:space="preserve">Aprašo 17.6 papunktis pakoreguotas nustatant, kokiais atvejais </w:t>
            </w:r>
            <w:r w:rsidR="00095FD2" w:rsidRPr="00647ECF">
              <w:rPr>
                <w:rFonts w:ascii="Times New Roman" w:hAnsi="Times New Roman" w:cs="Times New Roman"/>
              </w:rPr>
              <w:t xml:space="preserve">netaikomas </w:t>
            </w:r>
            <w:r w:rsidRPr="00647ECF">
              <w:rPr>
                <w:rFonts w:ascii="Times New Roman" w:hAnsi="Times New Roman" w:cs="Times New Roman"/>
              </w:rPr>
              <w:t xml:space="preserve">reikalavimas būti pateikus Juridinių asmenų registrui </w:t>
            </w:r>
            <w:r w:rsidR="00095FD2" w:rsidRPr="00647ECF">
              <w:rPr>
                <w:rFonts w:ascii="Times New Roman" w:hAnsi="Times New Roman" w:cs="Times New Roman"/>
              </w:rPr>
              <w:t>metinių finansinių ataskaitų už 2019 metus rinkinį.</w:t>
            </w:r>
          </w:p>
          <w:p w14:paraId="5B3A493C" w14:textId="77777777" w:rsidR="00095FD2" w:rsidRPr="00647ECF" w:rsidRDefault="00095FD2" w:rsidP="00572F9E">
            <w:pPr>
              <w:tabs>
                <w:tab w:val="left" w:pos="993"/>
              </w:tabs>
              <w:jc w:val="both"/>
              <w:rPr>
                <w:rFonts w:ascii="Times New Roman" w:hAnsi="Times New Roman" w:cs="Times New Roman"/>
              </w:rPr>
            </w:pPr>
          </w:p>
        </w:tc>
      </w:tr>
      <w:tr w:rsidR="00F62794" w:rsidRPr="00647ECF" w14:paraId="74D6F68A" w14:textId="77777777" w:rsidTr="00771467">
        <w:tc>
          <w:tcPr>
            <w:tcW w:w="675" w:type="dxa"/>
          </w:tcPr>
          <w:p w14:paraId="10E1E90B" w14:textId="453F6AF4" w:rsidR="00F62794" w:rsidRDefault="005676C3" w:rsidP="0002116D">
            <w:pPr>
              <w:jc w:val="center"/>
              <w:rPr>
                <w:rFonts w:ascii="Times New Roman" w:hAnsi="Times New Roman" w:cs="Times New Roman"/>
                <w:lang w:val="en-US"/>
              </w:rPr>
            </w:pPr>
            <w:r>
              <w:rPr>
                <w:rFonts w:ascii="Times New Roman" w:hAnsi="Times New Roman" w:cs="Times New Roman"/>
                <w:lang w:val="en-US"/>
              </w:rPr>
              <w:t>6</w:t>
            </w:r>
            <w:r w:rsidR="00F62794">
              <w:rPr>
                <w:rFonts w:ascii="Times New Roman" w:hAnsi="Times New Roman" w:cs="Times New Roman"/>
                <w:lang w:val="en-US"/>
              </w:rPr>
              <w:t>.</w:t>
            </w:r>
          </w:p>
        </w:tc>
        <w:tc>
          <w:tcPr>
            <w:tcW w:w="7400" w:type="dxa"/>
            <w:gridSpan w:val="2"/>
          </w:tcPr>
          <w:p w14:paraId="45B60045" w14:textId="77777777" w:rsidR="00F62794" w:rsidRPr="00F62794" w:rsidRDefault="00F62794" w:rsidP="00F62794">
            <w:pPr>
              <w:shd w:val="clear" w:color="auto" w:fill="FFFFFF"/>
              <w:jc w:val="both"/>
              <w:rPr>
                <w:rFonts w:ascii="Times New Roman" w:hAnsi="Times New Roman" w:cs="Times New Roman"/>
                <w:b/>
              </w:rPr>
            </w:pPr>
            <w:r w:rsidRPr="00F62794">
              <w:rPr>
                <w:rFonts w:ascii="Times New Roman" w:hAnsi="Times New Roman" w:cs="Times New Roman"/>
                <w:b/>
              </w:rPr>
              <w:t>Dėl Aprašo 52 ir 53 punktų pakeitimo.</w:t>
            </w:r>
          </w:p>
          <w:p w14:paraId="72353686" w14:textId="77777777" w:rsidR="00F62794" w:rsidRPr="00F62794" w:rsidRDefault="00F62794" w:rsidP="00067405">
            <w:pPr>
              <w:shd w:val="clear" w:color="auto" w:fill="FFFFFF"/>
              <w:jc w:val="both"/>
              <w:rPr>
                <w:rFonts w:ascii="Times New Roman" w:hAnsi="Times New Roman" w:cs="Times New Roman"/>
                <w:highlight w:val="yellow"/>
              </w:rPr>
            </w:pPr>
            <w:r w:rsidRPr="00F62794">
              <w:rPr>
                <w:rFonts w:ascii="Times New Roman" w:hAnsi="Times New Roman" w:cs="Times New Roman"/>
              </w:rPr>
              <w:t xml:space="preserve">Siūlome apsvarstyti papildomų sankcijų skyrimą, nes ši subsidija paremta pasitikėjimu ir savideklaravimu, o nustačius, kad pareiškėjas pateikė neteisingą informaciją ir (ar) dokumentus, ir (ar) sąmoningai nuslėpė informaciją, pasekmės </w:t>
            </w:r>
            <w:r w:rsidRPr="00F62794">
              <w:rPr>
                <w:rFonts w:ascii="Times New Roman" w:hAnsi="Times New Roman" w:cs="Times New Roman"/>
              </w:rPr>
              <w:lastRenderedPageBreak/>
              <w:t>turėtų būti adekvačios, o ne tik subsidijos grąžinimas su minimaliomis palūkanomis ir delspinigiais.</w:t>
            </w:r>
          </w:p>
          <w:p w14:paraId="7E799C40" w14:textId="77777777" w:rsidR="00F62794" w:rsidRPr="00F62794" w:rsidRDefault="00F62794" w:rsidP="00F62794">
            <w:pPr>
              <w:shd w:val="clear" w:color="auto" w:fill="FFFFFF"/>
              <w:jc w:val="both"/>
              <w:rPr>
                <w:rFonts w:ascii="Times New Roman" w:hAnsi="Times New Roman" w:cs="Times New Roman"/>
                <w:b/>
              </w:rPr>
            </w:pPr>
          </w:p>
        </w:tc>
        <w:tc>
          <w:tcPr>
            <w:tcW w:w="7059" w:type="dxa"/>
          </w:tcPr>
          <w:p w14:paraId="1A6C40E8" w14:textId="77777777" w:rsidR="00F62794" w:rsidRDefault="00067405" w:rsidP="00572F9E">
            <w:pPr>
              <w:tabs>
                <w:tab w:val="left" w:pos="993"/>
              </w:tabs>
              <w:jc w:val="both"/>
              <w:rPr>
                <w:rFonts w:ascii="Times New Roman" w:hAnsi="Times New Roman" w:cs="Times New Roman"/>
              </w:rPr>
            </w:pPr>
            <w:r>
              <w:rPr>
                <w:rFonts w:ascii="Times New Roman" w:hAnsi="Times New Roman" w:cs="Times New Roman"/>
                <w:b/>
              </w:rPr>
              <w:lastRenderedPageBreak/>
              <w:t>Neatsižvelgta.</w:t>
            </w:r>
          </w:p>
          <w:p w14:paraId="4602CF49" w14:textId="77777777" w:rsidR="00067405" w:rsidRPr="005359AA" w:rsidRDefault="00067405" w:rsidP="00572F9E">
            <w:pPr>
              <w:tabs>
                <w:tab w:val="left" w:pos="993"/>
              </w:tabs>
              <w:jc w:val="both"/>
              <w:rPr>
                <w:rFonts w:ascii="Times New Roman" w:hAnsi="Times New Roman" w:cs="Times New Roman"/>
              </w:rPr>
            </w:pPr>
            <w:r>
              <w:rPr>
                <w:rFonts w:ascii="Times New Roman" w:hAnsi="Times New Roman" w:cs="Times New Roman"/>
              </w:rPr>
              <w:t>Pagal Priemonę galimų pareiškėjų ratas yra labai platus – į subsidiją gali pretenduoti tiek mažosios bendrijos, individualios įmonės,</w:t>
            </w:r>
            <w:r w:rsidR="00FE1433">
              <w:rPr>
                <w:rFonts w:ascii="Times New Roman" w:hAnsi="Times New Roman" w:cs="Times New Roman"/>
              </w:rPr>
              <w:t xml:space="preserve"> kuriose dirba tik pats keletas darbuotojų,</w:t>
            </w:r>
            <w:r>
              <w:rPr>
                <w:rFonts w:ascii="Times New Roman" w:hAnsi="Times New Roman" w:cs="Times New Roman"/>
              </w:rPr>
              <w:t xml:space="preserve"> </w:t>
            </w:r>
            <w:r w:rsidR="00FE1433">
              <w:rPr>
                <w:rFonts w:ascii="Times New Roman" w:hAnsi="Times New Roman" w:cs="Times New Roman"/>
              </w:rPr>
              <w:t xml:space="preserve">tiek ilgametę patirtį ir gerai teisės aktus bei </w:t>
            </w:r>
            <w:r w:rsidR="00FE1433">
              <w:rPr>
                <w:rFonts w:ascii="Times New Roman" w:hAnsi="Times New Roman" w:cs="Times New Roman"/>
              </w:rPr>
              <w:lastRenderedPageBreak/>
              <w:t xml:space="preserve">reikalavimus išmanančios įmonės. Todėl natūralu, kad </w:t>
            </w:r>
            <w:r w:rsidR="00D068CC">
              <w:rPr>
                <w:rFonts w:ascii="Times New Roman" w:hAnsi="Times New Roman" w:cs="Times New Roman"/>
              </w:rPr>
              <w:t xml:space="preserve">mažiau teisės aktus išmanančios įmonės gali padaryti klaidų pateikdamos informaciją. </w:t>
            </w:r>
            <w:r>
              <w:rPr>
                <w:rFonts w:ascii="Times New Roman" w:hAnsi="Times New Roman" w:cs="Times New Roman"/>
              </w:rPr>
              <w:t>Ministerijos nuomone, sankcijos galėtų būti taikomos ti</w:t>
            </w:r>
            <w:r w:rsidR="00FE1433">
              <w:rPr>
                <w:rFonts w:ascii="Times New Roman" w:hAnsi="Times New Roman" w:cs="Times New Roman"/>
              </w:rPr>
              <w:t>k tuo atveju, jeigu pareiškėjas sąmoningai pateiktų netikslią informaciją arba ją nuslėptų. Tač</w:t>
            </w:r>
            <w:r w:rsidR="00D068CC">
              <w:rPr>
                <w:rFonts w:ascii="Times New Roman" w:hAnsi="Times New Roman" w:cs="Times New Roman"/>
              </w:rPr>
              <w:t>iau ar netiksli, nepilnai pateikta informacija – sąmoningas veiksmas ar ne, reikalautų išsamaus vertinimo ir vis tiek išliktų subjektyvaus vertinimo rizika. Atsižvelgiant į tai, ministerijos nuomone, numatyti sankcijas yra netikslinga, laikui ir resursams imlu</w:t>
            </w:r>
            <w:r w:rsidR="005359AA">
              <w:rPr>
                <w:rFonts w:ascii="Times New Roman" w:hAnsi="Times New Roman" w:cs="Times New Roman"/>
              </w:rPr>
              <w:t>, būtų paremta subjektyviu vertinimu. Ministerija skatintų ne bausti šiuo sunkiu laikotarpiu nukentėjusias įmones, o jas šviesti suteikiant išsamią informaciją, kokiais atvejais galima pretenduoti į subsidiją, akcentuojant, kad Priemonė yra skirta nuo COVID-</w:t>
            </w:r>
            <w:r w:rsidR="005359AA">
              <w:rPr>
                <w:rFonts w:ascii="Times New Roman" w:hAnsi="Times New Roman" w:cs="Times New Roman"/>
                <w:lang w:val="en-US"/>
              </w:rPr>
              <w:t>19 nukent</w:t>
            </w:r>
            <w:r w:rsidR="005359AA">
              <w:rPr>
                <w:rFonts w:ascii="Times New Roman" w:hAnsi="Times New Roman" w:cs="Times New Roman"/>
              </w:rPr>
              <w:t>ėjusioms įmonėms</w:t>
            </w:r>
            <w:r w:rsidR="00E803B7">
              <w:rPr>
                <w:rFonts w:ascii="Times New Roman" w:hAnsi="Times New Roman" w:cs="Times New Roman"/>
              </w:rPr>
              <w:t xml:space="preserve"> ir siekiant padėti įmonėms išspręsti su likvidumo trūkumu arba jo nebuvimu susijusias problemas.</w:t>
            </w:r>
          </w:p>
        </w:tc>
      </w:tr>
      <w:tr w:rsidR="005676C3" w:rsidRPr="00647ECF" w14:paraId="3F262107" w14:textId="77777777" w:rsidTr="00771467">
        <w:trPr>
          <w:trHeight w:val="251"/>
        </w:trPr>
        <w:tc>
          <w:tcPr>
            <w:tcW w:w="15134" w:type="dxa"/>
            <w:gridSpan w:val="4"/>
            <w:shd w:val="clear" w:color="auto" w:fill="F2F2F2" w:themeFill="background1" w:themeFillShade="F2"/>
          </w:tcPr>
          <w:p w14:paraId="32749FE0" w14:textId="2F04808B" w:rsidR="005676C3" w:rsidRDefault="005676C3" w:rsidP="00771467">
            <w:pPr>
              <w:tabs>
                <w:tab w:val="left" w:pos="993"/>
              </w:tabs>
              <w:jc w:val="both"/>
              <w:rPr>
                <w:rFonts w:ascii="Times New Roman" w:hAnsi="Times New Roman" w:cs="Times New Roman"/>
                <w:b/>
              </w:rPr>
            </w:pPr>
            <w:r>
              <w:rPr>
                <w:rFonts w:ascii="Times New Roman" w:hAnsi="Times New Roman" w:cs="Times New Roman"/>
                <w:b/>
              </w:rPr>
              <w:lastRenderedPageBreak/>
              <w:t>Lietuvos Respublikos teisingumo ministerija</w:t>
            </w:r>
            <w:r w:rsidRPr="00647ECF">
              <w:rPr>
                <w:rFonts w:ascii="Times New Roman" w:hAnsi="Times New Roman" w:cs="Times New Roman"/>
                <w:b/>
              </w:rPr>
              <w:t>, 2021-02-1</w:t>
            </w:r>
            <w:r>
              <w:rPr>
                <w:rFonts w:ascii="Times New Roman" w:hAnsi="Times New Roman" w:cs="Times New Roman"/>
                <w:b/>
              </w:rPr>
              <w:t>7</w:t>
            </w:r>
            <w:r w:rsidRPr="00647ECF">
              <w:rPr>
                <w:rFonts w:ascii="Times New Roman" w:hAnsi="Times New Roman" w:cs="Times New Roman"/>
                <w:b/>
              </w:rPr>
              <w:t xml:space="preserve"> raštas Nr. </w:t>
            </w:r>
            <w:r w:rsidR="00771467" w:rsidRPr="00771467">
              <w:rPr>
                <w:rFonts w:ascii="Times New Roman" w:hAnsi="Times New Roman" w:cs="Times New Roman"/>
                <w:b/>
              </w:rPr>
              <w:t>(1.6Mr) 2T-127</w:t>
            </w:r>
          </w:p>
        </w:tc>
      </w:tr>
      <w:tr w:rsidR="00771467" w:rsidRPr="00647ECF" w14:paraId="24009016" w14:textId="77777777" w:rsidTr="00771467">
        <w:tc>
          <w:tcPr>
            <w:tcW w:w="704" w:type="dxa"/>
            <w:gridSpan w:val="2"/>
            <w:tcBorders>
              <w:bottom w:val="single" w:sz="4" w:space="0" w:color="auto"/>
            </w:tcBorders>
            <w:shd w:val="clear" w:color="auto" w:fill="FFFFFF" w:themeFill="background1"/>
          </w:tcPr>
          <w:p w14:paraId="2AA18F50" w14:textId="241DBD66" w:rsidR="00771467" w:rsidRPr="00771467" w:rsidRDefault="00771467" w:rsidP="00771467">
            <w:pPr>
              <w:tabs>
                <w:tab w:val="left" w:pos="993"/>
              </w:tabs>
              <w:jc w:val="center"/>
              <w:rPr>
                <w:rFonts w:ascii="Times New Roman" w:hAnsi="Times New Roman" w:cs="Times New Roman"/>
              </w:rPr>
            </w:pPr>
            <w:r w:rsidRPr="00771467">
              <w:rPr>
                <w:rFonts w:ascii="Times New Roman" w:hAnsi="Times New Roman" w:cs="Times New Roman"/>
              </w:rPr>
              <w:t>1.</w:t>
            </w:r>
          </w:p>
        </w:tc>
        <w:tc>
          <w:tcPr>
            <w:tcW w:w="7371" w:type="dxa"/>
            <w:tcBorders>
              <w:bottom w:val="single" w:sz="4" w:space="0" w:color="auto"/>
            </w:tcBorders>
            <w:shd w:val="clear" w:color="auto" w:fill="FFFFFF" w:themeFill="background1"/>
          </w:tcPr>
          <w:p w14:paraId="1303C782" w14:textId="52C52925" w:rsidR="00771467" w:rsidRPr="006A2C98" w:rsidRDefault="006A2C98" w:rsidP="00771467">
            <w:pPr>
              <w:tabs>
                <w:tab w:val="left" w:pos="993"/>
              </w:tabs>
              <w:jc w:val="both"/>
              <w:rPr>
                <w:rFonts w:ascii="Times New Roman" w:hAnsi="Times New Roman" w:cs="Times New Roman"/>
                <w:b/>
              </w:rPr>
            </w:pPr>
            <w:r w:rsidRPr="006A2C98">
              <w:rPr>
                <w:rFonts w:ascii="Times New Roman" w:hAnsi="Times New Roman" w:cs="Times New Roman"/>
                <w:color w:val="000000"/>
                <w:spacing w:val="2"/>
              </w:rPr>
              <w:t>Atkreiptinas dėmesys į tai, kad galiojančio Aprašo 3.1 p. nurodytas 2020 m. kovo 20 d. Europos Komisijos komunikatas „Laikinoji valstybės pagalbos priemonių, skirtų ekonomikai remti reaguojant į dabartinį COVID-19 protrūkį, sistema“ (toliau – Komunikatas) 2021 m. vasario 1 d. buvo pakeistas Komisijos komunikatu „Penktasis laikinosios valstybės pagalbos priemonių, skirtų ekonomikai remti reaguojant į dabartinį COVID-19 protrūkį, sistemos pakeitimas ir Komisijos komunikato valstybėms narėms dėl Sutarties dėl Europos Sąjungos veikimo 107 ir 108 straipsnių taikymo trumpalaikiam eksporto kredito draudimui priedo pakeitimas“ (toliau – Komunikato pakeitimas). Pažymėtina, kad Komunikato pakeitimas pratęsė laikinojoje sistemoje nustatytų priemonių taikymą iki 2021 m. gruodžio 31 d, patikslino tam tikrų priemonių viršutines ribas, kad būtų atsižvelgta į ilgalaikį dabartinės krizės ekonominį poveikį, bei patikslino ir iš dalies pakeitė tam tikrų laikinų valstybės pagalbos priemonių, kurias Komisija laiko suderinamomis pagal Sutarties dėl Europos Sąjungos veikimo (SESV) 107 str. 3 d. b p., taikymo sąlygas atsižvelgiant į COVID-19 protrūkį. Atsižvelgiant į tai, siūlytina atnaujinti Aprašo 3.1 p., nurodant Komunikato pakeitimą, bei peržiūrėti kitus galiojančio Aprašo punktus, kurie remiasi Komunikato nuostatomis (pvz., Aprašo 24 p.), dėl jų atnaujinimo tikslingumo.</w:t>
            </w:r>
          </w:p>
        </w:tc>
        <w:tc>
          <w:tcPr>
            <w:tcW w:w="7059" w:type="dxa"/>
            <w:tcBorders>
              <w:bottom w:val="single" w:sz="4" w:space="0" w:color="auto"/>
            </w:tcBorders>
            <w:shd w:val="clear" w:color="auto" w:fill="FFFFFF" w:themeFill="background1"/>
          </w:tcPr>
          <w:p w14:paraId="25777A9C" w14:textId="77777777" w:rsidR="00771467" w:rsidRDefault="006A2C98" w:rsidP="00771467">
            <w:pPr>
              <w:tabs>
                <w:tab w:val="left" w:pos="993"/>
              </w:tabs>
              <w:jc w:val="both"/>
              <w:rPr>
                <w:rFonts w:ascii="Times New Roman" w:hAnsi="Times New Roman" w:cs="Times New Roman"/>
                <w:b/>
              </w:rPr>
            </w:pPr>
            <w:r>
              <w:rPr>
                <w:rFonts w:ascii="Times New Roman" w:hAnsi="Times New Roman" w:cs="Times New Roman"/>
                <w:b/>
              </w:rPr>
              <w:t>Atsižvelgta iš dalies.</w:t>
            </w:r>
          </w:p>
          <w:p w14:paraId="59128807" w14:textId="77777777" w:rsidR="006A2C98" w:rsidRDefault="009D2BE6" w:rsidP="00771467">
            <w:pPr>
              <w:tabs>
                <w:tab w:val="left" w:pos="993"/>
              </w:tabs>
              <w:jc w:val="both"/>
              <w:rPr>
                <w:rFonts w:ascii="Times New Roman" w:hAnsi="Times New Roman" w:cs="Times New Roman"/>
              </w:rPr>
            </w:pPr>
            <w:r w:rsidRPr="009D2BE6">
              <w:rPr>
                <w:rFonts w:ascii="Times New Roman" w:hAnsi="Times New Roman" w:cs="Times New Roman"/>
              </w:rPr>
              <w:t>3.1 papunktis patikslintas pagal pateiktą pastabą.</w:t>
            </w:r>
          </w:p>
          <w:p w14:paraId="7C6AB076" w14:textId="7246B4EA" w:rsidR="009D2BE6" w:rsidRDefault="009D2BE6" w:rsidP="00B67A1D">
            <w:pPr>
              <w:tabs>
                <w:tab w:val="left" w:pos="993"/>
              </w:tabs>
              <w:jc w:val="both"/>
              <w:rPr>
                <w:rFonts w:ascii="Times New Roman" w:hAnsi="Times New Roman" w:cs="Times New Roman"/>
                <w:b/>
              </w:rPr>
            </w:pPr>
            <w:r>
              <w:rPr>
                <w:rFonts w:ascii="Times New Roman" w:hAnsi="Times New Roman" w:cs="Times New Roman"/>
              </w:rPr>
              <w:t>Kiti Aprašo punktai</w:t>
            </w:r>
            <w:r w:rsidR="0058265F">
              <w:rPr>
                <w:rFonts w:ascii="Times New Roman" w:hAnsi="Times New Roman" w:cs="Times New Roman"/>
              </w:rPr>
              <w:t xml:space="preserve"> nekoreguoti, kadangi nuostatos, iki kada</w:t>
            </w:r>
            <w:r>
              <w:rPr>
                <w:rFonts w:ascii="Times New Roman" w:hAnsi="Times New Roman" w:cs="Times New Roman"/>
              </w:rPr>
              <w:t xml:space="preserve"> va</w:t>
            </w:r>
            <w:r w:rsidR="0058265F">
              <w:rPr>
                <w:rFonts w:ascii="Times New Roman" w:hAnsi="Times New Roman" w:cs="Times New Roman"/>
              </w:rPr>
              <w:t>lstybės pagalba gali būti teikiama pagal P</w:t>
            </w:r>
            <w:r>
              <w:rPr>
                <w:rFonts w:ascii="Times New Roman" w:hAnsi="Times New Roman" w:cs="Times New Roman"/>
              </w:rPr>
              <w:t>riemonę</w:t>
            </w:r>
            <w:r w:rsidR="0058265F">
              <w:rPr>
                <w:rFonts w:ascii="Times New Roman" w:hAnsi="Times New Roman" w:cs="Times New Roman"/>
              </w:rPr>
              <w:t xml:space="preserve">, taip pat vienai įmonei teikiamos valstybės pagalbos </w:t>
            </w:r>
            <w:r w:rsidR="00B67A1D">
              <w:rPr>
                <w:rFonts w:ascii="Times New Roman" w:hAnsi="Times New Roman" w:cs="Times New Roman"/>
              </w:rPr>
              <w:t xml:space="preserve">didžiausia suma yra nustatytos </w:t>
            </w:r>
            <w:r w:rsidR="00B67A1D" w:rsidRPr="00B67A1D">
              <w:rPr>
                <w:rFonts w:ascii="Times New Roman" w:hAnsi="Times New Roman" w:cs="Times New Roman"/>
              </w:rPr>
              <w:t xml:space="preserve">2020 m. gruodžio 22 d. Europos Komisijos sprendimu Nr. C(2020) 9618 </w:t>
            </w:r>
            <w:r w:rsidR="00B67A1D">
              <w:rPr>
                <w:rFonts w:ascii="Times New Roman" w:hAnsi="Times New Roman" w:cs="Times New Roman"/>
              </w:rPr>
              <w:t>patvirtintoje Valstybės pagalbos schemoje</w:t>
            </w:r>
            <w:r w:rsidR="00B67A1D" w:rsidRPr="00B67A1D">
              <w:rPr>
                <w:rFonts w:ascii="Times New Roman" w:hAnsi="Times New Roman" w:cs="Times New Roman"/>
              </w:rPr>
              <w:t xml:space="preserve"> „SA.60308 (2020/N) – Lietuva COVID-19: subsidijos įmonėms“ ir 2021 m. sausio 14 d. Europos Komisijos spren</w:t>
            </w:r>
            <w:r w:rsidR="00B67A1D">
              <w:rPr>
                <w:rFonts w:ascii="Times New Roman" w:hAnsi="Times New Roman" w:cs="Times New Roman"/>
              </w:rPr>
              <w:t>dimu Nr. C(2021) 274 patvirtintoje</w:t>
            </w:r>
            <w:r w:rsidR="00B67A1D" w:rsidRPr="00B67A1D">
              <w:rPr>
                <w:rFonts w:ascii="Times New Roman" w:hAnsi="Times New Roman" w:cs="Times New Roman"/>
              </w:rPr>
              <w:t xml:space="preserve"> Valstybės pagalbos schemą „SA. 60977 (2021/N) – </w:t>
            </w:r>
            <w:r w:rsidR="00A232E3">
              <w:rPr>
                <w:rFonts w:ascii="Times New Roman" w:hAnsi="Times New Roman" w:cs="Times New Roman"/>
              </w:rPr>
              <w:br/>
            </w:r>
            <w:bookmarkStart w:id="0" w:name="_GoBack"/>
            <w:bookmarkEnd w:id="0"/>
            <w:r w:rsidR="00B67A1D" w:rsidRPr="00B67A1D">
              <w:rPr>
                <w:rFonts w:ascii="Times New Roman" w:hAnsi="Times New Roman" w:cs="Times New Roman"/>
              </w:rPr>
              <w:t>Lietuva – SA.60308 COVID-19: subsidijos įmonėms“ pakeitimas“.</w:t>
            </w:r>
            <w:r w:rsidR="00B67A1D">
              <w:rPr>
                <w:rFonts w:ascii="Times New Roman" w:hAnsi="Times New Roman" w:cs="Times New Roman"/>
              </w:rPr>
              <w:t xml:space="preserve"> Minėtų schemų pagal pakeistas Komunikato nuostatas keisti neplanuojama.</w:t>
            </w:r>
          </w:p>
        </w:tc>
      </w:tr>
    </w:tbl>
    <w:p w14:paraId="75BCEFDC" w14:textId="77777777" w:rsidR="00804EC2" w:rsidRPr="00647ECF" w:rsidRDefault="00804EC2" w:rsidP="00804EC2">
      <w:pPr>
        <w:jc w:val="center"/>
        <w:rPr>
          <w:rFonts w:ascii="Times New Roman" w:hAnsi="Times New Roman" w:cs="Times New Roman"/>
        </w:rPr>
      </w:pPr>
    </w:p>
    <w:p w14:paraId="6C4AC221" w14:textId="77777777" w:rsidR="00157313" w:rsidRPr="00647ECF" w:rsidRDefault="00157313" w:rsidP="00804EC2">
      <w:pPr>
        <w:jc w:val="center"/>
        <w:rPr>
          <w:rFonts w:ascii="Times New Roman" w:hAnsi="Times New Roman" w:cs="Times New Roman"/>
        </w:rPr>
      </w:pPr>
      <w:r w:rsidRPr="00647ECF">
        <w:rPr>
          <w:rFonts w:ascii="Times New Roman" w:hAnsi="Times New Roman" w:cs="Times New Roman"/>
        </w:rPr>
        <w:t>___________________________________________________________</w:t>
      </w:r>
    </w:p>
    <w:sectPr w:rsidR="00157313" w:rsidRPr="00647ECF" w:rsidSect="00A471ED">
      <w:headerReference w:type="default" r:id="rId8"/>
      <w:pgSz w:w="16838" w:h="11906" w:orient="landscape"/>
      <w:pgMar w:top="1135" w:right="567" w:bottom="127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1BCA2" w14:textId="77777777" w:rsidR="00CA2584" w:rsidRDefault="00CA2584" w:rsidP="00804EC2">
      <w:pPr>
        <w:spacing w:after="0" w:line="240" w:lineRule="auto"/>
      </w:pPr>
      <w:r>
        <w:separator/>
      </w:r>
    </w:p>
  </w:endnote>
  <w:endnote w:type="continuationSeparator" w:id="0">
    <w:p w14:paraId="430AC391" w14:textId="77777777" w:rsidR="00CA2584" w:rsidRDefault="00CA2584" w:rsidP="0080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FA3B" w14:textId="77777777" w:rsidR="00CA2584" w:rsidRDefault="00CA2584" w:rsidP="00804EC2">
      <w:pPr>
        <w:spacing w:after="0" w:line="240" w:lineRule="auto"/>
      </w:pPr>
      <w:r>
        <w:separator/>
      </w:r>
    </w:p>
  </w:footnote>
  <w:footnote w:type="continuationSeparator" w:id="0">
    <w:p w14:paraId="41E1B752" w14:textId="77777777" w:rsidR="00CA2584" w:rsidRDefault="00CA2584" w:rsidP="00804EC2">
      <w:pPr>
        <w:spacing w:after="0" w:line="240" w:lineRule="auto"/>
      </w:pPr>
      <w:r>
        <w:continuationSeparator/>
      </w:r>
    </w:p>
  </w:footnote>
  <w:footnote w:id="1">
    <w:p w14:paraId="5E612339" w14:textId="77777777" w:rsidR="00D070AD" w:rsidRDefault="00D070AD">
      <w:pPr>
        <w:pStyle w:val="FootnoteText"/>
      </w:pPr>
      <w:r>
        <w:rPr>
          <w:rStyle w:val="FootnoteReference"/>
        </w:rPr>
        <w:footnoteRef/>
      </w:r>
      <w:r>
        <w:t xml:space="preserve"> </w:t>
      </w:r>
      <w:r w:rsidR="00D93075" w:rsidRPr="00807BC8">
        <w:rPr>
          <w:color w:val="000000"/>
          <w:szCs w:val="24"/>
        </w:rPr>
        <w:t xml:space="preserve">Priemonės „Subsidijos nuo COVID-19 nukentėjusioms įmonėms“ lėšų skyrimo ir administravimo tvarkos aprašas patvirtintas </w:t>
      </w:r>
      <w:r w:rsidR="00D93075" w:rsidRPr="00807BC8">
        <w:rPr>
          <w:szCs w:val="24"/>
        </w:rPr>
        <w:t xml:space="preserve">Lietuvos Respublikos Vyriausybės 2021 m. sausio </w:t>
      </w:r>
      <w:r w:rsidR="00D93075">
        <w:rPr>
          <w:szCs w:val="24"/>
        </w:rPr>
        <w:t>15 d. nutarimu</w:t>
      </w:r>
      <w:r w:rsidR="00D93075" w:rsidRPr="00807BC8">
        <w:rPr>
          <w:szCs w:val="24"/>
        </w:rPr>
        <w:t xml:space="preserve"> Nr. 24 </w:t>
      </w:r>
      <w:r w:rsidR="00D93075" w:rsidRPr="00807BC8">
        <w:rPr>
          <w:rStyle w:val="Strong"/>
          <w:szCs w:val="24"/>
        </w:rPr>
        <w:t>„</w:t>
      </w:r>
      <w:r w:rsidR="00D93075" w:rsidRPr="00807BC8">
        <w:rPr>
          <w:szCs w:val="24"/>
        </w:rPr>
        <w:t>Dėl Priemonės „Subsidijos nuo COVID-19 nukentėjusioms įmonėms“ lėšų skyrimo ir administravimo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206637"/>
      <w:docPartObj>
        <w:docPartGallery w:val="Page Numbers (Top of Page)"/>
        <w:docPartUnique/>
      </w:docPartObj>
    </w:sdtPr>
    <w:sdtEndPr/>
    <w:sdtContent>
      <w:p w14:paraId="284F5871" w14:textId="65ACA296" w:rsidR="00CA2584" w:rsidRDefault="00CA2584">
        <w:pPr>
          <w:pStyle w:val="Header"/>
          <w:jc w:val="center"/>
        </w:pPr>
        <w:r>
          <w:fldChar w:fldCharType="begin"/>
        </w:r>
        <w:r>
          <w:instrText>PAGE   \* MERGEFORMAT</w:instrText>
        </w:r>
        <w:r>
          <w:fldChar w:fldCharType="separate"/>
        </w:r>
        <w:r w:rsidR="00A232E3">
          <w:rPr>
            <w:noProof/>
          </w:rPr>
          <w:t>2</w:t>
        </w:r>
        <w:r>
          <w:fldChar w:fldCharType="end"/>
        </w:r>
      </w:p>
    </w:sdtContent>
  </w:sdt>
  <w:p w14:paraId="0700AA6A" w14:textId="77777777" w:rsidR="00CA2584" w:rsidRDefault="00CA2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1A4"/>
    <w:multiLevelType w:val="hybridMultilevel"/>
    <w:tmpl w:val="C0BEF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00743"/>
    <w:multiLevelType w:val="hybridMultilevel"/>
    <w:tmpl w:val="D7C41C9A"/>
    <w:lvl w:ilvl="0" w:tplc="52921220">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7AB4F33"/>
    <w:multiLevelType w:val="hybridMultilevel"/>
    <w:tmpl w:val="54908A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833AA"/>
    <w:multiLevelType w:val="hybridMultilevel"/>
    <w:tmpl w:val="89003766"/>
    <w:lvl w:ilvl="0" w:tplc="3C2251C6">
      <w:start w:val="2"/>
      <w:numFmt w:val="bullet"/>
      <w:lvlText w:val="–"/>
      <w:lvlJc w:val="left"/>
      <w:pPr>
        <w:ind w:left="720" w:hanging="360"/>
      </w:pPr>
      <w:rPr>
        <w:rFonts w:ascii="Times New Roman" w:eastAsiaTheme="minorHAnsi"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D205AB"/>
    <w:multiLevelType w:val="hybridMultilevel"/>
    <w:tmpl w:val="7B82D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92FC3"/>
    <w:multiLevelType w:val="hybridMultilevel"/>
    <w:tmpl w:val="FFBA3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7654EB"/>
    <w:multiLevelType w:val="multilevel"/>
    <w:tmpl w:val="29201C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C20372D"/>
    <w:multiLevelType w:val="hybridMultilevel"/>
    <w:tmpl w:val="C2CECC26"/>
    <w:lvl w:ilvl="0" w:tplc="C396C77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984B77"/>
    <w:multiLevelType w:val="hybridMultilevel"/>
    <w:tmpl w:val="A6325F6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A8A22AC"/>
    <w:multiLevelType w:val="hybridMultilevel"/>
    <w:tmpl w:val="A69C31AE"/>
    <w:lvl w:ilvl="0" w:tplc="90D24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2D25D8"/>
    <w:multiLevelType w:val="hybridMultilevel"/>
    <w:tmpl w:val="208017FE"/>
    <w:lvl w:ilvl="0" w:tplc="BBDA1D4A">
      <w:start w:val="5"/>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9138F3"/>
    <w:multiLevelType w:val="hybridMultilevel"/>
    <w:tmpl w:val="953A5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2D0466"/>
    <w:multiLevelType w:val="hybridMultilevel"/>
    <w:tmpl w:val="2C5A045C"/>
    <w:lvl w:ilvl="0" w:tplc="92ECDF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51162F6"/>
    <w:multiLevelType w:val="hybridMultilevel"/>
    <w:tmpl w:val="A33A705A"/>
    <w:lvl w:ilvl="0" w:tplc="09E4D3F2">
      <w:start w:val="2"/>
      <w:numFmt w:val="bullet"/>
      <w:lvlText w:val="-"/>
      <w:lvlJc w:val="left"/>
      <w:pPr>
        <w:ind w:left="2628" w:hanging="360"/>
      </w:pPr>
      <w:rPr>
        <w:rFonts w:ascii="Times New Roman" w:eastAsiaTheme="minorHAnsi" w:hAnsi="Times New Roman" w:cs="Times New Roman" w:hint="default"/>
        <w:color w:val="000000"/>
      </w:rPr>
    </w:lvl>
    <w:lvl w:ilvl="1" w:tplc="04270003" w:tentative="1">
      <w:start w:val="1"/>
      <w:numFmt w:val="bullet"/>
      <w:lvlText w:val="o"/>
      <w:lvlJc w:val="left"/>
      <w:pPr>
        <w:ind w:left="3348" w:hanging="360"/>
      </w:pPr>
      <w:rPr>
        <w:rFonts w:ascii="Courier New" w:hAnsi="Courier New" w:cs="Courier New" w:hint="default"/>
      </w:rPr>
    </w:lvl>
    <w:lvl w:ilvl="2" w:tplc="04270005" w:tentative="1">
      <w:start w:val="1"/>
      <w:numFmt w:val="bullet"/>
      <w:lvlText w:val=""/>
      <w:lvlJc w:val="left"/>
      <w:pPr>
        <w:ind w:left="4068" w:hanging="360"/>
      </w:pPr>
      <w:rPr>
        <w:rFonts w:ascii="Wingdings" w:hAnsi="Wingdings" w:hint="default"/>
      </w:rPr>
    </w:lvl>
    <w:lvl w:ilvl="3" w:tplc="04270001" w:tentative="1">
      <w:start w:val="1"/>
      <w:numFmt w:val="bullet"/>
      <w:lvlText w:val=""/>
      <w:lvlJc w:val="left"/>
      <w:pPr>
        <w:ind w:left="4788" w:hanging="360"/>
      </w:pPr>
      <w:rPr>
        <w:rFonts w:ascii="Symbol" w:hAnsi="Symbol" w:hint="default"/>
      </w:rPr>
    </w:lvl>
    <w:lvl w:ilvl="4" w:tplc="04270003" w:tentative="1">
      <w:start w:val="1"/>
      <w:numFmt w:val="bullet"/>
      <w:lvlText w:val="o"/>
      <w:lvlJc w:val="left"/>
      <w:pPr>
        <w:ind w:left="5508" w:hanging="360"/>
      </w:pPr>
      <w:rPr>
        <w:rFonts w:ascii="Courier New" w:hAnsi="Courier New" w:cs="Courier New" w:hint="default"/>
      </w:rPr>
    </w:lvl>
    <w:lvl w:ilvl="5" w:tplc="04270005" w:tentative="1">
      <w:start w:val="1"/>
      <w:numFmt w:val="bullet"/>
      <w:lvlText w:val=""/>
      <w:lvlJc w:val="left"/>
      <w:pPr>
        <w:ind w:left="6228" w:hanging="360"/>
      </w:pPr>
      <w:rPr>
        <w:rFonts w:ascii="Wingdings" w:hAnsi="Wingdings" w:hint="default"/>
      </w:rPr>
    </w:lvl>
    <w:lvl w:ilvl="6" w:tplc="04270001" w:tentative="1">
      <w:start w:val="1"/>
      <w:numFmt w:val="bullet"/>
      <w:lvlText w:val=""/>
      <w:lvlJc w:val="left"/>
      <w:pPr>
        <w:ind w:left="6948" w:hanging="360"/>
      </w:pPr>
      <w:rPr>
        <w:rFonts w:ascii="Symbol" w:hAnsi="Symbol" w:hint="default"/>
      </w:rPr>
    </w:lvl>
    <w:lvl w:ilvl="7" w:tplc="04270003" w:tentative="1">
      <w:start w:val="1"/>
      <w:numFmt w:val="bullet"/>
      <w:lvlText w:val="o"/>
      <w:lvlJc w:val="left"/>
      <w:pPr>
        <w:ind w:left="7668" w:hanging="360"/>
      </w:pPr>
      <w:rPr>
        <w:rFonts w:ascii="Courier New" w:hAnsi="Courier New" w:cs="Courier New" w:hint="default"/>
      </w:rPr>
    </w:lvl>
    <w:lvl w:ilvl="8" w:tplc="04270005" w:tentative="1">
      <w:start w:val="1"/>
      <w:numFmt w:val="bullet"/>
      <w:lvlText w:val=""/>
      <w:lvlJc w:val="left"/>
      <w:pPr>
        <w:ind w:left="8388" w:hanging="360"/>
      </w:pPr>
      <w:rPr>
        <w:rFonts w:ascii="Wingdings" w:hAnsi="Wingdings" w:hint="default"/>
      </w:rPr>
    </w:lvl>
  </w:abstractNum>
  <w:abstractNum w:abstractNumId="15" w15:restartNumberingAfterBreak="0">
    <w:nsid w:val="49340A12"/>
    <w:multiLevelType w:val="hybridMultilevel"/>
    <w:tmpl w:val="47502B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3D70F3"/>
    <w:multiLevelType w:val="hybridMultilevel"/>
    <w:tmpl w:val="0682E2E6"/>
    <w:lvl w:ilvl="0" w:tplc="1DBC3C4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7" w15:restartNumberingAfterBreak="0">
    <w:nsid w:val="56B642E3"/>
    <w:multiLevelType w:val="multilevel"/>
    <w:tmpl w:val="408EF7BA"/>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8" w15:restartNumberingAfterBreak="0">
    <w:nsid w:val="740660D9"/>
    <w:multiLevelType w:val="hybridMultilevel"/>
    <w:tmpl w:val="431E3E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431812"/>
    <w:multiLevelType w:val="hybridMultilevel"/>
    <w:tmpl w:val="AA7838D4"/>
    <w:lvl w:ilvl="0" w:tplc="9CBA3696">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F36D9B"/>
    <w:multiLevelType w:val="hybridMultilevel"/>
    <w:tmpl w:val="E8FCD3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9"/>
  </w:num>
  <w:num w:numId="4">
    <w:abstractNumId w:val="9"/>
  </w:num>
  <w:num w:numId="5">
    <w:abstractNumId w:val="3"/>
  </w:num>
  <w:num w:numId="6">
    <w:abstractNumId w:val="7"/>
  </w:num>
  <w:num w:numId="7">
    <w:abstractNumId w:val="18"/>
  </w:num>
  <w:num w:numId="8">
    <w:abstractNumId w:val="8"/>
  </w:num>
  <w:num w:numId="9">
    <w:abstractNumId w:val="6"/>
  </w:num>
  <w:num w:numId="10">
    <w:abstractNumId w:val="4"/>
  </w:num>
  <w:num w:numId="11">
    <w:abstractNumId w:val="10"/>
  </w:num>
  <w:num w:numId="12">
    <w:abstractNumId w:val="13"/>
  </w:num>
  <w:num w:numId="13">
    <w:abstractNumId w:val="0"/>
  </w:num>
  <w:num w:numId="14">
    <w:abstractNumId w:val="20"/>
  </w:num>
  <w:num w:numId="15">
    <w:abstractNumId w:val="12"/>
  </w:num>
  <w:num w:numId="16">
    <w:abstractNumId w:val="5"/>
  </w:num>
  <w:num w:numId="17">
    <w:abstractNumId w:val="2"/>
  </w:num>
  <w:num w:numId="18">
    <w:abstractNumId w:val="17"/>
  </w:num>
  <w:num w:numId="19">
    <w:abstractNumId w:val="16"/>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C2"/>
    <w:rsid w:val="00001D25"/>
    <w:rsid w:val="000121FA"/>
    <w:rsid w:val="00012953"/>
    <w:rsid w:val="000146BF"/>
    <w:rsid w:val="00020E5D"/>
    <w:rsid w:val="0002116D"/>
    <w:rsid w:val="00021ED6"/>
    <w:rsid w:val="00040727"/>
    <w:rsid w:val="00044662"/>
    <w:rsid w:val="00053D2B"/>
    <w:rsid w:val="0006366B"/>
    <w:rsid w:val="00067405"/>
    <w:rsid w:val="000711D4"/>
    <w:rsid w:val="00073B9D"/>
    <w:rsid w:val="00083F19"/>
    <w:rsid w:val="000877FF"/>
    <w:rsid w:val="00094655"/>
    <w:rsid w:val="00095307"/>
    <w:rsid w:val="00095FD2"/>
    <w:rsid w:val="00096BE2"/>
    <w:rsid w:val="000B0E12"/>
    <w:rsid w:val="000B248E"/>
    <w:rsid w:val="000C0670"/>
    <w:rsid w:val="000D0487"/>
    <w:rsid w:val="000D5480"/>
    <w:rsid w:val="000D6676"/>
    <w:rsid w:val="000E0B08"/>
    <w:rsid w:val="000E368E"/>
    <w:rsid w:val="000E3C5C"/>
    <w:rsid w:val="000F2E06"/>
    <w:rsid w:val="000F31B5"/>
    <w:rsid w:val="000F62E7"/>
    <w:rsid w:val="00103905"/>
    <w:rsid w:val="00104DCF"/>
    <w:rsid w:val="00134905"/>
    <w:rsid w:val="00135146"/>
    <w:rsid w:val="001417ED"/>
    <w:rsid w:val="00142852"/>
    <w:rsid w:val="001507F9"/>
    <w:rsid w:val="00153209"/>
    <w:rsid w:val="00157313"/>
    <w:rsid w:val="0016127B"/>
    <w:rsid w:val="001679CD"/>
    <w:rsid w:val="00167C73"/>
    <w:rsid w:val="0017481B"/>
    <w:rsid w:val="001822DD"/>
    <w:rsid w:val="001857AA"/>
    <w:rsid w:val="0018586A"/>
    <w:rsid w:val="001A6B96"/>
    <w:rsid w:val="001D31F9"/>
    <w:rsid w:val="001E0481"/>
    <w:rsid w:val="00214D4F"/>
    <w:rsid w:val="00256DFD"/>
    <w:rsid w:val="00260591"/>
    <w:rsid w:val="00261D0F"/>
    <w:rsid w:val="00264FB8"/>
    <w:rsid w:val="00266632"/>
    <w:rsid w:val="00271C5E"/>
    <w:rsid w:val="00274423"/>
    <w:rsid w:val="00274EF0"/>
    <w:rsid w:val="00286FDA"/>
    <w:rsid w:val="002B5FDD"/>
    <w:rsid w:val="002D1CAE"/>
    <w:rsid w:val="002D7F95"/>
    <w:rsid w:val="002F5791"/>
    <w:rsid w:val="00300ECE"/>
    <w:rsid w:val="00311DE6"/>
    <w:rsid w:val="003138DE"/>
    <w:rsid w:val="00316F12"/>
    <w:rsid w:val="00321E34"/>
    <w:rsid w:val="003265D3"/>
    <w:rsid w:val="0032710C"/>
    <w:rsid w:val="003273E3"/>
    <w:rsid w:val="00331D96"/>
    <w:rsid w:val="00332662"/>
    <w:rsid w:val="00342133"/>
    <w:rsid w:val="003454EA"/>
    <w:rsid w:val="00345A80"/>
    <w:rsid w:val="0036231A"/>
    <w:rsid w:val="0038149B"/>
    <w:rsid w:val="0038549D"/>
    <w:rsid w:val="00386105"/>
    <w:rsid w:val="003874A0"/>
    <w:rsid w:val="00394BDB"/>
    <w:rsid w:val="003A2678"/>
    <w:rsid w:val="003B5998"/>
    <w:rsid w:val="003C2C32"/>
    <w:rsid w:val="003D3F2B"/>
    <w:rsid w:val="003D3FA2"/>
    <w:rsid w:val="003D43AC"/>
    <w:rsid w:val="003D698C"/>
    <w:rsid w:val="003E354A"/>
    <w:rsid w:val="004009B5"/>
    <w:rsid w:val="0040351C"/>
    <w:rsid w:val="004052F9"/>
    <w:rsid w:val="00443B03"/>
    <w:rsid w:val="00455FFA"/>
    <w:rsid w:val="00462B80"/>
    <w:rsid w:val="00480902"/>
    <w:rsid w:val="00484719"/>
    <w:rsid w:val="004C677A"/>
    <w:rsid w:val="004C78BB"/>
    <w:rsid w:val="004E4C57"/>
    <w:rsid w:val="005034DF"/>
    <w:rsid w:val="00512C56"/>
    <w:rsid w:val="005359AA"/>
    <w:rsid w:val="00562247"/>
    <w:rsid w:val="00564206"/>
    <w:rsid w:val="0056707A"/>
    <w:rsid w:val="005676C3"/>
    <w:rsid w:val="00572F9E"/>
    <w:rsid w:val="00577AD5"/>
    <w:rsid w:val="00581F1A"/>
    <w:rsid w:val="0058265F"/>
    <w:rsid w:val="00585E8A"/>
    <w:rsid w:val="00595638"/>
    <w:rsid w:val="005A4760"/>
    <w:rsid w:val="005B3059"/>
    <w:rsid w:val="005B524E"/>
    <w:rsid w:val="005C4D72"/>
    <w:rsid w:val="005C5EDD"/>
    <w:rsid w:val="005F5FC5"/>
    <w:rsid w:val="0064384D"/>
    <w:rsid w:val="00647ECF"/>
    <w:rsid w:val="006550A9"/>
    <w:rsid w:val="00663FAF"/>
    <w:rsid w:val="00682422"/>
    <w:rsid w:val="0068556D"/>
    <w:rsid w:val="006A0978"/>
    <w:rsid w:val="006A2C98"/>
    <w:rsid w:val="006A3E47"/>
    <w:rsid w:val="006E21AA"/>
    <w:rsid w:val="006F56C6"/>
    <w:rsid w:val="00704671"/>
    <w:rsid w:val="007069C7"/>
    <w:rsid w:val="007074AF"/>
    <w:rsid w:val="00707CBC"/>
    <w:rsid w:val="00714B71"/>
    <w:rsid w:val="00720BC3"/>
    <w:rsid w:val="00727484"/>
    <w:rsid w:val="00734DC6"/>
    <w:rsid w:val="0073712D"/>
    <w:rsid w:val="00763E73"/>
    <w:rsid w:val="00764A7A"/>
    <w:rsid w:val="00771175"/>
    <w:rsid w:val="00771467"/>
    <w:rsid w:val="007866CE"/>
    <w:rsid w:val="007925BC"/>
    <w:rsid w:val="007940D8"/>
    <w:rsid w:val="0079745E"/>
    <w:rsid w:val="007B71AD"/>
    <w:rsid w:val="007C41CE"/>
    <w:rsid w:val="007D1A34"/>
    <w:rsid w:val="007D1CC1"/>
    <w:rsid w:val="0080080C"/>
    <w:rsid w:val="00804EC2"/>
    <w:rsid w:val="00805D9C"/>
    <w:rsid w:val="00832B2C"/>
    <w:rsid w:val="00837E05"/>
    <w:rsid w:val="00847B1F"/>
    <w:rsid w:val="00862196"/>
    <w:rsid w:val="00866911"/>
    <w:rsid w:val="00887BB3"/>
    <w:rsid w:val="00887ECA"/>
    <w:rsid w:val="00890C5C"/>
    <w:rsid w:val="008920B8"/>
    <w:rsid w:val="008B051B"/>
    <w:rsid w:val="008D33D8"/>
    <w:rsid w:val="008E2DA8"/>
    <w:rsid w:val="008E76B3"/>
    <w:rsid w:val="008F4490"/>
    <w:rsid w:val="00910891"/>
    <w:rsid w:val="00911399"/>
    <w:rsid w:val="0094133C"/>
    <w:rsid w:val="009421F6"/>
    <w:rsid w:val="0094749A"/>
    <w:rsid w:val="009507F3"/>
    <w:rsid w:val="009550EB"/>
    <w:rsid w:val="009717E4"/>
    <w:rsid w:val="0097213A"/>
    <w:rsid w:val="00977E15"/>
    <w:rsid w:val="00981B51"/>
    <w:rsid w:val="00984320"/>
    <w:rsid w:val="009B366D"/>
    <w:rsid w:val="009B4D24"/>
    <w:rsid w:val="009C0B33"/>
    <w:rsid w:val="009D2BE6"/>
    <w:rsid w:val="009D529E"/>
    <w:rsid w:val="009E1DF4"/>
    <w:rsid w:val="009F12DC"/>
    <w:rsid w:val="00A00A7C"/>
    <w:rsid w:val="00A04565"/>
    <w:rsid w:val="00A232E3"/>
    <w:rsid w:val="00A42492"/>
    <w:rsid w:val="00A471ED"/>
    <w:rsid w:val="00A77B0A"/>
    <w:rsid w:val="00A85E0E"/>
    <w:rsid w:val="00A93F41"/>
    <w:rsid w:val="00AB75D8"/>
    <w:rsid w:val="00AC758D"/>
    <w:rsid w:val="00AE5075"/>
    <w:rsid w:val="00B0292C"/>
    <w:rsid w:val="00B1042E"/>
    <w:rsid w:val="00B121B2"/>
    <w:rsid w:val="00B2063D"/>
    <w:rsid w:val="00B27562"/>
    <w:rsid w:val="00B30514"/>
    <w:rsid w:val="00B378AB"/>
    <w:rsid w:val="00B55546"/>
    <w:rsid w:val="00B67A1D"/>
    <w:rsid w:val="00B80CB7"/>
    <w:rsid w:val="00B826FB"/>
    <w:rsid w:val="00B9124A"/>
    <w:rsid w:val="00BA5B11"/>
    <w:rsid w:val="00BB3E85"/>
    <w:rsid w:val="00BC3487"/>
    <w:rsid w:val="00BC4DDB"/>
    <w:rsid w:val="00BD4793"/>
    <w:rsid w:val="00BF548A"/>
    <w:rsid w:val="00C118DF"/>
    <w:rsid w:val="00C15573"/>
    <w:rsid w:val="00C234D1"/>
    <w:rsid w:val="00C438CE"/>
    <w:rsid w:val="00C47D05"/>
    <w:rsid w:val="00C55221"/>
    <w:rsid w:val="00C736CF"/>
    <w:rsid w:val="00C80F2F"/>
    <w:rsid w:val="00C918F1"/>
    <w:rsid w:val="00CA2584"/>
    <w:rsid w:val="00CB2127"/>
    <w:rsid w:val="00CE01A6"/>
    <w:rsid w:val="00CE607E"/>
    <w:rsid w:val="00CF35BF"/>
    <w:rsid w:val="00D013CA"/>
    <w:rsid w:val="00D03C35"/>
    <w:rsid w:val="00D04563"/>
    <w:rsid w:val="00D068CC"/>
    <w:rsid w:val="00D070AD"/>
    <w:rsid w:val="00D24728"/>
    <w:rsid w:val="00D40772"/>
    <w:rsid w:val="00D42CBC"/>
    <w:rsid w:val="00D535AE"/>
    <w:rsid w:val="00D63E7A"/>
    <w:rsid w:val="00D760AF"/>
    <w:rsid w:val="00D85199"/>
    <w:rsid w:val="00D93075"/>
    <w:rsid w:val="00D93B3F"/>
    <w:rsid w:val="00DA3843"/>
    <w:rsid w:val="00DB1833"/>
    <w:rsid w:val="00DB7096"/>
    <w:rsid w:val="00DC3E59"/>
    <w:rsid w:val="00DD086C"/>
    <w:rsid w:val="00DD4861"/>
    <w:rsid w:val="00DD70B9"/>
    <w:rsid w:val="00DF013A"/>
    <w:rsid w:val="00DF4D2A"/>
    <w:rsid w:val="00E00FEB"/>
    <w:rsid w:val="00E1334A"/>
    <w:rsid w:val="00E14F63"/>
    <w:rsid w:val="00E20435"/>
    <w:rsid w:val="00E43070"/>
    <w:rsid w:val="00E47D69"/>
    <w:rsid w:val="00E55A67"/>
    <w:rsid w:val="00E56A45"/>
    <w:rsid w:val="00E62F34"/>
    <w:rsid w:val="00E76C5E"/>
    <w:rsid w:val="00E77BC0"/>
    <w:rsid w:val="00E803B7"/>
    <w:rsid w:val="00E856B9"/>
    <w:rsid w:val="00EA0382"/>
    <w:rsid w:val="00EA2F84"/>
    <w:rsid w:val="00EA472B"/>
    <w:rsid w:val="00EA4D71"/>
    <w:rsid w:val="00EC5E20"/>
    <w:rsid w:val="00EC66D9"/>
    <w:rsid w:val="00ED7B36"/>
    <w:rsid w:val="00F0771A"/>
    <w:rsid w:val="00F1381D"/>
    <w:rsid w:val="00F40FC1"/>
    <w:rsid w:val="00F4276F"/>
    <w:rsid w:val="00F542C6"/>
    <w:rsid w:val="00F55D57"/>
    <w:rsid w:val="00F56C93"/>
    <w:rsid w:val="00F60B4F"/>
    <w:rsid w:val="00F62794"/>
    <w:rsid w:val="00F63ED4"/>
    <w:rsid w:val="00F66E22"/>
    <w:rsid w:val="00F70E42"/>
    <w:rsid w:val="00F71F4C"/>
    <w:rsid w:val="00F857FC"/>
    <w:rsid w:val="00F91475"/>
    <w:rsid w:val="00FA140E"/>
    <w:rsid w:val="00FB4826"/>
    <w:rsid w:val="00FE1433"/>
    <w:rsid w:val="00FE1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3DF7"/>
  <w15:docId w15:val="{7FB6AF1D-81F0-4D8A-A963-7C430A14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4EC2"/>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804EC2"/>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804EC2"/>
    <w:rPr>
      <w:vertAlign w:val="superscript"/>
    </w:rPr>
  </w:style>
  <w:style w:type="paragraph" w:styleId="ListParagraph">
    <w:name w:val="List Paragraph"/>
    <w:basedOn w:val="Normal"/>
    <w:uiPriority w:val="34"/>
    <w:qFormat/>
    <w:rsid w:val="00804EC2"/>
    <w:pPr>
      <w:ind w:left="720"/>
      <w:contextualSpacing/>
    </w:pPr>
  </w:style>
  <w:style w:type="character" w:styleId="Strong">
    <w:name w:val="Strong"/>
    <w:basedOn w:val="DefaultParagraphFont"/>
    <w:uiPriority w:val="22"/>
    <w:qFormat/>
    <w:rsid w:val="00260591"/>
    <w:rPr>
      <w:b/>
      <w:bCs/>
    </w:rPr>
  </w:style>
  <w:style w:type="character" w:styleId="Hyperlink">
    <w:name w:val="Hyperlink"/>
    <w:basedOn w:val="DefaultParagraphFont"/>
    <w:uiPriority w:val="99"/>
    <w:unhideWhenUsed/>
    <w:rsid w:val="00260591"/>
    <w:rPr>
      <w:color w:val="0000FF" w:themeColor="hyperlink"/>
      <w:u w:val="single"/>
    </w:rPr>
  </w:style>
  <w:style w:type="paragraph" w:styleId="BalloonText">
    <w:name w:val="Balloon Text"/>
    <w:basedOn w:val="Normal"/>
    <w:link w:val="BalloonTextChar"/>
    <w:uiPriority w:val="99"/>
    <w:semiHidden/>
    <w:unhideWhenUsed/>
    <w:rsid w:val="0002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D6"/>
    <w:rPr>
      <w:rFonts w:ascii="Tahoma" w:hAnsi="Tahoma" w:cs="Tahoma"/>
      <w:sz w:val="16"/>
      <w:szCs w:val="16"/>
    </w:rPr>
  </w:style>
  <w:style w:type="character" w:styleId="CommentReference">
    <w:name w:val="annotation reference"/>
    <w:basedOn w:val="DefaultParagraphFont"/>
    <w:uiPriority w:val="99"/>
    <w:semiHidden/>
    <w:unhideWhenUsed/>
    <w:rsid w:val="009F12DC"/>
    <w:rPr>
      <w:sz w:val="16"/>
      <w:szCs w:val="16"/>
    </w:rPr>
  </w:style>
  <w:style w:type="paragraph" w:styleId="CommentText">
    <w:name w:val="annotation text"/>
    <w:basedOn w:val="Normal"/>
    <w:link w:val="CommentTextChar"/>
    <w:uiPriority w:val="99"/>
    <w:unhideWhenUsed/>
    <w:rsid w:val="009F12DC"/>
    <w:pPr>
      <w:spacing w:line="240" w:lineRule="auto"/>
    </w:pPr>
    <w:rPr>
      <w:sz w:val="20"/>
      <w:szCs w:val="20"/>
    </w:rPr>
  </w:style>
  <w:style w:type="character" w:customStyle="1" w:styleId="CommentTextChar">
    <w:name w:val="Comment Text Char"/>
    <w:basedOn w:val="DefaultParagraphFont"/>
    <w:link w:val="CommentText"/>
    <w:uiPriority w:val="99"/>
    <w:rsid w:val="009F12DC"/>
    <w:rPr>
      <w:sz w:val="20"/>
      <w:szCs w:val="20"/>
    </w:rPr>
  </w:style>
  <w:style w:type="paragraph" w:styleId="CommentSubject">
    <w:name w:val="annotation subject"/>
    <w:basedOn w:val="CommentText"/>
    <w:next w:val="CommentText"/>
    <w:link w:val="CommentSubjectChar"/>
    <w:uiPriority w:val="99"/>
    <w:semiHidden/>
    <w:unhideWhenUsed/>
    <w:rsid w:val="009F12DC"/>
    <w:rPr>
      <w:b/>
      <w:bCs/>
    </w:rPr>
  </w:style>
  <w:style w:type="character" w:customStyle="1" w:styleId="CommentSubjectChar">
    <w:name w:val="Comment Subject Char"/>
    <w:basedOn w:val="CommentTextChar"/>
    <w:link w:val="CommentSubject"/>
    <w:uiPriority w:val="99"/>
    <w:semiHidden/>
    <w:rsid w:val="009F12DC"/>
    <w:rPr>
      <w:b/>
      <w:bCs/>
      <w:sz w:val="20"/>
      <w:szCs w:val="20"/>
    </w:rPr>
  </w:style>
  <w:style w:type="paragraph" w:styleId="Header">
    <w:name w:val="header"/>
    <w:basedOn w:val="Normal"/>
    <w:link w:val="HeaderChar"/>
    <w:uiPriority w:val="99"/>
    <w:unhideWhenUsed/>
    <w:rsid w:val="00331D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1D96"/>
  </w:style>
  <w:style w:type="paragraph" w:styleId="Footer">
    <w:name w:val="footer"/>
    <w:basedOn w:val="Normal"/>
    <w:link w:val="FooterChar"/>
    <w:uiPriority w:val="99"/>
    <w:unhideWhenUsed/>
    <w:rsid w:val="00331D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1D96"/>
  </w:style>
  <w:style w:type="paragraph" w:styleId="BodyTextIndent">
    <w:name w:val="Body Text Indent"/>
    <w:basedOn w:val="Normal"/>
    <w:link w:val="BodyTextIndentChar"/>
    <w:rsid w:val="00BA5B11"/>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A5B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8925-1783-4BFE-A5FB-E3919369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10673</Words>
  <Characters>6084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2021-02-17T15:35:00Z</dcterms:created>
  <dc:creator>Laimutė Žukauskienė</dc:creator>
  <cp:lastModifiedBy>Petrauskaite Agne</cp:lastModifiedBy>
  <cp:lastPrinted>2020-09-30T13:14:00Z</cp:lastPrinted>
  <dcterms:modified xsi:type="dcterms:W3CDTF">2021-02-19T08:46:00Z</dcterms:modified>
  <cp:revision>5</cp:revision>
</cp:coreProperties>
</file>