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CBF307" w14:textId="69329542" w:rsidR="00B44162" w:rsidRDefault="000329C4" w:rsidP="00E862B1">
      <w:pPr>
        <w:pStyle w:val="BodyText"/>
      </w:pPr>
      <w:r>
        <w:t xml:space="preserve">2021 m. sausio 29 d. komisijos </w:t>
      </w:r>
      <w:r w:rsidR="00C202B3">
        <w:t xml:space="preserve">ĮGYVENDINIMO </w:t>
      </w:r>
      <w:r w:rsidR="00B44162">
        <w:t xml:space="preserve">reglamentO (ES) </w:t>
      </w:r>
      <w:r w:rsidR="00C202B3">
        <w:t>2021</w:t>
      </w:r>
      <w:r w:rsidR="00B44162">
        <w:t>/</w:t>
      </w:r>
      <w:r w:rsidR="00C202B3">
        <w:t>111</w:t>
      </w:r>
      <w:r w:rsidR="00B44162">
        <w:t xml:space="preserve"> IR LIETUVOS RESPUBLIKOS VYRIAUSYBĖS nutarimo „</w:t>
      </w:r>
      <w:r w:rsidR="00C202B3" w:rsidRPr="00C202B3">
        <w:t>DĖL 2021 M. SAUSIO 29 D. KOMISIJOS ĮGYVENDINIMO REGLAMENTO (ES) 2021/111, KURIUO TAM TIKRUS GAMINIUS LEIDŽIAMA EKSPORTUOTI TIK PAGAL EKSPORTO LEIDIMĄ, ĮGYVENDINIMO</w:t>
      </w:r>
      <w:r w:rsidR="00B44162">
        <w:t>“ PROJEKTO</w:t>
      </w:r>
    </w:p>
    <w:p w14:paraId="0977039B" w14:textId="15F31E82" w:rsidR="00B44162" w:rsidRPr="009618F3" w:rsidRDefault="00B44162" w:rsidP="00E862B1">
      <w:pPr>
        <w:pStyle w:val="BodyText"/>
      </w:pPr>
      <w:r>
        <w:t>ATITIKTIES LENTELĖ</w:t>
      </w:r>
    </w:p>
    <w:p w14:paraId="35D200E4" w14:textId="77777777" w:rsidR="00476A7A" w:rsidRPr="00C75F5B" w:rsidRDefault="00476A7A" w:rsidP="00E862B1">
      <w:pPr>
        <w:spacing w:after="0" w:line="240" w:lineRule="auto"/>
        <w:rPr>
          <w:rFonts w:ascii="Times New Roman" w:hAnsi="Times New Roman"/>
          <w:sz w:val="24"/>
          <w:szCs w:val="24"/>
        </w:rPr>
      </w:pP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6946"/>
        <w:gridCol w:w="1984"/>
      </w:tblGrid>
      <w:tr w:rsidR="00A77D74" w:rsidRPr="00E862B1" w14:paraId="012667F5" w14:textId="77777777" w:rsidTr="002A1E6D">
        <w:tc>
          <w:tcPr>
            <w:tcW w:w="5812" w:type="dxa"/>
            <w:shd w:val="clear" w:color="auto" w:fill="auto"/>
          </w:tcPr>
          <w:p w14:paraId="5478EB6A" w14:textId="54382339" w:rsidR="00C202B3" w:rsidRPr="00E862B1" w:rsidRDefault="00C1669F" w:rsidP="00E862B1">
            <w:pPr>
              <w:spacing w:after="0" w:line="240" w:lineRule="auto"/>
              <w:jc w:val="both"/>
              <w:rPr>
                <w:rFonts w:ascii="Times New Roman" w:hAnsi="Times New Roman"/>
                <w:b/>
                <w:color w:val="000000"/>
                <w:sz w:val="24"/>
                <w:szCs w:val="24"/>
              </w:rPr>
            </w:pPr>
            <w:r w:rsidRPr="00E862B1">
              <w:rPr>
                <w:rFonts w:ascii="Times New Roman" w:hAnsi="Times New Roman"/>
                <w:b/>
                <w:sz w:val="24"/>
                <w:szCs w:val="24"/>
              </w:rPr>
              <w:t>20</w:t>
            </w:r>
            <w:r w:rsidR="00C202B3" w:rsidRPr="00E862B1">
              <w:rPr>
                <w:rFonts w:ascii="Times New Roman" w:hAnsi="Times New Roman"/>
                <w:b/>
                <w:sz w:val="24"/>
                <w:szCs w:val="24"/>
              </w:rPr>
              <w:t>21</w:t>
            </w:r>
            <w:r w:rsidRPr="00E862B1">
              <w:rPr>
                <w:rFonts w:ascii="Times New Roman" w:hAnsi="Times New Roman"/>
                <w:b/>
                <w:sz w:val="24"/>
                <w:szCs w:val="24"/>
              </w:rPr>
              <w:t xml:space="preserve"> m. </w:t>
            </w:r>
            <w:r w:rsidR="00C202B3" w:rsidRPr="00E862B1">
              <w:rPr>
                <w:rFonts w:ascii="Times New Roman" w:hAnsi="Times New Roman"/>
                <w:b/>
                <w:sz w:val="24"/>
                <w:szCs w:val="24"/>
              </w:rPr>
              <w:t>sausio</w:t>
            </w:r>
            <w:r w:rsidRPr="00E862B1">
              <w:rPr>
                <w:rFonts w:ascii="Times New Roman" w:hAnsi="Times New Roman"/>
                <w:b/>
                <w:sz w:val="24"/>
                <w:szCs w:val="24"/>
              </w:rPr>
              <w:t xml:space="preserve"> </w:t>
            </w:r>
            <w:r w:rsidR="00C202B3" w:rsidRPr="00E862B1">
              <w:rPr>
                <w:rFonts w:ascii="Times New Roman" w:hAnsi="Times New Roman"/>
                <w:b/>
                <w:sz w:val="24"/>
                <w:szCs w:val="24"/>
              </w:rPr>
              <w:t>29</w:t>
            </w:r>
            <w:r w:rsidRPr="00E862B1">
              <w:rPr>
                <w:rFonts w:ascii="Times New Roman" w:hAnsi="Times New Roman"/>
                <w:b/>
                <w:sz w:val="24"/>
                <w:szCs w:val="24"/>
              </w:rPr>
              <w:t xml:space="preserve"> d. </w:t>
            </w:r>
            <w:r w:rsidR="00C202B3" w:rsidRPr="00E862B1">
              <w:rPr>
                <w:rFonts w:ascii="Times New Roman" w:hAnsi="Times New Roman"/>
                <w:b/>
                <w:color w:val="000000"/>
                <w:sz w:val="24"/>
                <w:szCs w:val="24"/>
              </w:rPr>
              <w:t>Komisijos įgyvendinimo reglamentas (ES) 2021/111, kuriuo tam tikrus gaminius leidžiama eksportuoti tik pagal eksporto leidimą</w:t>
            </w:r>
          </w:p>
        </w:tc>
        <w:tc>
          <w:tcPr>
            <w:tcW w:w="6946" w:type="dxa"/>
            <w:shd w:val="clear" w:color="auto" w:fill="auto"/>
          </w:tcPr>
          <w:p w14:paraId="3DEC3160" w14:textId="7A6E5B65" w:rsidR="00C11D4F" w:rsidRPr="00E862B1" w:rsidRDefault="00C1669F" w:rsidP="00E862B1">
            <w:pPr>
              <w:spacing w:after="0" w:line="240" w:lineRule="auto"/>
              <w:jc w:val="both"/>
              <w:rPr>
                <w:rFonts w:ascii="Times New Roman" w:hAnsi="Times New Roman"/>
                <w:b/>
                <w:caps/>
                <w:sz w:val="24"/>
                <w:szCs w:val="24"/>
              </w:rPr>
            </w:pPr>
            <w:r w:rsidRPr="00E862B1">
              <w:rPr>
                <w:rFonts w:ascii="Times New Roman" w:hAnsi="Times New Roman"/>
                <w:b/>
                <w:sz w:val="24"/>
                <w:szCs w:val="24"/>
              </w:rPr>
              <w:t>Lietuvos Respublikos Vyriausybės nutarimo „</w:t>
            </w:r>
            <w:r w:rsidR="00C202B3" w:rsidRPr="00E862B1">
              <w:rPr>
                <w:rFonts w:ascii="Times New Roman" w:hAnsi="Times New Roman"/>
                <w:b/>
                <w:sz w:val="24"/>
                <w:szCs w:val="24"/>
                <w:lang w:eastAsia="lt-LT"/>
              </w:rPr>
              <w:t>Dėl 2021 m. sausio 29 d. Komisijos įgyvendinimo reglamento (ES) 2021/111, kuriuo tam tikrus gaminius leidžiama eksportuoti tik pagal eksporto leidimą, įgyvendinimo</w:t>
            </w:r>
            <w:r w:rsidRPr="00E862B1">
              <w:rPr>
                <w:rFonts w:ascii="Times New Roman" w:hAnsi="Times New Roman"/>
                <w:b/>
                <w:sz w:val="24"/>
                <w:szCs w:val="24"/>
              </w:rPr>
              <w:t>“</w:t>
            </w:r>
            <w:r w:rsidRPr="00E862B1">
              <w:rPr>
                <w:rFonts w:ascii="Times New Roman" w:hAnsi="Times New Roman"/>
                <w:sz w:val="24"/>
                <w:szCs w:val="24"/>
              </w:rPr>
              <w:t xml:space="preserve"> </w:t>
            </w:r>
            <w:r w:rsidRPr="00E862B1">
              <w:rPr>
                <w:rFonts w:ascii="Times New Roman" w:hAnsi="Times New Roman"/>
                <w:b/>
                <w:bCs/>
                <w:sz w:val="24"/>
                <w:szCs w:val="24"/>
              </w:rPr>
              <w:t xml:space="preserve">projektas </w:t>
            </w:r>
            <w:r w:rsidRPr="00E862B1">
              <w:rPr>
                <w:rFonts w:ascii="Times New Roman" w:hAnsi="Times New Roman"/>
                <w:b/>
                <w:caps/>
                <w:sz w:val="24"/>
                <w:szCs w:val="24"/>
              </w:rPr>
              <w:t>(</w:t>
            </w:r>
            <w:r w:rsidRPr="00E862B1">
              <w:rPr>
                <w:rFonts w:ascii="Times New Roman" w:hAnsi="Times New Roman"/>
                <w:b/>
                <w:sz w:val="24"/>
                <w:szCs w:val="24"/>
              </w:rPr>
              <w:t>toliau</w:t>
            </w:r>
            <w:r w:rsidR="00C202B3" w:rsidRPr="00E862B1">
              <w:rPr>
                <w:rFonts w:ascii="Times New Roman" w:hAnsi="Times New Roman"/>
                <w:b/>
                <w:sz w:val="24"/>
                <w:szCs w:val="24"/>
              </w:rPr>
              <w:t xml:space="preserve"> </w:t>
            </w:r>
            <w:r w:rsidRPr="00E862B1">
              <w:rPr>
                <w:rFonts w:ascii="Times New Roman" w:hAnsi="Times New Roman"/>
                <w:b/>
                <w:sz w:val="24"/>
                <w:szCs w:val="24"/>
              </w:rPr>
              <w:t>–</w:t>
            </w:r>
            <w:r w:rsidR="00C202B3" w:rsidRPr="00E862B1">
              <w:rPr>
                <w:rFonts w:ascii="Times New Roman" w:hAnsi="Times New Roman"/>
                <w:b/>
                <w:sz w:val="24"/>
                <w:szCs w:val="24"/>
              </w:rPr>
              <w:t xml:space="preserve"> </w:t>
            </w:r>
            <w:r w:rsidR="00393063" w:rsidRPr="00E862B1">
              <w:rPr>
                <w:rFonts w:ascii="Times New Roman" w:hAnsi="Times New Roman"/>
                <w:b/>
                <w:sz w:val="24"/>
                <w:szCs w:val="24"/>
              </w:rPr>
              <w:t>Vyriausybės nutarimo p</w:t>
            </w:r>
            <w:r w:rsidRPr="00E862B1">
              <w:rPr>
                <w:rFonts w:ascii="Times New Roman" w:hAnsi="Times New Roman"/>
                <w:b/>
                <w:sz w:val="24"/>
                <w:szCs w:val="24"/>
              </w:rPr>
              <w:t>rojektas</w:t>
            </w:r>
            <w:r w:rsidRPr="00E862B1">
              <w:rPr>
                <w:rFonts w:ascii="Times New Roman" w:hAnsi="Times New Roman"/>
                <w:b/>
                <w:caps/>
                <w:sz w:val="24"/>
                <w:szCs w:val="24"/>
              </w:rPr>
              <w:t>).</w:t>
            </w:r>
          </w:p>
          <w:p w14:paraId="292F10FC" w14:textId="77777777" w:rsidR="002A1E6D" w:rsidRPr="00E862B1" w:rsidRDefault="002A1E6D" w:rsidP="00E862B1">
            <w:pPr>
              <w:spacing w:after="0" w:line="240" w:lineRule="auto"/>
              <w:jc w:val="both"/>
              <w:rPr>
                <w:rFonts w:ascii="Times New Roman" w:hAnsi="Times New Roman"/>
                <w:b/>
                <w:caps/>
                <w:sz w:val="24"/>
                <w:szCs w:val="24"/>
              </w:rPr>
            </w:pPr>
          </w:p>
        </w:tc>
        <w:tc>
          <w:tcPr>
            <w:tcW w:w="1984" w:type="dxa"/>
            <w:shd w:val="clear" w:color="auto" w:fill="auto"/>
          </w:tcPr>
          <w:p w14:paraId="0DAB569C" w14:textId="77777777" w:rsidR="00A77D74" w:rsidRPr="00E862B1" w:rsidRDefault="00A77D74" w:rsidP="00E862B1">
            <w:pPr>
              <w:spacing w:after="0" w:line="240" w:lineRule="auto"/>
              <w:jc w:val="both"/>
              <w:rPr>
                <w:rFonts w:ascii="Times New Roman" w:hAnsi="Times New Roman"/>
                <w:b/>
                <w:sz w:val="24"/>
                <w:szCs w:val="24"/>
              </w:rPr>
            </w:pPr>
            <w:r w:rsidRPr="00E862B1">
              <w:rPr>
                <w:rFonts w:ascii="Times New Roman" w:hAnsi="Times New Roman"/>
                <w:b/>
                <w:sz w:val="24"/>
                <w:szCs w:val="24"/>
              </w:rPr>
              <w:t>ES teisės akto straipsnių perkėlimo ir (ar) įgyvendinimo lygis</w:t>
            </w:r>
          </w:p>
        </w:tc>
      </w:tr>
      <w:tr w:rsidR="00433CA4" w:rsidRPr="00E862B1" w14:paraId="1EE3432F" w14:textId="77777777" w:rsidTr="002A1E6D">
        <w:trPr>
          <w:trHeight w:val="3438"/>
        </w:trPr>
        <w:tc>
          <w:tcPr>
            <w:tcW w:w="5812" w:type="dxa"/>
            <w:shd w:val="clear" w:color="auto" w:fill="auto"/>
          </w:tcPr>
          <w:p w14:paraId="141D7514" w14:textId="6019CC32" w:rsidR="00C202B3" w:rsidRPr="00E862B1" w:rsidRDefault="00C202B3" w:rsidP="00E862B1">
            <w:pPr>
              <w:pStyle w:val="CM4"/>
              <w:jc w:val="both"/>
              <w:rPr>
                <w:b/>
                <w:bCs/>
              </w:rPr>
            </w:pPr>
            <w:r w:rsidRPr="00E862B1">
              <w:rPr>
                <w:i/>
                <w:iCs/>
              </w:rPr>
              <w:t xml:space="preserve">1 straipsnis </w:t>
            </w:r>
            <w:r w:rsidRPr="00E862B1">
              <w:rPr>
                <w:b/>
                <w:bCs/>
              </w:rPr>
              <w:t xml:space="preserve">Eksporto leidimas </w:t>
            </w:r>
          </w:p>
          <w:p w14:paraId="2B1333E4" w14:textId="77777777" w:rsidR="003C0264" w:rsidRPr="00E862B1" w:rsidRDefault="003C0264" w:rsidP="00E862B1">
            <w:pPr>
              <w:pStyle w:val="ListParagraph"/>
              <w:spacing w:after="0" w:line="240" w:lineRule="auto"/>
              <w:ind w:left="0"/>
              <w:jc w:val="both"/>
              <w:rPr>
                <w:rFonts w:ascii="Times New Roman" w:hAnsi="Times New Roman"/>
                <w:sz w:val="24"/>
                <w:szCs w:val="24"/>
                <w:lang w:eastAsia="lt-LT"/>
              </w:rPr>
            </w:pPr>
            <w:r w:rsidRPr="00E862B1">
              <w:rPr>
                <w:rFonts w:ascii="Times New Roman" w:hAnsi="Times New Roman"/>
                <w:sz w:val="24"/>
                <w:szCs w:val="24"/>
                <w:lang w:eastAsia="lt-LT"/>
              </w:rPr>
              <w:t>&lt;...&gt;</w:t>
            </w:r>
          </w:p>
          <w:p w14:paraId="796AEE90" w14:textId="77777777" w:rsidR="003C0264" w:rsidRPr="00E862B1" w:rsidRDefault="003C0264" w:rsidP="00E862B1">
            <w:pPr>
              <w:shd w:val="clear" w:color="auto" w:fill="FFFFFF"/>
              <w:spacing w:after="0" w:line="240" w:lineRule="auto"/>
              <w:jc w:val="both"/>
              <w:rPr>
                <w:rFonts w:ascii="Times New Roman" w:eastAsia="Times New Roman" w:hAnsi="Times New Roman"/>
                <w:color w:val="000000"/>
                <w:sz w:val="24"/>
                <w:szCs w:val="24"/>
                <w:lang w:eastAsia="lt-LT"/>
              </w:rPr>
            </w:pPr>
            <w:r w:rsidRPr="00E862B1">
              <w:rPr>
                <w:rFonts w:ascii="Times New Roman" w:eastAsia="Times New Roman" w:hAnsi="Times New Roman"/>
                <w:color w:val="000000"/>
                <w:sz w:val="24"/>
                <w:szCs w:val="24"/>
                <w:lang w:eastAsia="lt-LT"/>
              </w:rPr>
              <w:t>Leidimą suteikia valstybės narės, kurioje gaminami gaminiai, kuriems taikomas šis reglamentas, kompetentingos institucijos ir jis išduodamas raštu arba elektroninėmis priemonėmis.</w:t>
            </w:r>
          </w:p>
          <w:p w14:paraId="7D120464" w14:textId="77777777" w:rsidR="003C0264" w:rsidRPr="00E862B1" w:rsidRDefault="003C0264" w:rsidP="00E862B1">
            <w:pPr>
              <w:pStyle w:val="ListParagraph"/>
              <w:spacing w:after="0" w:line="240" w:lineRule="auto"/>
              <w:ind w:left="0"/>
              <w:jc w:val="both"/>
              <w:rPr>
                <w:rFonts w:ascii="Times New Roman" w:hAnsi="Times New Roman"/>
                <w:sz w:val="24"/>
                <w:szCs w:val="24"/>
                <w:lang w:eastAsia="lt-LT"/>
              </w:rPr>
            </w:pPr>
            <w:r w:rsidRPr="00E862B1">
              <w:rPr>
                <w:rFonts w:ascii="Times New Roman" w:hAnsi="Times New Roman"/>
                <w:sz w:val="24"/>
                <w:szCs w:val="24"/>
                <w:lang w:eastAsia="lt-LT"/>
              </w:rPr>
              <w:t>&lt;...&gt;</w:t>
            </w:r>
          </w:p>
          <w:p w14:paraId="6DF7464F" w14:textId="6F8162C5" w:rsidR="00433CA4" w:rsidRPr="00E862B1" w:rsidRDefault="00C202B3" w:rsidP="00E862B1">
            <w:pPr>
              <w:spacing w:after="0" w:line="240" w:lineRule="auto"/>
              <w:jc w:val="both"/>
              <w:rPr>
                <w:rFonts w:ascii="Times New Roman" w:hAnsi="Times New Roman"/>
                <w:color w:val="000000"/>
                <w:sz w:val="24"/>
                <w:szCs w:val="24"/>
              </w:rPr>
            </w:pPr>
            <w:r w:rsidRPr="00E862B1">
              <w:rPr>
                <w:rFonts w:ascii="Times New Roman" w:hAnsi="Times New Roman"/>
                <w:sz w:val="24"/>
                <w:szCs w:val="24"/>
              </w:rPr>
              <w:t>4.Kompetentinga institucija išduoda eksporto leidimą tik tada, kai dėl eksporto apimties nekyla grėsmė su vakcinų gamintojais sudarytų Sąjungos išankstinių pirkimo sutarčių vykdymui.</w:t>
            </w:r>
          </w:p>
        </w:tc>
        <w:tc>
          <w:tcPr>
            <w:tcW w:w="6946" w:type="dxa"/>
            <w:shd w:val="clear" w:color="auto" w:fill="auto"/>
          </w:tcPr>
          <w:p w14:paraId="4251413B" w14:textId="77777777" w:rsidR="00433CA4" w:rsidRPr="00E862B1" w:rsidRDefault="00393063" w:rsidP="00E862B1">
            <w:pPr>
              <w:tabs>
                <w:tab w:val="left" w:pos="470"/>
              </w:tabs>
              <w:spacing w:after="0" w:line="240" w:lineRule="auto"/>
              <w:jc w:val="both"/>
              <w:rPr>
                <w:rFonts w:ascii="Times New Roman" w:eastAsia="Times New Roman" w:hAnsi="Times New Roman"/>
                <w:b/>
                <w:bCs/>
                <w:sz w:val="24"/>
                <w:szCs w:val="24"/>
              </w:rPr>
            </w:pPr>
            <w:r w:rsidRPr="00E862B1">
              <w:rPr>
                <w:rFonts w:ascii="Times New Roman" w:eastAsia="Times New Roman" w:hAnsi="Times New Roman"/>
                <w:b/>
                <w:bCs/>
                <w:sz w:val="24"/>
                <w:szCs w:val="24"/>
              </w:rPr>
              <w:t>Vyriausybės nutarimo p</w:t>
            </w:r>
            <w:r w:rsidR="00433CA4" w:rsidRPr="00E862B1">
              <w:rPr>
                <w:rFonts w:ascii="Times New Roman" w:eastAsia="Times New Roman" w:hAnsi="Times New Roman"/>
                <w:b/>
                <w:bCs/>
                <w:sz w:val="24"/>
                <w:szCs w:val="24"/>
              </w:rPr>
              <w:t>rojektas</w:t>
            </w:r>
          </w:p>
          <w:p w14:paraId="77B87E94" w14:textId="22812533" w:rsidR="00C202B3" w:rsidRPr="00E862B1" w:rsidRDefault="00C202B3" w:rsidP="00E862B1">
            <w:pPr>
              <w:tabs>
                <w:tab w:val="left" w:pos="470"/>
              </w:tabs>
              <w:spacing w:after="0" w:line="240" w:lineRule="auto"/>
              <w:jc w:val="both"/>
              <w:rPr>
                <w:rFonts w:ascii="Times New Roman" w:eastAsia="Times New Roman" w:hAnsi="Times New Roman"/>
                <w:b/>
                <w:bCs/>
                <w:sz w:val="24"/>
                <w:szCs w:val="24"/>
              </w:rPr>
            </w:pPr>
            <w:r w:rsidRPr="00E862B1">
              <w:rPr>
                <w:rFonts w:ascii="Times New Roman" w:eastAsia="Times New Roman" w:hAnsi="Times New Roman"/>
                <w:b/>
                <w:bCs/>
                <w:sz w:val="24"/>
                <w:szCs w:val="24"/>
              </w:rPr>
              <w:t>„Įgyvendindama 2021 m. sausio 29 d. Komisijos įgyvendinimo reglamentą (ES) 2021/111, kuriuo tam tikrus gaminius leidžiama eksportuoti tik pagal eksporto leidimą, Lietuvos Respublikos Vyriausybė n u t a r i a :</w:t>
            </w:r>
          </w:p>
          <w:p w14:paraId="78EE85F4" w14:textId="7C4EF627" w:rsidR="00433CA4" w:rsidRPr="00E862B1" w:rsidRDefault="00C202B3" w:rsidP="00E862B1">
            <w:pPr>
              <w:tabs>
                <w:tab w:val="left" w:pos="470"/>
              </w:tabs>
              <w:spacing w:after="0" w:line="240" w:lineRule="auto"/>
              <w:jc w:val="both"/>
              <w:rPr>
                <w:rFonts w:ascii="Times New Roman" w:eastAsia="Times New Roman" w:hAnsi="Times New Roman"/>
                <w:b/>
                <w:bCs/>
                <w:sz w:val="24"/>
                <w:szCs w:val="24"/>
              </w:rPr>
            </w:pPr>
            <w:r w:rsidRPr="00E862B1">
              <w:rPr>
                <w:rFonts w:ascii="Times New Roman" w:eastAsia="Times New Roman" w:hAnsi="Times New Roman"/>
                <w:b/>
                <w:bCs/>
                <w:sz w:val="24"/>
                <w:szCs w:val="24"/>
              </w:rPr>
              <w:tab/>
              <w:t xml:space="preserve">Paskirti Valstybinę vaistų kontrolės tarnybą prie Lietuvos Respublikos sveikatos apsaugos ministerijos </w:t>
            </w:r>
            <w:r w:rsidR="00E862B1" w:rsidRPr="00E862B1">
              <w:rPr>
                <w:rFonts w:ascii="Times New Roman" w:eastAsia="Times New Roman" w:hAnsi="Times New Roman"/>
                <w:b/>
                <w:bCs/>
                <w:sz w:val="24"/>
                <w:szCs w:val="24"/>
              </w:rPr>
              <w:t>kompetentinga institucija, atsakinga už Reglamente (ES) 2021/111 nurodytų funkcijų vykdymą</w:t>
            </w:r>
            <w:r w:rsidRPr="00E862B1">
              <w:rPr>
                <w:rFonts w:ascii="Times New Roman" w:eastAsia="Times New Roman" w:hAnsi="Times New Roman"/>
                <w:b/>
                <w:bCs/>
                <w:sz w:val="24"/>
                <w:szCs w:val="24"/>
              </w:rPr>
              <w:t>.“</w:t>
            </w:r>
          </w:p>
        </w:tc>
        <w:tc>
          <w:tcPr>
            <w:tcW w:w="1984" w:type="dxa"/>
            <w:shd w:val="clear" w:color="auto" w:fill="auto"/>
          </w:tcPr>
          <w:p w14:paraId="7195E79C" w14:textId="77777777" w:rsidR="00433CA4" w:rsidRPr="00E862B1" w:rsidRDefault="00433CA4" w:rsidP="00E862B1">
            <w:pPr>
              <w:spacing w:after="0" w:line="240" w:lineRule="auto"/>
              <w:jc w:val="both"/>
              <w:rPr>
                <w:rFonts w:ascii="Times New Roman" w:hAnsi="Times New Roman"/>
                <w:sz w:val="24"/>
                <w:szCs w:val="24"/>
              </w:rPr>
            </w:pPr>
            <w:r w:rsidRPr="00E862B1">
              <w:rPr>
                <w:rFonts w:ascii="Times New Roman" w:hAnsi="Times New Roman"/>
                <w:sz w:val="24"/>
                <w:szCs w:val="24"/>
              </w:rPr>
              <w:t>Visiškas</w:t>
            </w:r>
          </w:p>
        </w:tc>
      </w:tr>
      <w:tr w:rsidR="00F60670" w:rsidRPr="00E862B1" w14:paraId="3EDFC3BA" w14:textId="77777777" w:rsidTr="002A1E6D">
        <w:tc>
          <w:tcPr>
            <w:tcW w:w="5812" w:type="dxa"/>
            <w:shd w:val="clear" w:color="auto" w:fill="auto"/>
          </w:tcPr>
          <w:p w14:paraId="698A644D" w14:textId="5C799AD5" w:rsidR="00F60670" w:rsidRPr="00E862B1" w:rsidRDefault="000116F8" w:rsidP="00E862B1">
            <w:pPr>
              <w:pStyle w:val="CM4"/>
              <w:jc w:val="both"/>
              <w:rPr>
                <w:b/>
                <w:iCs/>
                <w:color w:val="000000"/>
              </w:rPr>
            </w:pPr>
            <w:r w:rsidRPr="00E862B1">
              <w:rPr>
                <w:i/>
                <w:iCs/>
              </w:rPr>
              <w:t xml:space="preserve">2 straipsnis </w:t>
            </w:r>
            <w:r w:rsidRPr="00E862B1">
              <w:rPr>
                <w:b/>
                <w:bCs/>
              </w:rPr>
              <w:t xml:space="preserve">Procedūra </w:t>
            </w:r>
          </w:p>
          <w:p w14:paraId="4444BF51" w14:textId="7CB1486F" w:rsidR="000116F8" w:rsidRPr="00732A6B" w:rsidRDefault="00E6286B" w:rsidP="00E862B1">
            <w:pPr>
              <w:pStyle w:val="ListParagraph"/>
              <w:spacing w:after="0" w:line="240" w:lineRule="auto"/>
              <w:ind w:left="0"/>
              <w:jc w:val="both"/>
              <w:rPr>
                <w:rFonts w:ascii="Times New Roman" w:hAnsi="Times New Roman"/>
                <w:sz w:val="24"/>
                <w:szCs w:val="24"/>
                <w:lang w:eastAsia="lt-LT"/>
              </w:rPr>
            </w:pPr>
            <w:r w:rsidRPr="00732A6B">
              <w:rPr>
                <w:rFonts w:ascii="Times New Roman" w:hAnsi="Times New Roman"/>
                <w:sz w:val="24"/>
                <w:szCs w:val="24"/>
              </w:rPr>
              <w:t xml:space="preserve">1.Prašymas išduoti eksporto leidimą pateikiamas valstybių narių, kuriose gaminami gaminiai, kuriems taikomas šis reglamentas, kompetentingoms institucijoms ir jame pateikiama I priede nurodyta informacija ir II priede nurodyti taikomi papildomi TARIC kodai. Be to, jame taip pat pateikiama informacija apie vakcinų dozių, kurioms taikomas šis reglamentas, pristatytų Sąjungoje nuo 2020 </w:t>
            </w:r>
            <w:proofErr w:type="spellStart"/>
            <w:r w:rsidRPr="00732A6B">
              <w:rPr>
                <w:rFonts w:ascii="Times New Roman" w:hAnsi="Times New Roman"/>
                <w:sz w:val="24"/>
                <w:szCs w:val="24"/>
              </w:rPr>
              <w:t>m.</w:t>
            </w:r>
            <w:proofErr w:type="spellEnd"/>
            <w:r w:rsidRPr="00732A6B">
              <w:rPr>
                <w:rFonts w:ascii="Times New Roman" w:hAnsi="Times New Roman"/>
                <w:sz w:val="24"/>
                <w:szCs w:val="24"/>
              </w:rPr>
              <w:t xml:space="preserve"> gruodžio 1 d., skaičių pagal valstybes nares, taip pat informacija apie vakcinų dozių, kurioms taikomas šis reglamentas, pristatytų Šiaurės Airijoje nuo šio reglamento įsigaliojimo, skaičių. 2.Valstybių narių kompetentingos institucijos išnagrinėja eksporto leidimų paraiškas kuo </w:t>
            </w:r>
            <w:r w:rsidRPr="00732A6B">
              <w:rPr>
                <w:rFonts w:ascii="Times New Roman" w:hAnsi="Times New Roman"/>
                <w:sz w:val="24"/>
                <w:szCs w:val="24"/>
              </w:rPr>
              <w:lastRenderedPageBreak/>
              <w:t xml:space="preserve">greičiau ir sprendimo projektą paskelbia ne vėliau nei per dvi darbo dienas nuo tos dienos, kurią kompetentingoms institucijoms buvo pateikta visa reikiama informacija. Išimtinėmis aplinkybėmis ir dėl tinkamai pagrįstų priežasčių tas laikotarpis gali būti pratęstas dar dviem darbo dienomis. 3.Valstybės narės nedelsdamos praneša Komisijai apie paraiškas e. pašto adresu SANTE-PHARMACEUTICALS-B4@ec.europa.eu. 4.Kompetentinga institucija savo sprendimo projektą Europos Komisijai praneša tuo pačiu e. pašto adresu. 5.Nesutikimo su valstybės narės parengtu sprendimo projektu atveju, Komisija per vieną darbo dieną nuo pranešimo apie valstybės narės sprendimo projektą gavimo pateikia nuomonę kompetentingai institucijai. Komisija įvertina eksporto, kuriam prašomas leidimas, poveikį atitinkamų išankstinių pirkimo sutarčių vykdymui Sąjungoje. Valstybė narė priima sprendimą dėl prašomo leidimo, remdamasi Komisijos nuomone. </w:t>
            </w:r>
            <w:r w:rsidR="000116F8" w:rsidRPr="00732A6B">
              <w:rPr>
                <w:rFonts w:ascii="Times New Roman" w:hAnsi="Times New Roman"/>
                <w:sz w:val="24"/>
                <w:szCs w:val="24"/>
                <w:lang w:eastAsia="lt-LT"/>
              </w:rPr>
              <w:t>&lt;...&gt;</w:t>
            </w:r>
          </w:p>
          <w:p w14:paraId="186186EF" w14:textId="77777777" w:rsidR="00732A6B" w:rsidRPr="00732A6B" w:rsidRDefault="00732A6B" w:rsidP="00E862B1">
            <w:pPr>
              <w:spacing w:after="0" w:line="240" w:lineRule="auto"/>
              <w:jc w:val="both"/>
              <w:rPr>
                <w:rFonts w:ascii="Times New Roman" w:hAnsi="Times New Roman"/>
                <w:sz w:val="24"/>
                <w:szCs w:val="24"/>
              </w:rPr>
            </w:pPr>
            <w:r w:rsidRPr="00732A6B">
              <w:rPr>
                <w:rFonts w:ascii="Times New Roman" w:hAnsi="Times New Roman"/>
                <w:sz w:val="24"/>
                <w:szCs w:val="24"/>
              </w:rPr>
              <w:t xml:space="preserve">6.Vakcinų gamintojai, sudarę išankstines pirkimo sutartis, kartu su pirmuoju leidimo prašymu elektroniniu būdu pateikia Komisijai (adresu: SANTE-PHARMACEUTICALS-B4@ec.europa.eu) ir kompetentingoms valstybės narės institucijoms atitinkamus duomenis apie savo eksportą per paskutinius tris mėnesius iki šio reglamento įsigaliojimo. Šioje informacijoje nurodoma COVID-19 vakcinų eksporto apimtis, galutinė paskirties vieta, galutiniai gavėjai ir pateiktas tikslus gaminių aprašymas. Nepateikus tokios informacijos, gali būti atsisakyta suteikti eksporto leidimus. </w:t>
            </w:r>
          </w:p>
          <w:p w14:paraId="4D2CE9FC" w14:textId="77777777" w:rsidR="00B25A3B" w:rsidRDefault="00732A6B" w:rsidP="00E862B1">
            <w:pPr>
              <w:spacing w:after="0" w:line="240" w:lineRule="auto"/>
              <w:jc w:val="both"/>
              <w:rPr>
                <w:sz w:val="19"/>
                <w:szCs w:val="19"/>
              </w:rPr>
            </w:pPr>
            <w:r w:rsidRPr="00732A6B">
              <w:rPr>
                <w:rFonts w:ascii="Times New Roman" w:hAnsi="Times New Roman"/>
                <w:sz w:val="24"/>
                <w:szCs w:val="24"/>
              </w:rPr>
              <w:t>7.Valstybių narių kompetentingos institucijos gali nuspręsti eksporto leidimo paraiškų nagrinėjimui naudoti elektroninius dokumentus. 8.Kompetentingos valstybių narių institucijos gali patikrinti pagal 6 dalį pateiktą informaciją paraiškos teikėjo patalpose net ir tada, kai leidimas jau suteiktas.</w:t>
            </w:r>
            <w:r>
              <w:rPr>
                <w:sz w:val="19"/>
                <w:szCs w:val="19"/>
              </w:rPr>
              <w:t xml:space="preserve"> </w:t>
            </w:r>
          </w:p>
          <w:p w14:paraId="3273CF06" w14:textId="3E2FDC8D" w:rsidR="009F120D" w:rsidRPr="00E862B1" w:rsidRDefault="009F120D" w:rsidP="00E862B1">
            <w:pPr>
              <w:spacing w:after="0" w:line="240" w:lineRule="auto"/>
              <w:jc w:val="both"/>
              <w:rPr>
                <w:rFonts w:ascii="Times New Roman" w:hAnsi="Times New Roman"/>
                <w:sz w:val="24"/>
                <w:szCs w:val="24"/>
                <w:lang w:eastAsia="lt-LT"/>
              </w:rPr>
            </w:pPr>
          </w:p>
        </w:tc>
        <w:tc>
          <w:tcPr>
            <w:tcW w:w="6946" w:type="dxa"/>
            <w:shd w:val="clear" w:color="auto" w:fill="auto"/>
          </w:tcPr>
          <w:p w14:paraId="7722C186" w14:textId="77777777" w:rsidR="000116F8" w:rsidRPr="00E862B1" w:rsidRDefault="000116F8" w:rsidP="00E862B1">
            <w:pPr>
              <w:tabs>
                <w:tab w:val="left" w:pos="470"/>
              </w:tabs>
              <w:spacing w:after="0" w:line="240" w:lineRule="auto"/>
              <w:jc w:val="both"/>
              <w:rPr>
                <w:rFonts w:ascii="Times New Roman" w:eastAsia="Times New Roman" w:hAnsi="Times New Roman"/>
                <w:b/>
                <w:bCs/>
                <w:sz w:val="24"/>
                <w:szCs w:val="24"/>
              </w:rPr>
            </w:pPr>
            <w:r w:rsidRPr="00E862B1">
              <w:rPr>
                <w:rFonts w:ascii="Times New Roman" w:eastAsia="Times New Roman" w:hAnsi="Times New Roman"/>
                <w:b/>
                <w:bCs/>
                <w:sz w:val="24"/>
                <w:szCs w:val="24"/>
              </w:rPr>
              <w:lastRenderedPageBreak/>
              <w:t>Vyriausybės nutarimo projektas</w:t>
            </w:r>
          </w:p>
          <w:p w14:paraId="0B673615" w14:textId="77777777" w:rsidR="000116F8" w:rsidRPr="00E862B1" w:rsidRDefault="000116F8" w:rsidP="00E862B1">
            <w:pPr>
              <w:tabs>
                <w:tab w:val="left" w:pos="470"/>
              </w:tabs>
              <w:spacing w:after="0" w:line="240" w:lineRule="auto"/>
              <w:jc w:val="both"/>
              <w:rPr>
                <w:rFonts w:ascii="Times New Roman" w:eastAsia="Times New Roman" w:hAnsi="Times New Roman"/>
                <w:b/>
                <w:bCs/>
                <w:sz w:val="24"/>
                <w:szCs w:val="24"/>
              </w:rPr>
            </w:pPr>
            <w:r w:rsidRPr="00E862B1">
              <w:rPr>
                <w:rFonts w:ascii="Times New Roman" w:eastAsia="Times New Roman" w:hAnsi="Times New Roman"/>
                <w:b/>
                <w:bCs/>
                <w:sz w:val="24"/>
                <w:szCs w:val="24"/>
              </w:rPr>
              <w:t>„Įgyvendindama 2021 m. sausio 29 d. Komisijos įgyvendinimo reglamentą (ES) 2021/111, kuriuo tam tikrus gaminius leidžiama eksportuoti tik pagal eksporto leidimą, Lietuvos Respublikos Vyriausybė n u t a r i a :</w:t>
            </w:r>
          </w:p>
          <w:p w14:paraId="4E81C2D2" w14:textId="2E3BB9D7" w:rsidR="00B25A3B" w:rsidRPr="00E862B1" w:rsidRDefault="000116F8" w:rsidP="00E862B1">
            <w:pPr>
              <w:spacing w:after="0" w:line="240" w:lineRule="auto"/>
              <w:jc w:val="both"/>
              <w:rPr>
                <w:rFonts w:ascii="Times New Roman" w:hAnsi="Times New Roman"/>
                <w:sz w:val="24"/>
                <w:szCs w:val="24"/>
                <w:lang w:eastAsia="lt-LT"/>
              </w:rPr>
            </w:pPr>
            <w:r w:rsidRPr="00E862B1">
              <w:rPr>
                <w:rFonts w:ascii="Times New Roman" w:eastAsia="Times New Roman" w:hAnsi="Times New Roman"/>
                <w:b/>
                <w:bCs/>
                <w:sz w:val="24"/>
                <w:szCs w:val="24"/>
              </w:rPr>
              <w:tab/>
              <w:t xml:space="preserve">Paskirti Valstybinę vaistų kontrolės tarnybą prie Lietuvos Respublikos sveikatos apsaugos ministerijos </w:t>
            </w:r>
            <w:r w:rsidR="00E862B1" w:rsidRPr="00E862B1">
              <w:rPr>
                <w:rFonts w:ascii="Times New Roman" w:eastAsia="Times New Roman" w:hAnsi="Times New Roman"/>
                <w:b/>
                <w:bCs/>
                <w:sz w:val="24"/>
                <w:szCs w:val="24"/>
              </w:rPr>
              <w:t>kompetentinga institucija, atsakinga už Reglamente (ES) 2021/111 nurodytų funkcijų vykdymą</w:t>
            </w:r>
            <w:r w:rsidRPr="00E862B1">
              <w:rPr>
                <w:rFonts w:ascii="Times New Roman" w:eastAsia="Times New Roman" w:hAnsi="Times New Roman"/>
                <w:b/>
                <w:bCs/>
                <w:sz w:val="24"/>
                <w:szCs w:val="24"/>
              </w:rPr>
              <w:t>.“</w:t>
            </w:r>
          </w:p>
        </w:tc>
        <w:tc>
          <w:tcPr>
            <w:tcW w:w="1984" w:type="dxa"/>
            <w:shd w:val="clear" w:color="auto" w:fill="auto"/>
          </w:tcPr>
          <w:p w14:paraId="631BDC50" w14:textId="77777777" w:rsidR="00F60670" w:rsidRPr="00E862B1" w:rsidRDefault="003033FB" w:rsidP="00E862B1">
            <w:pPr>
              <w:spacing w:after="0" w:line="240" w:lineRule="auto"/>
              <w:jc w:val="both"/>
              <w:rPr>
                <w:rFonts w:ascii="Times New Roman" w:hAnsi="Times New Roman"/>
                <w:sz w:val="24"/>
                <w:szCs w:val="24"/>
              </w:rPr>
            </w:pPr>
            <w:r w:rsidRPr="00E862B1">
              <w:rPr>
                <w:rFonts w:ascii="Times New Roman" w:hAnsi="Times New Roman"/>
                <w:sz w:val="24"/>
                <w:szCs w:val="24"/>
              </w:rPr>
              <w:t>Visiškas</w:t>
            </w:r>
          </w:p>
        </w:tc>
      </w:tr>
      <w:tr w:rsidR="00732A6B" w:rsidRPr="00E862B1" w14:paraId="225900F6" w14:textId="77777777" w:rsidTr="002A1E6D">
        <w:tc>
          <w:tcPr>
            <w:tcW w:w="5812" w:type="dxa"/>
            <w:shd w:val="clear" w:color="auto" w:fill="auto"/>
          </w:tcPr>
          <w:p w14:paraId="15B01875" w14:textId="77777777" w:rsidR="00732A6B" w:rsidRPr="009F120D" w:rsidRDefault="00732A6B" w:rsidP="00E862B1">
            <w:pPr>
              <w:pStyle w:val="CM4"/>
              <w:jc w:val="both"/>
              <w:rPr>
                <w:i/>
                <w:iCs/>
              </w:rPr>
            </w:pPr>
            <w:r w:rsidRPr="009F120D">
              <w:rPr>
                <w:i/>
                <w:iCs/>
              </w:rPr>
              <w:lastRenderedPageBreak/>
              <w:t xml:space="preserve">3 straipsnis </w:t>
            </w:r>
          </w:p>
          <w:p w14:paraId="63499196" w14:textId="77777777" w:rsidR="00732A6B" w:rsidRPr="009F120D" w:rsidRDefault="00732A6B" w:rsidP="00E862B1">
            <w:pPr>
              <w:pStyle w:val="CM4"/>
              <w:jc w:val="both"/>
              <w:rPr>
                <w:b/>
                <w:bCs/>
              </w:rPr>
            </w:pPr>
            <w:r w:rsidRPr="009F120D">
              <w:rPr>
                <w:b/>
                <w:bCs/>
              </w:rPr>
              <w:t xml:space="preserve">Pranešimai </w:t>
            </w:r>
          </w:p>
          <w:p w14:paraId="2BC36E32" w14:textId="77777777" w:rsidR="00732A6B" w:rsidRPr="009F120D" w:rsidRDefault="00732A6B" w:rsidP="00E862B1">
            <w:pPr>
              <w:pStyle w:val="CM4"/>
              <w:jc w:val="both"/>
            </w:pPr>
            <w:r w:rsidRPr="009F120D">
              <w:t xml:space="preserve">1.Valstybės narės nedelsdamos praneša Komisijai apie išduotus leidimus ir atmestas paraiškas. </w:t>
            </w:r>
          </w:p>
          <w:p w14:paraId="2AE0C84A" w14:textId="151A0FBA" w:rsidR="00732A6B" w:rsidRPr="009F120D" w:rsidRDefault="00732A6B" w:rsidP="00E862B1">
            <w:pPr>
              <w:pStyle w:val="CM4"/>
              <w:jc w:val="both"/>
            </w:pPr>
            <w:r w:rsidRPr="009F120D">
              <w:t xml:space="preserve">2.Šiuose pranešimuose pateikiama ši informacija: (a) kompetentingos institucijos pavadinimas ir kontaktiniai duomenys; (b) eksportuotojo tapatybė; (c) paskirties šalis; (d) galutinis gavėjas; (e) sutikimas išduoti eksporto leidimą arba ne; (f) prekės kodas; (g) kiekis, išreikštas vakcinos dozių skaičiumi; (h) prekių matavimo vienetas ir aprašymas; (i) informacija apie vakcinų dozių, kurioms taikomas šis reglamentas, pristatytų Sąjungoje nuo 2020 </w:t>
            </w:r>
            <w:proofErr w:type="spellStart"/>
            <w:r w:rsidRPr="009F120D">
              <w:t>m.</w:t>
            </w:r>
            <w:proofErr w:type="spellEnd"/>
            <w:r w:rsidRPr="009F120D">
              <w:t xml:space="preserve"> gruodžio 1 d., skaičių pagal valstybes nares. Pranešimas siunčiamas elektroniniu būdu adresu </w:t>
            </w:r>
            <w:hyperlink r:id="rId8" w:history="1">
              <w:r w:rsidRPr="009F120D">
                <w:rPr>
                  <w:rStyle w:val="Hyperlink"/>
                </w:rPr>
                <w:t>SANTE-PHARMACEUTICALS-B4@ec.europa.eu</w:t>
              </w:r>
            </w:hyperlink>
            <w:r w:rsidRPr="009F120D">
              <w:t xml:space="preserve">. </w:t>
            </w:r>
          </w:p>
          <w:p w14:paraId="223C5564" w14:textId="03673ECC" w:rsidR="00732A6B" w:rsidRPr="009F120D" w:rsidRDefault="00732A6B" w:rsidP="00E862B1">
            <w:pPr>
              <w:pStyle w:val="CM4"/>
              <w:jc w:val="both"/>
              <w:rPr>
                <w:i/>
                <w:iCs/>
              </w:rPr>
            </w:pPr>
            <w:r w:rsidRPr="009F120D">
              <w:t>3.Komisija viešai skelbia šią informaciją apie suteiktus leidimus ir atmestas paraiškas, tinkamai atsižvelgusi į pateiktų duomenų konfidencialumą.</w:t>
            </w:r>
          </w:p>
        </w:tc>
        <w:tc>
          <w:tcPr>
            <w:tcW w:w="6946" w:type="dxa"/>
            <w:shd w:val="clear" w:color="auto" w:fill="auto"/>
          </w:tcPr>
          <w:p w14:paraId="5C8E8C09" w14:textId="77777777" w:rsidR="009F120D" w:rsidRPr="00E862B1" w:rsidRDefault="009F120D" w:rsidP="009F120D">
            <w:pPr>
              <w:tabs>
                <w:tab w:val="left" w:pos="470"/>
              </w:tabs>
              <w:spacing w:after="0" w:line="240" w:lineRule="auto"/>
              <w:jc w:val="both"/>
              <w:rPr>
                <w:rFonts w:ascii="Times New Roman" w:eastAsia="Times New Roman" w:hAnsi="Times New Roman"/>
                <w:b/>
                <w:bCs/>
                <w:sz w:val="24"/>
                <w:szCs w:val="24"/>
              </w:rPr>
            </w:pPr>
            <w:r w:rsidRPr="00E862B1">
              <w:rPr>
                <w:rFonts w:ascii="Times New Roman" w:eastAsia="Times New Roman" w:hAnsi="Times New Roman"/>
                <w:b/>
                <w:bCs/>
                <w:sz w:val="24"/>
                <w:szCs w:val="24"/>
              </w:rPr>
              <w:t>Vyriausybės nutarimo projektas</w:t>
            </w:r>
          </w:p>
          <w:p w14:paraId="639F1DB8" w14:textId="77777777" w:rsidR="009F120D" w:rsidRPr="00E862B1" w:rsidRDefault="009F120D" w:rsidP="009F120D">
            <w:pPr>
              <w:tabs>
                <w:tab w:val="left" w:pos="470"/>
              </w:tabs>
              <w:spacing w:after="0" w:line="240" w:lineRule="auto"/>
              <w:jc w:val="both"/>
              <w:rPr>
                <w:rFonts w:ascii="Times New Roman" w:eastAsia="Times New Roman" w:hAnsi="Times New Roman"/>
                <w:b/>
                <w:bCs/>
                <w:sz w:val="24"/>
                <w:szCs w:val="24"/>
              </w:rPr>
            </w:pPr>
            <w:r w:rsidRPr="00E862B1">
              <w:rPr>
                <w:rFonts w:ascii="Times New Roman" w:eastAsia="Times New Roman" w:hAnsi="Times New Roman"/>
                <w:b/>
                <w:bCs/>
                <w:sz w:val="24"/>
                <w:szCs w:val="24"/>
              </w:rPr>
              <w:t xml:space="preserve">„Įgyvendindama 2021 </w:t>
            </w:r>
            <w:proofErr w:type="spellStart"/>
            <w:r w:rsidRPr="00E862B1">
              <w:rPr>
                <w:rFonts w:ascii="Times New Roman" w:eastAsia="Times New Roman" w:hAnsi="Times New Roman"/>
                <w:b/>
                <w:bCs/>
                <w:sz w:val="24"/>
                <w:szCs w:val="24"/>
              </w:rPr>
              <w:t>m.</w:t>
            </w:r>
            <w:proofErr w:type="spellEnd"/>
            <w:r w:rsidRPr="00E862B1">
              <w:rPr>
                <w:rFonts w:ascii="Times New Roman" w:eastAsia="Times New Roman" w:hAnsi="Times New Roman"/>
                <w:b/>
                <w:bCs/>
                <w:sz w:val="24"/>
                <w:szCs w:val="24"/>
              </w:rPr>
              <w:t xml:space="preserve"> sausio 29 d. Komisijos įgyvendinimo reglamentą (ES) 2021/111, kuriuo tam tikrus gaminius leidžiama eksportuoti tik pagal eksporto leidimą, Lietuvos Respublikos Vyriausybė n u t a r i a :</w:t>
            </w:r>
          </w:p>
          <w:p w14:paraId="7FA498E4" w14:textId="6A43FD9F" w:rsidR="00732A6B" w:rsidRPr="00E862B1" w:rsidRDefault="009F120D" w:rsidP="009F120D">
            <w:pPr>
              <w:tabs>
                <w:tab w:val="left" w:pos="470"/>
              </w:tabs>
              <w:spacing w:after="0" w:line="240" w:lineRule="auto"/>
              <w:jc w:val="both"/>
              <w:rPr>
                <w:rFonts w:ascii="Times New Roman" w:eastAsia="Times New Roman" w:hAnsi="Times New Roman"/>
                <w:b/>
                <w:bCs/>
                <w:sz w:val="24"/>
                <w:szCs w:val="24"/>
              </w:rPr>
            </w:pPr>
            <w:r w:rsidRPr="00E862B1">
              <w:rPr>
                <w:rFonts w:ascii="Times New Roman" w:eastAsia="Times New Roman" w:hAnsi="Times New Roman"/>
                <w:b/>
                <w:bCs/>
                <w:sz w:val="24"/>
                <w:szCs w:val="24"/>
              </w:rPr>
              <w:tab/>
              <w:t>Paskirti Valstybinę vaistų kontrolės tarnybą prie Lietuvos Respublikos sveikatos apsaugos ministerijos kompetentinga institucija, atsakinga už Reglamente (ES) 2021/111 nurodytų funkcijų vykdymą.“</w:t>
            </w:r>
          </w:p>
        </w:tc>
        <w:tc>
          <w:tcPr>
            <w:tcW w:w="1984" w:type="dxa"/>
            <w:shd w:val="clear" w:color="auto" w:fill="auto"/>
          </w:tcPr>
          <w:p w14:paraId="688A728A" w14:textId="1247F584" w:rsidR="00732A6B" w:rsidRPr="00E862B1" w:rsidRDefault="009F120D" w:rsidP="00E862B1">
            <w:pPr>
              <w:spacing w:after="0" w:line="240" w:lineRule="auto"/>
              <w:jc w:val="both"/>
              <w:rPr>
                <w:rFonts w:ascii="Times New Roman" w:hAnsi="Times New Roman"/>
                <w:sz w:val="24"/>
                <w:szCs w:val="24"/>
              </w:rPr>
            </w:pPr>
            <w:r w:rsidRPr="00E862B1">
              <w:rPr>
                <w:rFonts w:ascii="Times New Roman" w:hAnsi="Times New Roman"/>
                <w:sz w:val="24"/>
                <w:szCs w:val="24"/>
              </w:rPr>
              <w:t>Visiškas</w:t>
            </w:r>
          </w:p>
        </w:tc>
      </w:tr>
      <w:tr w:rsidR="009F120D" w:rsidRPr="00E862B1" w14:paraId="16E0F82B" w14:textId="77777777" w:rsidTr="002A1E6D">
        <w:tc>
          <w:tcPr>
            <w:tcW w:w="5812" w:type="dxa"/>
            <w:shd w:val="clear" w:color="auto" w:fill="auto"/>
          </w:tcPr>
          <w:p w14:paraId="39B497D7" w14:textId="77777777" w:rsidR="009F120D" w:rsidRPr="009F120D" w:rsidRDefault="009F120D" w:rsidP="00E862B1">
            <w:pPr>
              <w:pStyle w:val="CM4"/>
              <w:jc w:val="both"/>
              <w:rPr>
                <w:i/>
                <w:iCs/>
              </w:rPr>
            </w:pPr>
            <w:r w:rsidRPr="009F120D">
              <w:rPr>
                <w:i/>
                <w:iCs/>
              </w:rPr>
              <w:t xml:space="preserve">I PRIEDAS </w:t>
            </w:r>
          </w:p>
          <w:p w14:paraId="0430CC1B" w14:textId="77777777" w:rsidR="009F120D" w:rsidRDefault="009F120D" w:rsidP="00E862B1">
            <w:pPr>
              <w:pStyle w:val="CM4"/>
              <w:jc w:val="both"/>
              <w:rPr>
                <w:b/>
                <w:bCs/>
              </w:rPr>
            </w:pPr>
            <w:r w:rsidRPr="009F120D">
              <w:rPr>
                <w:b/>
                <w:bCs/>
              </w:rPr>
              <w:t xml:space="preserve">1 straipsnyje nurodyto eksporto leidimo formos pavyzdys </w:t>
            </w:r>
          </w:p>
          <w:p w14:paraId="5C122D71" w14:textId="77777777" w:rsidR="009F120D" w:rsidRDefault="009F120D" w:rsidP="00E862B1">
            <w:pPr>
              <w:pStyle w:val="CM4"/>
              <w:jc w:val="both"/>
            </w:pPr>
            <w:r w:rsidRPr="009F120D">
              <w:t>Valstybės narės užtikrina, kad išduotoje formoje aiškiai matytųsi leidimo pobūdis. Eksporto leidimas galioja visose Europos Sąjungos valstybėse narėse iki jo galiojimo pabaigos dienos.</w:t>
            </w:r>
          </w:p>
          <w:p w14:paraId="4B62160D" w14:textId="3FA77487" w:rsidR="009F120D" w:rsidRPr="009F120D" w:rsidRDefault="009F120D" w:rsidP="009F120D">
            <w:pPr>
              <w:rPr>
                <w:rFonts w:ascii="Times New Roman" w:hAnsi="Times New Roman"/>
                <w:sz w:val="24"/>
                <w:szCs w:val="24"/>
                <w:lang w:eastAsia="lt-LT"/>
              </w:rPr>
            </w:pPr>
            <w:r>
              <w:rPr>
                <w:rFonts w:ascii="Times New Roman" w:hAnsi="Times New Roman"/>
                <w:sz w:val="24"/>
                <w:szCs w:val="24"/>
                <w:lang w:eastAsia="lt-LT"/>
              </w:rPr>
              <w:t>&lt;...&gt;</w:t>
            </w:r>
          </w:p>
        </w:tc>
        <w:tc>
          <w:tcPr>
            <w:tcW w:w="6946" w:type="dxa"/>
            <w:shd w:val="clear" w:color="auto" w:fill="auto"/>
          </w:tcPr>
          <w:p w14:paraId="1DF1409A" w14:textId="77777777" w:rsidR="009F120D" w:rsidRPr="00E862B1" w:rsidRDefault="009F120D" w:rsidP="009F120D">
            <w:pPr>
              <w:tabs>
                <w:tab w:val="left" w:pos="470"/>
              </w:tabs>
              <w:spacing w:after="0" w:line="240" w:lineRule="auto"/>
              <w:jc w:val="both"/>
              <w:rPr>
                <w:rFonts w:ascii="Times New Roman" w:eastAsia="Times New Roman" w:hAnsi="Times New Roman"/>
                <w:b/>
                <w:bCs/>
                <w:sz w:val="24"/>
                <w:szCs w:val="24"/>
              </w:rPr>
            </w:pPr>
            <w:r w:rsidRPr="00E862B1">
              <w:rPr>
                <w:rFonts w:ascii="Times New Roman" w:eastAsia="Times New Roman" w:hAnsi="Times New Roman"/>
                <w:b/>
                <w:bCs/>
                <w:sz w:val="24"/>
                <w:szCs w:val="24"/>
              </w:rPr>
              <w:t>Vyriausybės nutarimo projektas</w:t>
            </w:r>
          </w:p>
          <w:p w14:paraId="4B481775" w14:textId="77777777" w:rsidR="009F120D" w:rsidRPr="00E862B1" w:rsidRDefault="009F120D" w:rsidP="009F120D">
            <w:pPr>
              <w:tabs>
                <w:tab w:val="left" w:pos="470"/>
              </w:tabs>
              <w:spacing w:after="0" w:line="240" w:lineRule="auto"/>
              <w:jc w:val="both"/>
              <w:rPr>
                <w:rFonts w:ascii="Times New Roman" w:eastAsia="Times New Roman" w:hAnsi="Times New Roman"/>
                <w:b/>
                <w:bCs/>
                <w:sz w:val="24"/>
                <w:szCs w:val="24"/>
              </w:rPr>
            </w:pPr>
            <w:r w:rsidRPr="00E862B1">
              <w:rPr>
                <w:rFonts w:ascii="Times New Roman" w:eastAsia="Times New Roman" w:hAnsi="Times New Roman"/>
                <w:b/>
                <w:bCs/>
                <w:sz w:val="24"/>
                <w:szCs w:val="24"/>
              </w:rPr>
              <w:t xml:space="preserve">„Įgyvendindama 2021 </w:t>
            </w:r>
            <w:proofErr w:type="spellStart"/>
            <w:r w:rsidRPr="00E862B1">
              <w:rPr>
                <w:rFonts w:ascii="Times New Roman" w:eastAsia="Times New Roman" w:hAnsi="Times New Roman"/>
                <w:b/>
                <w:bCs/>
                <w:sz w:val="24"/>
                <w:szCs w:val="24"/>
              </w:rPr>
              <w:t>m.</w:t>
            </w:r>
            <w:proofErr w:type="spellEnd"/>
            <w:r w:rsidRPr="00E862B1">
              <w:rPr>
                <w:rFonts w:ascii="Times New Roman" w:eastAsia="Times New Roman" w:hAnsi="Times New Roman"/>
                <w:b/>
                <w:bCs/>
                <w:sz w:val="24"/>
                <w:szCs w:val="24"/>
              </w:rPr>
              <w:t xml:space="preserve"> sausio 29 d. Komisijos įgyvendinimo reglamentą (ES) 2021/111, kuriuo tam tikrus gaminius leidžiama eksportuoti tik pagal eksporto leidimą, Lietuvos Respublikos Vyriausybė n u t a r i a :</w:t>
            </w:r>
          </w:p>
          <w:p w14:paraId="0CF4DD99" w14:textId="27B8B03B" w:rsidR="009F120D" w:rsidRPr="00E862B1" w:rsidRDefault="009F120D" w:rsidP="009F120D">
            <w:pPr>
              <w:tabs>
                <w:tab w:val="left" w:pos="470"/>
              </w:tabs>
              <w:spacing w:after="0" w:line="240" w:lineRule="auto"/>
              <w:jc w:val="both"/>
              <w:rPr>
                <w:rFonts w:ascii="Times New Roman" w:eastAsia="Times New Roman" w:hAnsi="Times New Roman"/>
                <w:b/>
                <w:bCs/>
                <w:sz w:val="24"/>
                <w:szCs w:val="24"/>
              </w:rPr>
            </w:pPr>
            <w:r w:rsidRPr="00E862B1">
              <w:rPr>
                <w:rFonts w:ascii="Times New Roman" w:eastAsia="Times New Roman" w:hAnsi="Times New Roman"/>
                <w:b/>
                <w:bCs/>
                <w:sz w:val="24"/>
                <w:szCs w:val="24"/>
              </w:rPr>
              <w:tab/>
              <w:t>Paskirti Valstybinę vaistų kontrolės tarnybą prie Lietuvos Respublikos sveikatos apsaugos ministerijos kompetentinga institucija, atsakinga už Reglamente (ES) 2021/111 nurodytų funkcijų vykdymą.“</w:t>
            </w:r>
          </w:p>
        </w:tc>
        <w:tc>
          <w:tcPr>
            <w:tcW w:w="1984" w:type="dxa"/>
            <w:shd w:val="clear" w:color="auto" w:fill="auto"/>
          </w:tcPr>
          <w:p w14:paraId="28E5E723" w14:textId="2809D513" w:rsidR="009F120D" w:rsidRPr="00E862B1" w:rsidRDefault="009F120D" w:rsidP="00E862B1">
            <w:pPr>
              <w:spacing w:after="0" w:line="240" w:lineRule="auto"/>
              <w:jc w:val="both"/>
              <w:rPr>
                <w:rFonts w:ascii="Times New Roman" w:hAnsi="Times New Roman"/>
                <w:sz w:val="24"/>
                <w:szCs w:val="24"/>
              </w:rPr>
            </w:pPr>
            <w:r>
              <w:rPr>
                <w:rFonts w:ascii="Times New Roman" w:hAnsi="Times New Roman"/>
                <w:sz w:val="24"/>
                <w:szCs w:val="24"/>
              </w:rPr>
              <w:t>Visiškas</w:t>
            </w:r>
          </w:p>
        </w:tc>
      </w:tr>
    </w:tbl>
    <w:p w14:paraId="1655DE83" w14:textId="77777777" w:rsidR="00A77D74" w:rsidRDefault="00F54796" w:rsidP="00E862B1">
      <w:pPr>
        <w:pStyle w:val="Header"/>
        <w:tabs>
          <w:tab w:val="left" w:pos="6237"/>
        </w:tabs>
        <w:spacing w:after="0" w:line="240" w:lineRule="auto"/>
        <w:jc w:val="center"/>
      </w:pPr>
      <w:r>
        <w:t>______________</w:t>
      </w:r>
    </w:p>
    <w:p w14:paraId="7745FCB6" w14:textId="77777777" w:rsidR="002A1E6D" w:rsidRDefault="002A1E6D" w:rsidP="00E862B1">
      <w:pPr>
        <w:pStyle w:val="Header"/>
        <w:tabs>
          <w:tab w:val="left" w:pos="6237"/>
        </w:tabs>
        <w:spacing w:after="0" w:line="240" w:lineRule="auto"/>
        <w:jc w:val="center"/>
      </w:pPr>
    </w:p>
    <w:sectPr w:rsidR="002A1E6D" w:rsidSect="00E862B1">
      <w:headerReference w:type="default" r:id="rId9"/>
      <w:pgSz w:w="16838" w:h="11906" w:orient="landscape"/>
      <w:pgMar w:top="993" w:right="1245"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65A157" w14:textId="77777777" w:rsidR="007A2573" w:rsidRDefault="007A2573" w:rsidP="002723F1">
      <w:pPr>
        <w:spacing w:after="0" w:line="240" w:lineRule="auto"/>
      </w:pPr>
      <w:r>
        <w:separator/>
      </w:r>
    </w:p>
  </w:endnote>
  <w:endnote w:type="continuationSeparator" w:id="0">
    <w:p w14:paraId="4FCC63B0" w14:textId="77777777" w:rsidR="007A2573" w:rsidRDefault="007A2573" w:rsidP="00272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771EA8" w14:textId="77777777" w:rsidR="007A2573" w:rsidRDefault="007A2573" w:rsidP="002723F1">
      <w:pPr>
        <w:spacing w:after="0" w:line="240" w:lineRule="auto"/>
      </w:pPr>
      <w:r>
        <w:separator/>
      </w:r>
    </w:p>
  </w:footnote>
  <w:footnote w:type="continuationSeparator" w:id="0">
    <w:p w14:paraId="68578197" w14:textId="77777777" w:rsidR="007A2573" w:rsidRDefault="007A2573" w:rsidP="002723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A9682" w14:textId="77777777" w:rsidR="002723F1" w:rsidRPr="002723F1" w:rsidRDefault="002723F1" w:rsidP="002723F1">
    <w:pPr>
      <w:pStyle w:val="Header"/>
      <w:jc w:val="center"/>
      <w:rPr>
        <w:rFonts w:ascii="Times New Roman" w:hAnsi="Times New Roman"/>
        <w:sz w:val="24"/>
        <w:szCs w:val="24"/>
      </w:rPr>
    </w:pPr>
    <w:r w:rsidRPr="002723F1">
      <w:rPr>
        <w:rFonts w:ascii="Times New Roman" w:hAnsi="Times New Roman"/>
        <w:sz w:val="24"/>
        <w:szCs w:val="24"/>
      </w:rPr>
      <w:fldChar w:fldCharType="begin"/>
    </w:r>
    <w:r w:rsidRPr="002723F1">
      <w:rPr>
        <w:rFonts w:ascii="Times New Roman" w:hAnsi="Times New Roman"/>
        <w:sz w:val="24"/>
        <w:szCs w:val="24"/>
      </w:rPr>
      <w:instrText xml:space="preserve"> PAGE   \* MERGEFORMAT </w:instrText>
    </w:r>
    <w:r w:rsidRPr="002723F1">
      <w:rPr>
        <w:rFonts w:ascii="Times New Roman" w:hAnsi="Times New Roman"/>
        <w:sz w:val="24"/>
        <w:szCs w:val="24"/>
      </w:rPr>
      <w:fldChar w:fldCharType="separate"/>
    </w:r>
    <w:r w:rsidR="00803C56">
      <w:rPr>
        <w:rFonts w:ascii="Times New Roman" w:hAnsi="Times New Roman"/>
        <w:noProof/>
        <w:sz w:val="24"/>
        <w:szCs w:val="24"/>
      </w:rPr>
      <w:t>6</w:t>
    </w:r>
    <w:r w:rsidRPr="002723F1">
      <w:rPr>
        <w:rFonts w:ascii="Times New Roman" w:hAnsi="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2C7030"/>
    <w:multiLevelType w:val="hybridMultilevel"/>
    <w:tmpl w:val="2B802B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A2C694F"/>
    <w:multiLevelType w:val="hybridMultilevel"/>
    <w:tmpl w:val="50369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D74"/>
    <w:rsid w:val="00000E05"/>
    <w:rsid w:val="00004869"/>
    <w:rsid w:val="00004DD5"/>
    <w:rsid w:val="00006CF0"/>
    <w:rsid w:val="000105D4"/>
    <w:rsid w:val="000116F8"/>
    <w:rsid w:val="00015B99"/>
    <w:rsid w:val="00017B00"/>
    <w:rsid w:val="000201E5"/>
    <w:rsid w:val="00021895"/>
    <w:rsid w:val="000244E9"/>
    <w:rsid w:val="00027768"/>
    <w:rsid w:val="000329C4"/>
    <w:rsid w:val="000329CD"/>
    <w:rsid w:val="00033E53"/>
    <w:rsid w:val="000411B0"/>
    <w:rsid w:val="000417C5"/>
    <w:rsid w:val="0004269F"/>
    <w:rsid w:val="0004632B"/>
    <w:rsid w:val="0004719C"/>
    <w:rsid w:val="000519DE"/>
    <w:rsid w:val="00051FB9"/>
    <w:rsid w:val="000521BF"/>
    <w:rsid w:val="00061DC7"/>
    <w:rsid w:val="000641AA"/>
    <w:rsid w:val="000663A4"/>
    <w:rsid w:val="00070644"/>
    <w:rsid w:val="00070C06"/>
    <w:rsid w:val="00071726"/>
    <w:rsid w:val="000772F1"/>
    <w:rsid w:val="00081176"/>
    <w:rsid w:val="00092190"/>
    <w:rsid w:val="00093BAF"/>
    <w:rsid w:val="000A2C68"/>
    <w:rsid w:val="000A4A51"/>
    <w:rsid w:val="000A6E96"/>
    <w:rsid w:val="000B04D0"/>
    <w:rsid w:val="000B198C"/>
    <w:rsid w:val="000B256F"/>
    <w:rsid w:val="000B66EB"/>
    <w:rsid w:val="000C08C8"/>
    <w:rsid w:val="000C1E38"/>
    <w:rsid w:val="000C3C3C"/>
    <w:rsid w:val="000C424D"/>
    <w:rsid w:val="000C61D8"/>
    <w:rsid w:val="000C771C"/>
    <w:rsid w:val="000E05D9"/>
    <w:rsid w:val="000E343A"/>
    <w:rsid w:val="000E4324"/>
    <w:rsid w:val="000E78E0"/>
    <w:rsid w:val="000E7E7F"/>
    <w:rsid w:val="000F18BD"/>
    <w:rsid w:val="000F1CA8"/>
    <w:rsid w:val="000F2EFA"/>
    <w:rsid w:val="000F5519"/>
    <w:rsid w:val="000F685A"/>
    <w:rsid w:val="0010551C"/>
    <w:rsid w:val="001261C4"/>
    <w:rsid w:val="0013038A"/>
    <w:rsid w:val="00133F64"/>
    <w:rsid w:val="00136A7F"/>
    <w:rsid w:val="00153AE8"/>
    <w:rsid w:val="00153E49"/>
    <w:rsid w:val="00160566"/>
    <w:rsid w:val="00161797"/>
    <w:rsid w:val="00161F03"/>
    <w:rsid w:val="00162E8B"/>
    <w:rsid w:val="0016327E"/>
    <w:rsid w:val="00164001"/>
    <w:rsid w:val="001669D1"/>
    <w:rsid w:val="001679EF"/>
    <w:rsid w:val="00167DDE"/>
    <w:rsid w:val="00171808"/>
    <w:rsid w:val="001730C0"/>
    <w:rsid w:val="00175283"/>
    <w:rsid w:val="001752E9"/>
    <w:rsid w:val="00177B21"/>
    <w:rsid w:val="00177BC5"/>
    <w:rsid w:val="00182272"/>
    <w:rsid w:val="00182A48"/>
    <w:rsid w:val="0018583E"/>
    <w:rsid w:val="001873C4"/>
    <w:rsid w:val="00187406"/>
    <w:rsid w:val="001A1C12"/>
    <w:rsid w:val="001A2E2E"/>
    <w:rsid w:val="001A6F9E"/>
    <w:rsid w:val="001B4737"/>
    <w:rsid w:val="001B6054"/>
    <w:rsid w:val="001B7298"/>
    <w:rsid w:val="001C2C51"/>
    <w:rsid w:val="001C3373"/>
    <w:rsid w:val="001C7E36"/>
    <w:rsid w:val="001D3380"/>
    <w:rsid w:val="001E0EEA"/>
    <w:rsid w:val="001E18D6"/>
    <w:rsid w:val="001E7375"/>
    <w:rsid w:val="001F28E1"/>
    <w:rsid w:val="001F6350"/>
    <w:rsid w:val="002013E9"/>
    <w:rsid w:val="002043B1"/>
    <w:rsid w:val="00204464"/>
    <w:rsid w:val="002051BA"/>
    <w:rsid w:val="00213C4B"/>
    <w:rsid w:val="002154C1"/>
    <w:rsid w:val="002178FA"/>
    <w:rsid w:val="00225343"/>
    <w:rsid w:val="002256DB"/>
    <w:rsid w:val="00235F60"/>
    <w:rsid w:val="0023640F"/>
    <w:rsid w:val="002367A0"/>
    <w:rsid w:val="00237E96"/>
    <w:rsid w:val="0024584E"/>
    <w:rsid w:val="002546B6"/>
    <w:rsid w:val="00255CB4"/>
    <w:rsid w:val="00263604"/>
    <w:rsid w:val="002723F1"/>
    <w:rsid w:val="00276ABD"/>
    <w:rsid w:val="00277780"/>
    <w:rsid w:val="00282209"/>
    <w:rsid w:val="00283011"/>
    <w:rsid w:val="00285ED0"/>
    <w:rsid w:val="00291F58"/>
    <w:rsid w:val="00293F64"/>
    <w:rsid w:val="002A0590"/>
    <w:rsid w:val="002A1E6D"/>
    <w:rsid w:val="002A2879"/>
    <w:rsid w:val="002A4B7B"/>
    <w:rsid w:val="002A5ECD"/>
    <w:rsid w:val="002B1DD1"/>
    <w:rsid w:val="002B261B"/>
    <w:rsid w:val="002B2BCF"/>
    <w:rsid w:val="002B3505"/>
    <w:rsid w:val="002B473E"/>
    <w:rsid w:val="002B552F"/>
    <w:rsid w:val="002B5BFF"/>
    <w:rsid w:val="002B78A5"/>
    <w:rsid w:val="002C0268"/>
    <w:rsid w:val="002C30D8"/>
    <w:rsid w:val="002C4253"/>
    <w:rsid w:val="002C43E8"/>
    <w:rsid w:val="002C756B"/>
    <w:rsid w:val="002E1890"/>
    <w:rsid w:val="002E2272"/>
    <w:rsid w:val="002E4E99"/>
    <w:rsid w:val="002E6EC1"/>
    <w:rsid w:val="002F18E3"/>
    <w:rsid w:val="002F47DD"/>
    <w:rsid w:val="002F48F3"/>
    <w:rsid w:val="002F499B"/>
    <w:rsid w:val="002F4BB3"/>
    <w:rsid w:val="002F76FC"/>
    <w:rsid w:val="003033FB"/>
    <w:rsid w:val="0030397B"/>
    <w:rsid w:val="00303DC1"/>
    <w:rsid w:val="00304515"/>
    <w:rsid w:val="00304F5C"/>
    <w:rsid w:val="0030698C"/>
    <w:rsid w:val="00306B90"/>
    <w:rsid w:val="00320807"/>
    <w:rsid w:val="00326695"/>
    <w:rsid w:val="00337C84"/>
    <w:rsid w:val="00337CB6"/>
    <w:rsid w:val="00344380"/>
    <w:rsid w:val="003512B2"/>
    <w:rsid w:val="00351DE0"/>
    <w:rsid w:val="003572F1"/>
    <w:rsid w:val="003613A5"/>
    <w:rsid w:val="003637BB"/>
    <w:rsid w:val="00364306"/>
    <w:rsid w:val="00385248"/>
    <w:rsid w:val="00390ABF"/>
    <w:rsid w:val="00391B93"/>
    <w:rsid w:val="00393063"/>
    <w:rsid w:val="00395C9A"/>
    <w:rsid w:val="00397B24"/>
    <w:rsid w:val="003A494A"/>
    <w:rsid w:val="003C0264"/>
    <w:rsid w:val="003C489F"/>
    <w:rsid w:val="003C55FC"/>
    <w:rsid w:val="003C6F52"/>
    <w:rsid w:val="003D03D2"/>
    <w:rsid w:val="003D350D"/>
    <w:rsid w:val="003D4CA3"/>
    <w:rsid w:val="003E0B77"/>
    <w:rsid w:val="003E2A72"/>
    <w:rsid w:val="003E32F3"/>
    <w:rsid w:val="003E339B"/>
    <w:rsid w:val="003E38D1"/>
    <w:rsid w:val="003E4AEF"/>
    <w:rsid w:val="003E78CD"/>
    <w:rsid w:val="003E795E"/>
    <w:rsid w:val="003F673B"/>
    <w:rsid w:val="00400E95"/>
    <w:rsid w:val="00407843"/>
    <w:rsid w:val="00410EC1"/>
    <w:rsid w:val="00421F78"/>
    <w:rsid w:val="004224A3"/>
    <w:rsid w:val="00433CA4"/>
    <w:rsid w:val="00433CF5"/>
    <w:rsid w:val="00435347"/>
    <w:rsid w:val="0043549A"/>
    <w:rsid w:val="00436EFE"/>
    <w:rsid w:val="0045149E"/>
    <w:rsid w:val="004524F4"/>
    <w:rsid w:val="00454E49"/>
    <w:rsid w:val="00467E17"/>
    <w:rsid w:val="004700BA"/>
    <w:rsid w:val="0047044A"/>
    <w:rsid w:val="00471970"/>
    <w:rsid w:val="00472D6D"/>
    <w:rsid w:val="00475406"/>
    <w:rsid w:val="00476A7A"/>
    <w:rsid w:val="00482EC5"/>
    <w:rsid w:val="004844B7"/>
    <w:rsid w:val="00484A16"/>
    <w:rsid w:val="00490668"/>
    <w:rsid w:val="00490B11"/>
    <w:rsid w:val="004956C9"/>
    <w:rsid w:val="00496112"/>
    <w:rsid w:val="004A6CD7"/>
    <w:rsid w:val="004A6E4D"/>
    <w:rsid w:val="004B01D0"/>
    <w:rsid w:val="004B16EF"/>
    <w:rsid w:val="004B2880"/>
    <w:rsid w:val="004B2ECE"/>
    <w:rsid w:val="004B48BC"/>
    <w:rsid w:val="004C1791"/>
    <w:rsid w:val="004C4E61"/>
    <w:rsid w:val="004C6EA1"/>
    <w:rsid w:val="004D08CF"/>
    <w:rsid w:val="004D2B21"/>
    <w:rsid w:val="004E0D30"/>
    <w:rsid w:val="004F06BF"/>
    <w:rsid w:val="004F33C2"/>
    <w:rsid w:val="004F34E0"/>
    <w:rsid w:val="004F3A71"/>
    <w:rsid w:val="004F57EE"/>
    <w:rsid w:val="005018B4"/>
    <w:rsid w:val="0050262D"/>
    <w:rsid w:val="00505459"/>
    <w:rsid w:val="005136EB"/>
    <w:rsid w:val="00535CBF"/>
    <w:rsid w:val="00540F7B"/>
    <w:rsid w:val="00541683"/>
    <w:rsid w:val="00547840"/>
    <w:rsid w:val="00551978"/>
    <w:rsid w:val="0057103F"/>
    <w:rsid w:val="005733D4"/>
    <w:rsid w:val="00586276"/>
    <w:rsid w:val="005934AA"/>
    <w:rsid w:val="005943B5"/>
    <w:rsid w:val="00594C23"/>
    <w:rsid w:val="005A7D22"/>
    <w:rsid w:val="005B2BE9"/>
    <w:rsid w:val="005B364D"/>
    <w:rsid w:val="005C2CC2"/>
    <w:rsid w:val="005C6B2D"/>
    <w:rsid w:val="005D5ABE"/>
    <w:rsid w:val="005D5E33"/>
    <w:rsid w:val="005D77ED"/>
    <w:rsid w:val="005E47EA"/>
    <w:rsid w:val="005F1AD6"/>
    <w:rsid w:val="005F43A5"/>
    <w:rsid w:val="006003BC"/>
    <w:rsid w:val="0060061B"/>
    <w:rsid w:val="00601167"/>
    <w:rsid w:val="0060328D"/>
    <w:rsid w:val="00614A5D"/>
    <w:rsid w:val="00632A6A"/>
    <w:rsid w:val="00633E6A"/>
    <w:rsid w:val="0064049A"/>
    <w:rsid w:val="00641F71"/>
    <w:rsid w:val="006420B4"/>
    <w:rsid w:val="006421B3"/>
    <w:rsid w:val="00646C99"/>
    <w:rsid w:val="0065393B"/>
    <w:rsid w:val="00662E32"/>
    <w:rsid w:val="00664E1B"/>
    <w:rsid w:val="0066703A"/>
    <w:rsid w:val="00667129"/>
    <w:rsid w:val="00667E85"/>
    <w:rsid w:val="00670978"/>
    <w:rsid w:val="00670C7A"/>
    <w:rsid w:val="00681660"/>
    <w:rsid w:val="00683024"/>
    <w:rsid w:val="0068701C"/>
    <w:rsid w:val="00692B0F"/>
    <w:rsid w:val="00696276"/>
    <w:rsid w:val="006A3234"/>
    <w:rsid w:val="006A40A1"/>
    <w:rsid w:val="006A77C8"/>
    <w:rsid w:val="006B115D"/>
    <w:rsid w:val="006B466B"/>
    <w:rsid w:val="006B5056"/>
    <w:rsid w:val="006B5EC0"/>
    <w:rsid w:val="006C5439"/>
    <w:rsid w:val="006C5D33"/>
    <w:rsid w:val="006D06C4"/>
    <w:rsid w:val="006D1DC8"/>
    <w:rsid w:val="006D43AA"/>
    <w:rsid w:val="006D5E0B"/>
    <w:rsid w:val="006D76A6"/>
    <w:rsid w:val="006E55E4"/>
    <w:rsid w:val="006F178A"/>
    <w:rsid w:val="006F5739"/>
    <w:rsid w:val="0070246C"/>
    <w:rsid w:val="0070744C"/>
    <w:rsid w:val="00712BDA"/>
    <w:rsid w:val="00713883"/>
    <w:rsid w:val="007145D5"/>
    <w:rsid w:val="00717814"/>
    <w:rsid w:val="00723D77"/>
    <w:rsid w:val="0072422D"/>
    <w:rsid w:val="00724B6B"/>
    <w:rsid w:val="00732617"/>
    <w:rsid w:val="00732A6B"/>
    <w:rsid w:val="00734005"/>
    <w:rsid w:val="007423C8"/>
    <w:rsid w:val="007442FE"/>
    <w:rsid w:val="0074515B"/>
    <w:rsid w:val="0075232B"/>
    <w:rsid w:val="00756A8E"/>
    <w:rsid w:val="0075761E"/>
    <w:rsid w:val="00760D57"/>
    <w:rsid w:val="00771EB5"/>
    <w:rsid w:val="00774ACF"/>
    <w:rsid w:val="007755EA"/>
    <w:rsid w:val="00776162"/>
    <w:rsid w:val="00787C50"/>
    <w:rsid w:val="007922EB"/>
    <w:rsid w:val="007A2573"/>
    <w:rsid w:val="007A361D"/>
    <w:rsid w:val="007A3704"/>
    <w:rsid w:val="007A75E2"/>
    <w:rsid w:val="007B2CD0"/>
    <w:rsid w:val="007D6AC0"/>
    <w:rsid w:val="007E3BD2"/>
    <w:rsid w:val="007E43FD"/>
    <w:rsid w:val="007E5C8D"/>
    <w:rsid w:val="007E5EDB"/>
    <w:rsid w:val="007E687D"/>
    <w:rsid w:val="007F2EE4"/>
    <w:rsid w:val="007F5AD6"/>
    <w:rsid w:val="008009B4"/>
    <w:rsid w:val="008019DD"/>
    <w:rsid w:val="00803C56"/>
    <w:rsid w:val="00804629"/>
    <w:rsid w:val="008046F3"/>
    <w:rsid w:val="008050F6"/>
    <w:rsid w:val="00815D77"/>
    <w:rsid w:val="008206A9"/>
    <w:rsid w:val="008211E8"/>
    <w:rsid w:val="008278B4"/>
    <w:rsid w:val="00832917"/>
    <w:rsid w:val="00836841"/>
    <w:rsid w:val="0083692B"/>
    <w:rsid w:val="00837A3C"/>
    <w:rsid w:val="008412FD"/>
    <w:rsid w:val="0084147C"/>
    <w:rsid w:val="00842BB2"/>
    <w:rsid w:val="00843BB4"/>
    <w:rsid w:val="0084668C"/>
    <w:rsid w:val="00847CFC"/>
    <w:rsid w:val="00852C67"/>
    <w:rsid w:val="0086548D"/>
    <w:rsid w:val="00866042"/>
    <w:rsid w:val="00867D6F"/>
    <w:rsid w:val="00875B15"/>
    <w:rsid w:val="00876CF2"/>
    <w:rsid w:val="00877E23"/>
    <w:rsid w:val="00882034"/>
    <w:rsid w:val="008823E7"/>
    <w:rsid w:val="008850C5"/>
    <w:rsid w:val="008865DE"/>
    <w:rsid w:val="00892636"/>
    <w:rsid w:val="00894222"/>
    <w:rsid w:val="008955A2"/>
    <w:rsid w:val="00897037"/>
    <w:rsid w:val="008A1F8F"/>
    <w:rsid w:val="008A681A"/>
    <w:rsid w:val="008A68B3"/>
    <w:rsid w:val="008B09C0"/>
    <w:rsid w:val="008B0C61"/>
    <w:rsid w:val="008C1D95"/>
    <w:rsid w:val="008C7D05"/>
    <w:rsid w:val="008D0DC5"/>
    <w:rsid w:val="008D4E1B"/>
    <w:rsid w:val="008E2BD3"/>
    <w:rsid w:val="008E7434"/>
    <w:rsid w:val="008F33B9"/>
    <w:rsid w:val="008F4E4B"/>
    <w:rsid w:val="008F5B90"/>
    <w:rsid w:val="008F6AF6"/>
    <w:rsid w:val="009031FF"/>
    <w:rsid w:val="00907038"/>
    <w:rsid w:val="00907607"/>
    <w:rsid w:val="00910B5E"/>
    <w:rsid w:val="00913096"/>
    <w:rsid w:val="0091580D"/>
    <w:rsid w:val="009166DA"/>
    <w:rsid w:val="00921ABD"/>
    <w:rsid w:val="00924997"/>
    <w:rsid w:val="00927A26"/>
    <w:rsid w:val="009329DA"/>
    <w:rsid w:val="009415E7"/>
    <w:rsid w:val="00943394"/>
    <w:rsid w:val="009470D4"/>
    <w:rsid w:val="00953BFA"/>
    <w:rsid w:val="009547CB"/>
    <w:rsid w:val="00956EC3"/>
    <w:rsid w:val="00962E98"/>
    <w:rsid w:val="00963B79"/>
    <w:rsid w:val="00964BA0"/>
    <w:rsid w:val="00975B42"/>
    <w:rsid w:val="00976690"/>
    <w:rsid w:val="009779F3"/>
    <w:rsid w:val="00981F89"/>
    <w:rsid w:val="00983E28"/>
    <w:rsid w:val="00986CB6"/>
    <w:rsid w:val="00986E79"/>
    <w:rsid w:val="009872DA"/>
    <w:rsid w:val="009977E6"/>
    <w:rsid w:val="009A2917"/>
    <w:rsid w:val="009A3EB1"/>
    <w:rsid w:val="009A461A"/>
    <w:rsid w:val="009A6C25"/>
    <w:rsid w:val="009B3788"/>
    <w:rsid w:val="009C0BA6"/>
    <w:rsid w:val="009C46B9"/>
    <w:rsid w:val="009C4CCE"/>
    <w:rsid w:val="009C4ED9"/>
    <w:rsid w:val="009C6921"/>
    <w:rsid w:val="009C7256"/>
    <w:rsid w:val="009C7384"/>
    <w:rsid w:val="009D007F"/>
    <w:rsid w:val="009E032A"/>
    <w:rsid w:val="009E52AD"/>
    <w:rsid w:val="009F022A"/>
    <w:rsid w:val="009F0ED9"/>
    <w:rsid w:val="009F120D"/>
    <w:rsid w:val="009F330A"/>
    <w:rsid w:val="009F3D5C"/>
    <w:rsid w:val="009F5ECA"/>
    <w:rsid w:val="009F6EB3"/>
    <w:rsid w:val="00A0368D"/>
    <w:rsid w:val="00A06658"/>
    <w:rsid w:val="00A07CC7"/>
    <w:rsid w:val="00A10206"/>
    <w:rsid w:val="00A10FFB"/>
    <w:rsid w:val="00A1164F"/>
    <w:rsid w:val="00A12298"/>
    <w:rsid w:val="00A12C4D"/>
    <w:rsid w:val="00A1633B"/>
    <w:rsid w:val="00A16F01"/>
    <w:rsid w:val="00A25E9B"/>
    <w:rsid w:val="00A270EF"/>
    <w:rsid w:val="00A31DC6"/>
    <w:rsid w:val="00A349C9"/>
    <w:rsid w:val="00A35DDA"/>
    <w:rsid w:val="00A363BA"/>
    <w:rsid w:val="00A36D51"/>
    <w:rsid w:val="00A43FDA"/>
    <w:rsid w:val="00A45B9C"/>
    <w:rsid w:val="00A567D2"/>
    <w:rsid w:val="00A57DE9"/>
    <w:rsid w:val="00A6269E"/>
    <w:rsid w:val="00A655D3"/>
    <w:rsid w:val="00A65E24"/>
    <w:rsid w:val="00A702D4"/>
    <w:rsid w:val="00A72098"/>
    <w:rsid w:val="00A7216B"/>
    <w:rsid w:val="00A756E5"/>
    <w:rsid w:val="00A75F6F"/>
    <w:rsid w:val="00A77D74"/>
    <w:rsid w:val="00A81283"/>
    <w:rsid w:val="00A87D0E"/>
    <w:rsid w:val="00AA0172"/>
    <w:rsid w:val="00AB03FC"/>
    <w:rsid w:val="00AB098F"/>
    <w:rsid w:val="00AB5A3F"/>
    <w:rsid w:val="00AC0F58"/>
    <w:rsid w:val="00AC30B9"/>
    <w:rsid w:val="00AC4A10"/>
    <w:rsid w:val="00AD2B7A"/>
    <w:rsid w:val="00AD5D2D"/>
    <w:rsid w:val="00AD6841"/>
    <w:rsid w:val="00AE08D1"/>
    <w:rsid w:val="00AE25F4"/>
    <w:rsid w:val="00AE373D"/>
    <w:rsid w:val="00AE3FD0"/>
    <w:rsid w:val="00AE4115"/>
    <w:rsid w:val="00AF484E"/>
    <w:rsid w:val="00AF729F"/>
    <w:rsid w:val="00B0001E"/>
    <w:rsid w:val="00B02B44"/>
    <w:rsid w:val="00B11B18"/>
    <w:rsid w:val="00B17EC3"/>
    <w:rsid w:val="00B2403D"/>
    <w:rsid w:val="00B2581C"/>
    <w:rsid w:val="00B25A3B"/>
    <w:rsid w:val="00B26596"/>
    <w:rsid w:val="00B3039B"/>
    <w:rsid w:val="00B30DA4"/>
    <w:rsid w:val="00B31080"/>
    <w:rsid w:val="00B368DE"/>
    <w:rsid w:val="00B41898"/>
    <w:rsid w:val="00B4195C"/>
    <w:rsid w:val="00B43680"/>
    <w:rsid w:val="00B44162"/>
    <w:rsid w:val="00B537CA"/>
    <w:rsid w:val="00B54368"/>
    <w:rsid w:val="00B56D3B"/>
    <w:rsid w:val="00B56F85"/>
    <w:rsid w:val="00B57BA0"/>
    <w:rsid w:val="00B67148"/>
    <w:rsid w:val="00B748D0"/>
    <w:rsid w:val="00B8334A"/>
    <w:rsid w:val="00B8575E"/>
    <w:rsid w:val="00B94778"/>
    <w:rsid w:val="00BA329B"/>
    <w:rsid w:val="00BA7009"/>
    <w:rsid w:val="00BB3DFD"/>
    <w:rsid w:val="00BB4366"/>
    <w:rsid w:val="00BB677E"/>
    <w:rsid w:val="00BB7170"/>
    <w:rsid w:val="00BC576C"/>
    <w:rsid w:val="00BC5CE9"/>
    <w:rsid w:val="00BC5EAA"/>
    <w:rsid w:val="00BD5CFF"/>
    <w:rsid w:val="00BE1A8B"/>
    <w:rsid w:val="00BE3C32"/>
    <w:rsid w:val="00BE3E2B"/>
    <w:rsid w:val="00BE451F"/>
    <w:rsid w:val="00BE502D"/>
    <w:rsid w:val="00BE7204"/>
    <w:rsid w:val="00C032A7"/>
    <w:rsid w:val="00C11D4F"/>
    <w:rsid w:val="00C1669F"/>
    <w:rsid w:val="00C16D49"/>
    <w:rsid w:val="00C202B3"/>
    <w:rsid w:val="00C24FB6"/>
    <w:rsid w:val="00C30E81"/>
    <w:rsid w:val="00C35642"/>
    <w:rsid w:val="00C36B35"/>
    <w:rsid w:val="00C42705"/>
    <w:rsid w:val="00C43633"/>
    <w:rsid w:val="00C44940"/>
    <w:rsid w:val="00C463FF"/>
    <w:rsid w:val="00C46888"/>
    <w:rsid w:val="00C4723B"/>
    <w:rsid w:val="00C54C00"/>
    <w:rsid w:val="00C554DC"/>
    <w:rsid w:val="00C62E47"/>
    <w:rsid w:val="00C645B8"/>
    <w:rsid w:val="00C649FC"/>
    <w:rsid w:val="00C64A28"/>
    <w:rsid w:val="00C66332"/>
    <w:rsid w:val="00C664E2"/>
    <w:rsid w:val="00C6652F"/>
    <w:rsid w:val="00C71E1C"/>
    <w:rsid w:val="00C72215"/>
    <w:rsid w:val="00C72277"/>
    <w:rsid w:val="00C73024"/>
    <w:rsid w:val="00C75F5B"/>
    <w:rsid w:val="00C77B75"/>
    <w:rsid w:val="00C8340A"/>
    <w:rsid w:val="00C84A96"/>
    <w:rsid w:val="00C8517F"/>
    <w:rsid w:val="00C86465"/>
    <w:rsid w:val="00C959C1"/>
    <w:rsid w:val="00C96721"/>
    <w:rsid w:val="00C96841"/>
    <w:rsid w:val="00C97EEE"/>
    <w:rsid w:val="00CA5FF1"/>
    <w:rsid w:val="00CB15C4"/>
    <w:rsid w:val="00CB3DE7"/>
    <w:rsid w:val="00CB793E"/>
    <w:rsid w:val="00CC3943"/>
    <w:rsid w:val="00CC3EFE"/>
    <w:rsid w:val="00CC5D14"/>
    <w:rsid w:val="00CE151F"/>
    <w:rsid w:val="00CE1590"/>
    <w:rsid w:val="00CE7D20"/>
    <w:rsid w:val="00CF0101"/>
    <w:rsid w:val="00CF0B6D"/>
    <w:rsid w:val="00CF65B9"/>
    <w:rsid w:val="00D0050C"/>
    <w:rsid w:val="00D05A29"/>
    <w:rsid w:val="00D14EEB"/>
    <w:rsid w:val="00D33AFC"/>
    <w:rsid w:val="00D34B12"/>
    <w:rsid w:val="00D358D8"/>
    <w:rsid w:val="00D35CF8"/>
    <w:rsid w:val="00D3747F"/>
    <w:rsid w:val="00D37B13"/>
    <w:rsid w:val="00D43CFB"/>
    <w:rsid w:val="00D4540D"/>
    <w:rsid w:val="00D54DD3"/>
    <w:rsid w:val="00D55FAC"/>
    <w:rsid w:val="00D569C4"/>
    <w:rsid w:val="00D57479"/>
    <w:rsid w:val="00D63149"/>
    <w:rsid w:val="00D71BF5"/>
    <w:rsid w:val="00D7443A"/>
    <w:rsid w:val="00D76531"/>
    <w:rsid w:val="00D83687"/>
    <w:rsid w:val="00D83F14"/>
    <w:rsid w:val="00D91834"/>
    <w:rsid w:val="00D96B1B"/>
    <w:rsid w:val="00DA4198"/>
    <w:rsid w:val="00DA6762"/>
    <w:rsid w:val="00DB7469"/>
    <w:rsid w:val="00DC372F"/>
    <w:rsid w:val="00DC37FF"/>
    <w:rsid w:val="00DC4677"/>
    <w:rsid w:val="00DD0B4B"/>
    <w:rsid w:val="00DD2EA3"/>
    <w:rsid w:val="00DD42FC"/>
    <w:rsid w:val="00DD52E5"/>
    <w:rsid w:val="00DE2C7B"/>
    <w:rsid w:val="00DE2FC4"/>
    <w:rsid w:val="00DE5794"/>
    <w:rsid w:val="00DE62D1"/>
    <w:rsid w:val="00DF539B"/>
    <w:rsid w:val="00DF6668"/>
    <w:rsid w:val="00E0440C"/>
    <w:rsid w:val="00E048A8"/>
    <w:rsid w:val="00E05633"/>
    <w:rsid w:val="00E1070F"/>
    <w:rsid w:val="00E10E1C"/>
    <w:rsid w:val="00E11D4E"/>
    <w:rsid w:val="00E13AEC"/>
    <w:rsid w:val="00E2008D"/>
    <w:rsid w:val="00E20B26"/>
    <w:rsid w:val="00E20B84"/>
    <w:rsid w:val="00E22184"/>
    <w:rsid w:val="00E26036"/>
    <w:rsid w:val="00E27A13"/>
    <w:rsid w:val="00E31545"/>
    <w:rsid w:val="00E346E8"/>
    <w:rsid w:val="00E359D4"/>
    <w:rsid w:val="00E375E3"/>
    <w:rsid w:val="00E40C34"/>
    <w:rsid w:val="00E4693A"/>
    <w:rsid w:val="00E51D52"/>
    <w:rsid w:val="00E570CC"/>
    <w:rsid w:val="00E57AC7"/>
    <w:rsid w:val="00E6286B"/>
    <w:rsid w:val="00E661B3"/>
    <w:rsid w:val="00E66B46"/>
    <w:rsid w:val="00E75139"/>
    <w:rsid w:val="00E768D4"/>
    <w:rsid w:val="00E85F25"/>
    <w:rsid w:val="00E862B1"/>
    <w:rsid w:val="00E87293"/>
    <w:rsid w:val="00E957FB"/>
    <w:rsid w:val="00EA3492"/>
    <w:rsid w:val="00EA3BE7"/>
    <w:rsid w:val="00EB02B3"/>
    <w:rsid w:val="00EB431B"/>
    <w:rsid w:val="00EB632A"/>
    <w:rsid w:val="00EC3403"/>
    <w:rsid w:val="00EC49DF"/>
    <w:rsid w:val="00ED16D7"/>
    <w:rsid w:val="00ED2981"/>
    <w:rsid w:val="00ED5731"/>
    <w:rsid w:val="00EE0302"/>
    <w:rsid w:val="00EE2564"/>
    <w:rsid w:val="00EE2C4A"/>
    <w:rsid w:val="00EE3CFB"/>
    <w:rsid w:val="00EE52D2"/>
    <w:rsid w:val="00EF1E95"/>
    <w:rsid w:val="00EF2933"/>
    <w:rsid w:val="00EF7486"/>
    <w:rsid w:val="00EF7A45"/>
    <w:rsid w:val="00F00A02"/>
    <w:rsid w:val="00F031A7"/>
    <w:rsid w:val="00F0330B"/>
    <w:rsid w:val="00F04A97"/>
    <w:rsid w:val="00F11DE6"/>
    <w:rsid w:val="00F127C4"/>
    <w:rsid w:val="00F12F47"/>
    <w:rsid w:val="00F151A8"/>
    <w:rsid w:val="00F153F0"/>
    <w:rsid w:val="00F16C29"/>
    <w:rsid w:val="00F22D54"/>
    <w:rsid w:val="00F240D3"/>
    <w:rsid w:val="00F25450"/>
    <w:rsid w:val="00F31123"/>
    <w:rsid w:val="00F37219"/>
    <w:rsid w:val="00F424A3"/>
    <w:rsid w:val="00F53FF4"/>
    <w:rsid w:val="00F54796"/>
    <w:rsid w:val="00F60670"/>
    <w:rsid w:val="00F62937"/>
    <w:rsid w:val="00F64140"/>
    <w:rsid w:val="00F658A7"/>
    <w:rsid w:val="00F6694E"/>
    <w:rsid w:val="00F72B03"/>
    <w:rsid w:val="00F72DDB"/>
    <w:rsid w:val="00F7302B"/>
    <w:rsid w:val="00F74921"/>
    <w:rsid w:val="00F779DA"/>
    <w:rsid w:val="00F77D07"/>
    <w:rsid w:val="00F82C11"/>
    <w:rsid w:val="00F85CA0"/>
    <w:rsid w:val="00F97660"/>
    <w:rsid w:val="00FA14C9"/>
    <w:rsid w:val="00FA27DB"/>
    <w:rsid w:val="00FA3045"/>
    <w:rsid w:val="00FB1116"/>
    <w:rsid w:val="00FB1274"/>
    <w:rsid w:val="00FB18DB"/>
    <w:rsid w:val="00FB3BB0"/>
    <w:rsid w:val="00FC25BC"/>
    <w:rsid w:val="00FC545C"/>
    <w:rsid w:val="00FD1168"/>
    <w:rsid w:val="00FD7A0A"/>
    <w:rsid w:val="00FE04D1"/>
    <w:rsid w:val="00FE164D"/>
    <w:rsid w:val="00FE2FBD"/>
    <w:rsid w:val="00FE429C"/>
    <w:rsid w:val="00FE4E6D"/>
    <w:rsid w:val="00FE7A36"/>
    <w:rsid w:val="00FF5D63"/>
    <w:rsid w:val="00FF6F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4356A"/>
  <w15:docId w15:val="{D4CE883C-C51D-4AD4-879D-888BC2C76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77D74"/>
    <w:pPr>
      <w:suppressAutoHyphens/>
      <w:spacing w:after="0" w:line="240" w:lineRule="auto"/>
      <w:jc w:val="center"/>
    </w:pPr>
    <w:rPr>
      <w:rFonts w:ascii="Times New Roman" w:eastAsia="Times New Roman" w:hAnsi="Times New Roman"/>
      <w:b/>
      <w:bCs/>
      <w:caps/>
      <w:sz w:val="24"/>
      <w:szCs w:val="24"/>
      <w:lang w:eastAsia="ar-SA"/>
    </w:rPr>
  </w:style>
  <w:style w:type="character" w:customStyle="1" w:styleId="BodyTextChar">
    <w:name w:val="Body Text Char"/>
    <w:link w:val="BodyText"/>
    <w:rsid w:val="00A77D74"/>
    <w:rPr>
      <w:rFonts w:ascii="Times New Roman" w:eastAsia="Times New Roman" w:hAnsi="Times New Roman"/>
      <w:b/>
      <w:bCs/>
      <w:caps/>
      <w:sz w:val="24"/>
      <w:szCs w:val="24"/>
      <w:lang w:eastAsia="ar-SA"/>
    </w:rPr>
  </w:style>
  <w:style w:type="character" w:styleId="CommentReference">
    <w:name w:val="annotation reference"/>
    <w:rsid w:val="00A77D74"/>
    <w:rPr>
      <w:sz w:val="16"/>
      <w:szCs w:val="16"/>
    </w:rPr>
  </w:style>
  <w:style w:type="paragraph" w:styleId="CommentText">
    <w:name w:val="annotation text"/>
    <w:basedOn w:val="Normal"/>
    <w:link w:val="CommentTextChar"/>
    <w:uiPriority w:val="99"/>
    <w:rsid w:val="00A77D74"/>
    <w:pPr>
      <w:suppressAutoHyphens/>
      <w:spacing w:after="0" w:line="240" w:lineRule="auto"/>
    </w:pPr>
    <w:rPr>
      <w:rFonts w:ascii="Times New Roman" w:eastAsia="Times New Roman" w:hAnsi="Times New Roman"/>
      <w:sz w:val="20"/>
      <w:szCs w:val="20"/>
      <w:lang w:val="en-GB" w:eastAsia="ar-SA"/>
    </w:rPr>
  </w:style>
  <w:style w:type="character" w:customStyle="1" w:styleId="CommentTextChar">
    <w:name w:val="Comment Text Char"/>
    <w:link w:val="CommentText"/>
    <w:uiPriority w:val="99"/>
    <w:rsid w:val="00A77D74"/>
    <w:rPr>
      <w:rFonts w:ascii="Times New Roman" w:eastAsia="Times New Roman" w:hAnsi="Times New Roman"/>
      <w:lang w:val="en-GB" w:eastAsia="ar-SA"/>
    </w:rPr>
  </w:style>
  <w:style w:type="paragraph" w:styleId="BalloonText">
    <w:name w:val="Balloon Text"/>
    <w:basedOn w:val="Normal"/>
    <w:link w:val="BalloonTextChar"/>
    <w:uiPriority w:val="99"/>
    <w:semiHidden/>
    <w:unhideWhenUsed/>
    <w:rsid w:val="00A77D7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77D74"/>
    <w:rPr>
      <w:rFonts w:ascii="Tahoma" w:hAnsi="Tahoma" w:cs="Tahoma"/>
      <w:sz w:val="16"/>
      <w:szCs w:val="16"/>
      <w:lang w:eastAsia="en-US"/>
    </w:rPr>
  </w:style>
  <w:style w:type="table" w:styleId="TableGrid">
    <w:name w:val="Table Grid"/>
    <w:basedOn w:val="TableNormal"/>
    <w:uiPriority w:val="59"/>
    <w:rsid w:val="00A77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Char,Diagrama"/>
    <w:basedOn w:val="Normal"/>
    <w:link w:val="HeaderChar"/>
    <w:uiPriority w:val="99"/>
    <w:unhideWhenUsed/>
    <w:rsid w:val="002723F1"/>
    <w:pPr>
      <w:tabs>
        <w:tab w:val="center" w:pos="4819"/>
        <w:tab w:val="right" w:pos="9638"/>
      </w:tabs>
    </w:pPr>
  </w:style>
  <w:style w:type="character" w:customStyle="1" w:styleId="HeaderChar">
    <w:name w:val="Header Char"/>
    <w:aliases w:val="Char Char,Diagrama Char"/>
    <w:link w:val="Header"/>
    <w:uiPriority w:val="99"/>
    <w:rsid w:val="002723F1"/>
    <w:rPr>
      <w:sz w:val="22"/>
      <w:szCs w:val="22"/>
      <w:lang w:eastAsia="en-US"/>
    </w:rPr>
  </w:style>
  <w:style w:type="paragraph" w:styleId="Footer">
    <w:name w:val="footer"/>
    <w:basedOn w:val="Normal"/>
    <w:link w:val="FooterChar"/>
    <w:uiPriority w:val="99"/>
    <w:unhideWhenUsed/>
    <w:rsid w:val="002723F1"/>
    <w:pPr>
      <w:tabs>
        <w:tab w:val="center" w:pos="4819"/>
        <w:tab w:val="right" w:pos="9638"/>
      </w:tabs>
    </w:pPr>
  </w:style>
  <w:style w:type="character" w:customStyle="1" w:styleId="FooterChar">
    <w:name w:val="Footer Char"/>
    <w:link w:val="Footer"/>
    <w:uiPriority w:val="99"/>
    <w:rsid w:val="002723F1"/>
    <w:rPr>
      <w:sz w:val="22"/>
      <w:szCs w:val="22"/>
      <w:lang w:eastAsia="en-US"/>
    </w:rPr>
  </w:style>
  <w:style w:type="paragraph" w:styleId="BodyTextIndent2">
    <w:name w:val="Body Text Indent 2"/>
    <w:basedOn w:val="Normal"/>
    <w:link w:val="BodyTextIndent2Char"/>
    <w:uiPriority w:val="99"/>
    <w:unhideWhenUsed/>
    <w:rsid w:val="00C97EEE"/>
    <w:pPr>
      <w:spacing w:after="120" w:line="480" w:lineRule="auto"/>
      <w:ind w:left="283"/>
    </w:pPr>
  </w:style>
  <w:style w:type="character" w:customStyle="1" w:styleId="BodyTextIndent2Char">
    <w:name w:val="Body Text Indent 2 Char"/>
    <w:link w:val="BodyTextIndent2"/>
    <w:uiPriority w:val="99"/>
    <w:rsid w:val="00C97EEE"/>
    <w:rPr>
      <w:sz w:val="22"/>
      <w:szCs w:val="22"/>
      <w:lang w:eastAsia="en-US"/>
    </w:rPr>
  </w:style>
  <w:style w:type="paragraph" w:styleId="CommentSubject">
    <w:name w:val="annotation subject"/>
    <w:basedOn w:val="CommentText"/>
    <w:next w:val="CommentText"/>
    <w:link w:val="CommentSubjectChar"/>
    <w:uiPriority w:val="99"/>
    <w:semiHidden/>
    <w:unhideWhenUsed/>
    <w:rsid w:val="009C6921"/>
    <w:pPr>
      <w:suppressAutoHyphens w:val="0"/>
      <w:spacing w:after="200" w:line="276" w:lineRule="auto"/>
    </w:pPr>
    <w:rPr>
      <w:rFonts w:ascii="Calibri" w:eastAsia="Calibri" w:hAnsi="Calibri"/>
      <w:b/>
      <w:bCs/>
      <w:lang w:val="lt-LT" w:eastAsia="en-US"/>
    </w:rPr>
  </w:style>
  <w:style w:type="character" w:customStyle="1" w:styleId="CommentSubjectChar">
    <w:name w:val="Comment Subject Char"/>
    <w:link w:val="CommentSubject"/>
    <w:uiPriority w:val="99"/>
    <w:semiHidden/>
    <w:rsid w:val="009C6921"/>
    <w:rPr>
      <w:rFonts w:ascii="Times New Roman" w:eastAsia="Times New Roman" w:hAnsi="Times New Roman"/>
      <w:b/>
      <w:bCs/>
      <w:lang w:val="en-GB" w:eastAsia="en-US"/>
    </w:rPr>
  </w:style>
  <w:style w:type="paragraph" w:styleId="ListParagraph">
    <w:name w:val="List Paragraph"/>
    <w:basedOn w:val="Normal"/>
    <w:uiPriority w:val="34"/>
    <w:qFormat/>
    <w:rsid w:val="00D63149"/>
    <w:pPr>
      <w:ind w:left="720"/>
      <w:contextualSpacing/>
    </w:pPr>
  </w:style>
  <w:style w:type="paragraph" w:customStyle="1" w:styleId="Default">
    <w:name w:val="Default"/>
    <w:rsid w:val="006A77C8"/>
    <w:pPr>
      <w:autoSpaceDE w:val="0"/>
      <w:autoSpaceDN w:val="0"/>
      <w:adjustRightInd w:val="0"/>
    </w:pPr>
    <w:rPr>
      <w:rFonts w:ascii="EUAlbertina" w:hAnsi="EUAlbertina" w:cs="EUAlbertina"/>
      <w:color w:val="000000"/>
      <w:sz w:val="24"/>
      <w:szCs w:val="24"/>
    </w:rPr>
  </w:style>
  <w:style w:type="character" w:styleId="Hyperlink">
    <w:name w:val="Hyperlink"/>
    <w:basedOn w:val="DefaultParagraphFont"/>
    <w:uiPriority w:val="99"/>
    <w:unhideWhenUsed/>
    <w:rsid w:val="00DA4198"/>
    <w:rPr>
      <w:color w:val="0000FF"/>
      <w:u w:val="single"/>
    </w:rPr>
  </w:style>
  <w:style w:type="paragraph" w:customStyle="1" w:styleId="CM4">
    <w:name w:val="CM4"/>
    <w:basedOn w:val="Normal"/>
    <w:next w:val="Normal"/>
    <w:uiPriority w:val="99"/>
    <w:rsid w:val="00A1633B"/>
    <w:pPr>
      <w:autoSpaceDE w:val="0"/>
      <w:autoSpaceDN w:val="0"/>
      <w:adjustRightInd w:val="0"/>
      <w:spacing w:after="0" w:line="240" w:lineRule="auto"/>
    </w:pPr>
    <w:rPr>
      <w:rFonts w:ascii="Times New Roman" w:hAnsi="Times New Roman"/>
      <w:sz w:val="24"/>
      <w:szCs w:val="24"/>
      <w:lang w:eastAsia="lt-LT"/>
    </w:rPr>
  </w:style>
  <w:style w:type="paragraph" w:customStyle="1" w:styleId="norm">
    <w:name w:val="norm"/>
    <w:basedOn w:val="Normal"/>
    <w:rsid w:val="00D4540D"/>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sti-art">
    <w:name w:val="sti-art"/>
    <w:basedOn w:val="Normal"/>
    <w:rsid w:val="00EE2564"/>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Normal1">
    <w:name w:val="Normal1"/>
    <w:basedOn w:val="Normal"/>
    <w:rsid w:val="00EE2564"/>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EndnoteText">
    <w:name w:val="endnote text"/>
    <w:basedOn w:val="Normal"/>
    <w:link w:val="EndnoteTextChar"/>
    <w:uiPriority w:val="99"/>
    <w:semiHidden/>
    <w:unhideWhenUsed/>
    <w:rsid w:val="009F5E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F5ECA"/>
    <w:rPr>
      <w:lang w:eastAsia="en-US"/>
    </w:rPr>
  </w:style>
  <w:style w:type="character" w:styleId="EndnoteReference">
    <w:name w:val="endnote reference"/>
    <w:basedOn w:val="DefaultParagraphFont"/>
    <w:uiPriority w:val="99"/>
    <w:semiHidden/>
    <w:unhideWhenUsed/>
    <w:rsid w:val="009F5ECA"/>
    <w:rPr>
      <w:vertAlign w:val="superscript"/>
    </w:rPr>
  </w:style>
  <w:style w:type="paragraph" w:customStyle="1" w:styleId="Normal2">
    <w:name w:val="Normal2"/>
    <w:basedOn w:val="Normal"/>
    <w:rsid w:val="00351DE0"/>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UnresolvedMention">
    <w:name w:val="Unresolved Mention"/>
    <w:basedOn w:val="DefaultParagraphFont"/>
    <w:uiPriority w:val="99"/>
    <w:semiHidden/>
    <w:unhideWhenUsed/>
    <w:rsid w:val="000116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136116">
      <w:bodyDiv w:val="1"/>
      <w:marLeft w:val="0"/>
      <w:marRight w:val="0"/>
      <w:marTop w:val="0"/>
      <w:marBottom w:val="0"/>
      <w:divBdr>
        <w:top w:val="none" w:sz="0" w:space="0" w:color="auto"/>
        <w:left w:val="none" w:sz="0" w:space="0" w:color="auto"/>
        <w:bottom w:val="none" w:sz="0" w:space="0" w:color="auto"/>
        <w:right w:val="none" w:sz="0" w:space="0" w:color="auto"/>
      </w:divBdr>
      <w:divsChild>
        <w:div w:id="246766497">
          <w:marLeft w:val="0"/>
          <w:marRight w:val="0"/>
          <w:marTop w:val="0"/>
          <w:marBottom w:val="0"/>
          <w:divBdr>
            <w:top w:val="none" w:sz="0" w:space="0" w:color="auto"/>
            <w:left w:val="none" w:sz="0" w:space="0" w:color="auto"/>
            <w:bottom w:val="none" w:sz="0" w:space="0" w:color="auto"/>
            <w:right w:val="none" w:sz="0" w:space="0" w:color="auto"/>
          </w:divBdr>
          <w:divsChild>
            <w:div w:id="1469005454">
              <w:marLeft w:val="0"/>
              <w:marRight w:val="0"/>
              <w:marTop w:val="0"/>
              <w:marBottom w:val="0"/>
              <w:divBdr>
                <w:top w:val="none" w:sz="0" w:space="0" w:color="auto"/>
                <w:left w:val="none" w:sz="0" w:space="0" w:color="auto"/>
                <w:bottom w:val="none" w:sz="0" w:space="0" w:color="auto"/>
                <w:right w:val="none" w:sz="0" w:space="0" w:color="auto"/>
              </w:divBdr>
              <w:divsChild>
                <w:div w:id="1468281772">
                  <w:marLeft w:val="0"/>
                  <w:marRight w:val="0"/>
                  <w:marTop w:val="0"/>
                  <w:marBottom w:val="0"/>
                  <w:divBdr>
                    <w:top w:val="none" w:sz="0" w:space="0" w:color="auto"/>
                    <w:left w:val="none" w:sz="0" w:space="0" w:color="auto"/>
                    <w:bottom w:val="none" w:sz="0" w:space="0" w:color="auto"/>
                    <w:right w:val="none" w:sz="0" w:space="0" w:color="auto"/>
                  </w:divBdr>
                </w:div>
                <w:div w:id="1589927355">
                  <w:marLeft w:val="0"/>
                  <w:marRight w:val="0"/>
                  <w:marTop w:val="0"/>
                  <w:marBottom w:val="0"/>
                  <w:divBdr>
                    <w:top w:val="none" w:sz="0" w:space="0" w:color="auto"/>
                    <w:left w:val="none" w:sz="0" w:space="0" w:color="auto"/>
                    <w:bottom w:val="none" w:sz="0" w:space="0" w:color="auto"/>
                    <w:right w:val="none" w:sz="0" w:space="0" w:color="auto"/>
                  </w:divBdr>
                </w:div>
                <w:div w:id="1897932439">
                  <w:marLeft w:val="0"/>
                  <w:marRight w:val="0"/>
                  <w:marTop w:val="0"/>
                  <w:marBottom w:val="0"/>
                  <w:divBdr>
                    <w:top w:val="none" w:sz="0" w:space="0" w:color="auto"/>
                    <w:left w:val="none" w:sz="0" w:space="0" w:color="auto"/>
                    <w:bottom w:val="none" w:sz="0" w:space="0" w:color="auto"/>
                    <w:right w:val="none" w:sz="0" w:space="0" w:color="auto"/>
                  </w:divBdr>
                </w:div>
                <w:div w:id="2041929360">
                  <w:marLeft w:val="0"/>
                  <w:marRight w:val="0"/>
                  <w:marTop w:val="0"/>
                  <w:marBottom w:val="0"/>
                  <w:divBdr>
                    <w:top w:val="none" w:sz="0" w:space="0" w:color="auto"/>
                    <w:left w:val="none" w:sz="0" w:space="0" w:color="auto"/>
                    <w:bottom w:val="none" w:sz="0" w:space="0" w:color="auto"/>
                    <w:right w:val="none" w:sz="0" w:space="0" w:color="auto"/>
                  </w:divBdr>
                </w:div>
                <w:div w:id="1568347213">
                  <w:marLeft w:val="0"/>
                  <w:marRight w:val="0"/>
                  <w:marTop w:val="0"/>
                  <w:marBottom w:val="0"/>
                  <w:divBdr>
                    <w:top w:val="none" w:sz="0" w:space="0" w:color="auto"/>
                    <w:left w:val="none" w:sz="0" w:space="0" w:color="auto"/>
                    <w:bottom w:val="none" w:sz="0" w:space="0" w:color="auto"/>
                    <w:right w:val="none" w:sz="0" w:space="0" w:color="auto"/>
                  </w:divBdr>
                </w:div>
              </w:divsChild>
            </w:div>
            <w:div w:id="896548879">
              <w:marLeft w:val="0"/>
              <w:marRight w:val="0"/>
              <w:marTop w:val="0"/>
              <w:marBottom w:val="0"/>
              <w:divBdr>
                <w:top w:val="none" w:sz="0" w:space="0" w:color="auto"/>
                <w:left w:val="none" w:sz="0" w:space="0" w:color="auto"/>
                <w:bottom w:val="none" w:sz="0" w:space="0" w:color="auto"/>
                <w:right w:val="none" w:sz="0" w:space="0" w:color="auto"/>
              </w:divBdr>
              <w:divsChild>
                <w:div w:id="1493714041">
                  <w:marLeft w:val="0"/>
                  <w:marRight w:val="0"/>
                  <w:marTop w:val="0"/>
                  <w:marBottom w:val="0"/>
                  <w:divBdr>
                    <w:top w:val="none" w:sz="0" w:space="0" w:color="auto"/>
                    <w:left w:val="none" w:sz="0" w:space="0" w:color="auto"/>
                    <w:bottom w:val="none" w:sz="0" w:space="0" w:color="auto"/>
                    <w:right w:val="none" w:sz="0" w:space="0" w:color="auto"/>
                  </w:divBdr>
                </w:div>
                <w:div w:id="4209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933523">
          <w:marLeft w:val="0"/>
          <w:marRight w:val="0"/>
          <w:marTop w:val="0"/>
          <w:marBottom w:val="0"/>
          <w:divBdr>
            <w:top w:val="none" w:sz="0" w:space="0" w:color="auto"/>
            <w:left w:val="none" w:sz="0" w:space="0" w:color="auto"/>
            <w:bottom w:val="none" w:sz="0" w:space="0" w:color="auto"/>
            <w:right w:val="none" w:sz="0" w:space="0" w:color="auto"/>
          </w:divBdr>
          <w:divsChild>
            <w:div w:id="1431195324">
              <w:marLeft w:val="0"/>
              <w:marRight w:val="0"/>
              <w:marTop w:val="0"/>
              <w:marBottom w:val="0"/>
              <w:divBdr>
                <w:top w:val="none" w:sz="0" w:space="0" w:color="auto"/>
                <w:left w:val="none" w:sz="0" w:space="0" w:color="auto"/>
                <w:bottom w:val="none" w:sz="0" w:space="0" w:color="auto"/>
                <w:right w:val="none" w:sz="0" w:space="0" w:color="auto"/>
              </w:divBdr>
            </w:div>
            <w:div w:id="717240619">
              <w:marLeft w:val="0"/>
              <w:marRight w:val="0"/>
              <w:marTop w:val="0"/>
              <w:marBottom w:val="0"/>
              <w:divBdr>
                <w:top w:val="none" w:sz="0" w:space="0" w:color="auto"/>
                <w:left w:val="none" w:sz="0" w:space="0" w:color="auto"/>
                <w:bottom w:val="none" w:sz="0" w:space="0" w:color="auto"/>
                <w:right w:val="none" w:sz="0" w:space="0" w:color="auto"/>
              </w:divBdr>
            </w:div>
          </w:divsChild>
        </w:div>
        <w:div w:id="546259065">
          <w:marLeft w:val="0"/>
          <w:marRight w:val="0"/>
          <w:marTop w:val="0"/>
          <w:marBottom w:val="0"/>
          <w:divBdr>
            <w:top w:val="none" w:sz="0" w:space="0" w:color="auto"/>
            <w:left w:val="none" w:sz="0" w:space="0" w:color="auto"/>
            <w:bottom w:val="none" w:sz="0" w:space="0" w:color="auto"/>
            <w:right w:val="none" w:sz="0" w:space="0" w:color="auto"/>
          </w:divBdr>
        </w:div>
        <w:div w:id="208809847">
          <w:marLeft w:val="0"/>
          <w:marRight w:val="0"/>
          <w:marTop w:val="0"/>
          <w:marBottom w:val="0"/>
          <w:divBdr>
            <w:top w:val="none" w:sz="0" w:space="0" w:color="auto"/>
            <w:left w:val="none" w:sz="0" w:space="0" w:color="auto"/>
            <w:bottom w:val="none" w:sz="0" w:space="0" w:color="auto"/>
            <w:right w:val="none" w:sz="0" w:space="0" w:color="auto"/>
          </w:divBdr>
        </w:div>
      </w:divsChild>
    </w:div>
    <w:div w:id="290064735">
      <w:bodyDiv w:val="1"/>
      <w:marLeft w:val="0"/>
      <w:marRight w:val="0"/>
      <w:marTop w:val="0"/>
      <w:marBottom w:val="0"/>
      <w:divBdr>
        <w:top w:val="none" w:sz="0" w:space="0" w:color="auto"/>
        <w:left w:val="none" w:sz="0" w:space="0" w:color="auto"/>
        <w:bottom w:val="none" w:sz="0" w:space="0" w:color="auto"/>
        <w:right w:val="none" w:sz="0" w:space="0" w:color="auto"/>
      </w:divBdr>
    </w:div>
    <w:div w:id="361829967">
      <w:bodyDiv w:val="1"/>
      <w:marLeft w:val="0"/>
      <w:marRight w:val="0"/>
      <w:marTop w:val="0"/>
      <w:marBottom w:val="0"/>
      <w:divBdr>
        <w:top w:val="none" w:sz="0" w:space="0" w:color="auto"/>
        <w:left w:val="none" w:sz="0" w:space="0" w:color="auto"/>
        <w:bottom w:val="none" w:sz="0" w:space="0" w:color="auto"/>
        <w:right w:val="none" w:sz="0" w:space="0" w:color="auto"/>
      </w:divBdr>
      <w:divsChild>
        <w:div w:id="1381781990">
          <w:marLeft w:val="0"/>
          <w:marRight w:val="0"/>
          <w:marTop w:val="0"/>
          <w:marBottom w:val="0"/>
          <w:divBdr>
            <w:top w:val="none" w:sz="0" w:space="0" w:color="auto"/>
            <w:left w:val="none" w:sz="0" w:space="0" w:color="auto"/>
            <w:bottom w:val="none" w:sz="0" w:space="0" w:color="auto"/>
            <w:right w:val="none" w:sz="0" w:space="0" w:color="auto"/>
          </w:divBdr>
        </w:div>
      </w:divsChild>
    </w:div>
    <w:div w:id="810749750">
      <w:bodyDiv w:val="1"/>
      <w:marLeft w:val="0"/>
      <w:marRight w:val="0"/>
      <w:marTop w:val="0"/>
      <w:marBottom w:val="0"/>
      <w:divBdr>
        <w:top w:val="none" w:sz="0" w:space="0" w:color="auto"/>
        <w:left w:val="none" w:sz="0" w:space="0" w:color="auto"/>
        <w:bottom w:val="none" w:sz="0" w:space="0" w:color="auto"/>
        <w:right w:val="none" w:sz="0" w:space="0" w:color="auto"/>
      </w:divBdr>
    </w:div>
    <w:div w:id="1024867068">
      <w:bodyDiv w:val="1"/>
      <w:marLeft w:val="0"/>
      <w:marRight w:val="0"/>
      <w:marTop w:val="0"/>
      <w:marBottom w:val="0"/>
      <w:divBdr>
        <w:top w:val="none" w:sz="0" w:space="0" w:color="auto"/>
        <w:left w:val="none" w:sz="0" w:space="0" w:color="auto"/>
        <w:bottom w:val="none" w:sz="0" w:space="0" w:color="auto"/>
        <w:right w:val="none" w:sz="0" w:space="0" w:color="auto"/>
      </w:divBdr>
    </w:div>
    <w:div w:id="1195927030">
      <w:bodyDiv w:val="1"/>
      <w:marLeft w:val="0"/>
      <w:marRight w:val="0"/>
      <w:marTop w:val="0"/>
      <w:marBottom w:val="0"/>
      <w:divBdr>
        <w:top w:val="none" w:sz="0" w:space="0" w:color="auto"/>
        <w:left w:val="none" w:sz="0" w:space="0" w:color="auto"/>
        <w:bottom w:val="none" w:sz="0" w:space="0" w:color="auto"/>
        <w:right w:val="none" w:sz="0" w:space="0" w:color="auto"/>
      </w:divBdr>
    </w:div>
    <w:div w:id="1366373202">
      <w:bodyDiv w:val="1"/>
      <w:marLeft w:val="0"/>
      <w:marRight w:val="0"/>
      <w:marTop w:val="0"/>
      <w:marBottom w:val="0"/>
      <w:divBdr>
        <w:top w:val="none" w:sz="0" w:space="0" w:color="auto"/>
        <w:left w:val="none" w:sz="0" w:space="0" w:color="auto"/>
        <w:bottom w:val="none" w:sz="0" w:space="0" w:color="auto"/>
        <w:right w:val="none" w:sz="0" w:space="0" w:color="auto"/>
      </w:divBdr>
    </w:div>
    <w:div w:id="1437481987">
      <w:bodyDiv w:val="1"/>
      <w:marLeft w:val="0"/>
      <w:marRight w:val="0"/>
      <w:marTop w:val="0"/>
      <w:marBottom w:val="0"/>
      <w:divBdr>
        <w:top w:val="none" w:sz="0" w:space="0" w:color="auto"/>
        <w:left w:val="none" w:sz="0" w:space="0" w:color="auto"/>
        <w:bottom w:val="none" w:sz="0" w:space="0" w:color="auto"/>
        <w:right w:val="none" w:sz="0" w:space="0" w:color="auto"/>
      </w:divBdr>
    </w:div>
    <w:div w:id="1458715709">
      <w:bodyDiv w:val="1"/>
      <w:marLeft w:val="0"/>
      <w:marRight w:val="0"/>
      <w:marTop w:val="0"/>
      <w:marBottom w:val="0"/>
      <w:divBdr>
        <w:top w:val="none" w:sz="0" w:space="0" w:color="auto"/>
        <w:left w:val="none" w:sz="0" w:space="0" w:color="auto"/>
        <w:bottom w:val="none" w:sz="0" w:space="0" w:color="auto"/>
        <w:right w:val="none" w:sz="0" w:space="0" w:color="auto"/>
      </w:divBdr>
      <w:divsChild>
        <w:div w:id="797650622">
          <w:marLeft w:val="480"/>
          <w:marRight w:val="0"/>
          <w:marTop w:val="0"/>
          <w:marBottom w:val="0"/>
          <w:divBdr>
            <w:top w:val="none" w:sz="0" w:space="0" w:color="auto"/>
            <w:left w:val="none" w:sz="0" w:space="0" w:color="auto"/>
            <w:bottom w:val="none" w:sz="0" w:space="0" w:color="auto"/>
            <w:right w:val="none" w:sz="0" w:space="0" w:color="auto"/>
          </w:divBdr>
        </w:div>
        <w:div w:id="934944007">
          <w:marLeft w:val="480"/>
          <w:marRight w:val="0"/>
          <w:marTop w:val="0"/>
          <w:marBottom w:val="0"/>
          <w:divBdr>
            <w:top w:val="none" w:sz="0" w:space="0" w:color="auto"/>
            <w:left w:val="none" w:sz="0" w:space="0" w:color="auto"/>
            <w:bottom w:val="none" w:sz="0" w:space="0" w:color="auto"/>
            <w:right w:val="none" w:sz="0" w:space="0" w:color="auto"/>
          </w:divBdr>
        </w:div>
        <w:div w:id="792676472">
          <w:marLeft w:val="480"/>
          <w:marRight w:val="0"/>
          <w:marTop w:val="0"/>
          <w:marBottom w:val="0"/>
          <w:divBdr>
            <w:top w:val="none" w:sz="0" w:space="0" w:color="auto"/>
            <w:left w:val="none" w:sz="0" w:space="0" w:color="auto"/>
            <w:bottom w:val="none" w:sz="0" w:space="0" w:color="auto"/>
            <w:right w:val="none" w:sz="0" w:space="0" w:color="auto"/>
          </w:divBdr>
        </w:div>
        <w:div w:id="1107459030">
          <w:marLeft w:val="480"/>
          <w:marRight w:val="0"/>
          <w:marTop w:val="0"/>
          <w:marBottom w:val="0"/>
          <w:divBdr>
            <w:top w:val="none" w:sz="0" w:space="0" w:color="auto"/>
            <w:left w:val="none" w:sz="0" w:space="0" w:color="auto"/>
            <w:bottom w:val="none" w:sz="0" w:space="0" w:color="auto"/>
            <w:right w:val="none" w:sz="0" w:space="0" w:color="auto"/>
          </w:divBdr>
        </w:div>
        <w:div w:id="1529371022">
          <w:marLeft w:val="480"/>
          <w:marRight w:val="0"/>
          <w:marTop w:val="0"/>
          <w:marBottom w:val="0"/>
          <w:divBdr>
            <w:top w:val="none" w:sz="0" w:space="0" w:color="auto"/>
            <w:left w:val="none" w:sz="0" w:space="0" w:color="auto"/>
            <w:bottom w:val="none" w:sz="0" w:space="0" w:color="auto"/>
            <w:right w:val="none" w:sz="0" w:space="0" w:color="auto"/>
          </w:divBdr>
        </w:div>
        <w:div w:id="1011761552">
          <w:marLeft w:val="480"/>
          <w:marRight w:val="0"/>
          <w:marTop w:val="0"/>
          <w:marBottom w:val="0"/>
          <w:divBdr>
            <w:top w:val="none" w:sz="0" w:space="0" w:color="auto"/>
            <w:left w:val="none" w:sz="0" w:space="0" w:color="auto"/>
            <w:bottom w:val="none" w:sz="0" w:space="0" w:color="auto"/>
            <w:right w:val="none" w:sz="0" w:space="0" w:color="auto"/>
          </w:divBdr>
        </w:div>
      </w:divsChild>
    </w:div>
    <w:div w:id="1496408773">
      <w:bodyDiv w:val="1"/>
      <w:marLeft w:val="0"/>
      <w:marRight w:val="0"/>
      <w:marTop w:val="0"/>
      <w:marBottom w:val="0"/>
      <w:divBdr>
        <w:top w:val="none" w:sz="0" w:space="0" w:color="auto"/>
        <w:left w:val="none" w:sz="0" w:space="0" w:color="auto"/>
        <w:bottom w:val="none" w:sz="0" w:space="0" w:color="auto"/>
        <w:right w:val="none" w:sz="0" w:space="0" w:color="auto"/>
      </w:divBdr>
    </w:div>
    <w:div w:id="1496990029">
      <w:bodyDiv w:val="1"/>
      <w:marLeft w:val="0"/>
      <w:marRight w:val="0"/>
      <w:marTop w:val="0"/>
      <w:marBottom w:val="0"/>
      <w:divBdr>
        <w:top w:val="none" w:sz="0" w:space="0" w:color="auto"/>
        <w:left w:val="none" w:sz="0" w:space="0" w:color="auto"/>
        <w:bottom w:val="none" w:sz="0" w:space="0" w:color="auto"/>
        <w:right w:val="none" w:sz="0" w:space="0" w:color="auto"/>
      </w:divBdr>
      <w:divsChild>
        <w:div w:id="1850826960">
          <w:marLeft w:val="480"/>
          <w:marRight w:val="0"/>
          <w:marTop w:val="0"/>
          <w:marBottom w:val="0"/>
          <w:divBdr>
            <w:top w:val="none" w:sz="0" w:space="0" w:color="auto"/>
            <w:left w:val="none" w:sz="0" w:space="0" w:color="auto"/>
            <w:bottom w:val="none" w:sz="0" w:space="0" w:color="auto"/>
            <w:right w:val="none" w:sz="0" w:space="0" w:color="auto"/>
          </w:divBdr>
        </w:div>
        <w:div w:id="535851879">
          <w:marLeft w:val="480"/>
          <w:marRight w:val="0"/>
          <w:marTop w:val="0"/>
          <w:marBottom w:val="0"/>
          <w:divBdr>
            <w:top w:val="none" w:sz="0" w:space="0" w:color="auto"/>
            <w:left w:val="none" w:sz="0" w:space="0" w:color="auto"/>
            <w:bottom w:val="none" w:sz="0" w:space="0" w:color="auto"/>
            <w:right w:val="none" w:sz="0" w:space="0" w:color="auto"/>
          </w:divBdr>
        </w:div>
        <w:div w:id="1837650541">
          <w:marLeft w:val="480"/>
          <w:marRight w:val="0"/>
          <w:marTop w:val="0"/>
          <w:marBottom w:val="0"/>
          <w:divBdr>
            <w:top w:val="none" w:sz="0" w:space="0" w:color="auto"/>
            <w:left w:val="none" w:sz="0" w:space="0" w:color="auto"/>
            <w:bottom w:val="none" w:sz="0" w:space="0" w:color="auto"/>
            <w:right w:val="none" w:sz="0" w:space="0" w:color="auto"/>
          </w:divBdr>
        </w:div>
        <w:div w:id="867984628">
          <w:marLeft w:val="480"/>
          <w:marRight w:val="0"/>
          <w:marTop w:val="0"/>
          <w:marBottom w:val="0"/>
          <w:divBdr>
            <w:top w:val="none" w:sz="0" w:space="0" w:color="auto"/>
            <w:left w:val="none" w:sz="0" w:space="0" w:color="auto"/>
            <w:bottom w:val="none" w:sz="0" w:space="0" w:color="auto"/>
            <w:right w:val="none" w:sz="0" w:space="0" w:color="auto"/>
          </w:divBdr>
        </w:div>
        <w:div w:id="64031825">
          <w:marLeft w:val="480"/>
          <w:marRight w:val="0"/>
          <w:marTop w:val="0"/>
          <w:marBottom w:val="0"/>
          <w:divBdr>
            <w:top w:val="none" w:sz="0" w:space="0" w:color="auto"/>
            <w:left w:val="none" w:sz="0" w:space="0" w:color="auto"/>
            <w:bottom w:val="none" w:sz="0" w:space="0" w:color="auto"/>
            <w:right w:val="none" w:sz="0" w:space="0" w:color="auto"/>
          </w:divBdr>
        </w:div>
        <w:div w:id="339045846">
          <w:marLeft w:val="480"/>
          <w:marRight w:val="0"/>
          <w:marTop w:val="0"/>
          <w:marBottom w:val="0"/>
          <w:divBdr>
            <w:top w:val="none" w:sz="0" w:space="0" w:color="auto"/>
            <w:left w:val="none" w:sz="0" w:space="0" w:color="auto"/>
            <w:bottom w:val="none" w:sz="0" w:space="0" w:color="auto"/>
            <w:right w:val="none" w:sz="0" w:space="0" w:color="auto"/>
          </w:divBdr>
        </w:div>
      </w:divsChild>
    </w:div>
    <w:div w:id="2072389254">
      <w:bodyDiv w:val="1"/>
      <w:marLeft w:val="0"/>
      <w:marRight w:val="0"/>
      <w:marTop w:val="0"/>
      <w:marBottom w:val="0"/>
      <w:divBdr>
        <w:top w:val="none" w:sz="0" w:space="0" w:color="auto"/>
        <w:left w:val="none" w:sz="0" w:space="0" w:color="auto"/>
        <w:bottom w:val="none" w:sz="0" w:space="0" w:color="auto"/>
        <w:right w:val="none" w:sz="0" w:space="0" w:color="auto"/>
      </w:divBdr>
    </w:div>
    <w:div w:id="212129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TE-PHARMACEUTICALS-B4@ec.europa.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6EDDB-98C2-44B6-A99E-3DA931FFB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993</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Mickute</dc:creator>
  <cp:lastModifiedBy>Rima M.</cp:lastModifiedBy>
  <cp:revision>3</cp:revision>
  <dcterms:created xsi:type="dcterms:W3CDTF">2021-02-11T08:55:00Z</dcterms:created>
  <dcterms:modified xsi:type="dcterms:W3CDTF">2021-02-11T09:08:00Z</dcterms:modified>
</cp:coreProperties>
</file>