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8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Pr="00F23A59" w:rsidRDefault="00246981" w:rsidP="00246981">
      <w:pPr>
        <w:rPr>
          <w:sz w:val="22"/>
          <w:szCs w:val="22"/>
        </w:rPr>
      </w:pPr>
    </w:p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F23A59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7A428C13" w:rsidR="00246981" w:rsidRPr="00F23A59" w:rsidRDefault="009A4509" w:rsidP="001E4DB5">
            <w:pPr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 xml:space="preserve">   </w:t>
            </w:r>
            <w:r w:rsidR="00246981" w:rsidRPr="00F23A59">
              <w:rPr>
                <w:sz w:val="22"/>
                <w:szCs w:val="22"/>
              </w:rPr>
              <w:t>20</w:t>
            </w:r>
            <w:r w:rsidR="0011524F" w:rsidRPr="00F23A59">
              <w:rPr>
                <w:sz w:val="22"/>
                <w:szCs w:val="22"/>
              </w:rPr>
              <w:t>2</w:t>
            </w:r>
            <w:r w:rsidR="00C4394F" w:rsidRPr="00F23A59">
              <w:rPr>
                <w:sz w:val="22"/>
                <w:szCs w:val="22"/>
              </w:rPr>
              <w:t>1-04</w:t>
            </w:r>
            <w:r w:rsidR="00246981" w:rsidRPr="00F23A59">
              <w:rPr>
                <w:sz w:val="22"/>
                <w:szCs w:val="22"/>
              </w:rPr>
              <w:t>-</w:t>
            </w:r>
            <w:r w:rsidR="001E4DB5" w:rsidRPr="00F23A59">
              <w:rPr>
                <w:sz w:val="22"/>
                <w:szCs w:val="22"/>
              </w:rPr>
              <w:softHyphen/>
            </w:r>
            <w:r w:rsidR="001E4DB5" w:rsidRPr="00F23A59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F23A59" w:rsidRDefault="0024698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2563562E" w:rsidR="00246981" w:rsidRPr="00F23A59" w:rsidRDefault="0024698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(15.1</w:t>
            </w:r>
            <w:r w:rsidR="00F23A59" w:rsidRPr="00F23A59">
              <w:rPr>
                <w:sz w:val="22"/>
                <w:szCs w:val="22"/>
              </w:rPr>
              <w:t>Mr</w:t>
            </w:r>
            <w:r w:rsidR="00DF5E91" w:rsidRPr="00F23A59">
              <w:rPr>
                <w:sz w:val="22"/>
                <w:szCs w:val="22"/>
              </w:rPr>
              <w:t xml:space="preserve">) </w:t>
            </w:r>
            <w:r w:rsidRPr="00F23A59">
              <w:rPr>
                <w:sz w:val="22"/>
                <w:szCs w:val="22"/>
              </w:rPr>
              <w:t>SK4-</w:t>
            </w:r>
          </w:p>
        </w:tc>
      </w:tr>
      <w:tr w:rsidR="00246981" w:rsidRPr="00F23A59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390BFC07" w:rsidR="00246981" w:rsidRPr="00F23A59" w:rsidRDefault="00E508E0" w:rsidP="001E4DB5">
            <w:pPr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Į 20</w:t>
            </w:r>
            <w:r w:rsidR="001E4DB5" w:rsidRPr="00F23A59">
              <w:rPr>
                <w:sz w:val="22"/>
                <w:szCs w:val="22"/>
              </w:rPr>
              <w:t>20-</w:t>
            </w:r>
            <w:r w:rsidR="00F972ED" w:rsidRPr="00F23A59">
              <w:rPr>
                <w:sz w:val="22"/>
                <w:szCs w:val="22"/>
              </w:rPr>
              <w:t>04-07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F23A59" w:rsidRDefault="001E4DB5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 xml:space="preserve">  </w:t>
            </w:r>
            <w:r w:rsidR="00246981" w:rsidRPr="00F23A59">
              <w:rPr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395B3E66" w:rsidR="00246981" w:rsidRPr="00F23A59" w:rsidRDefault="009B5A5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(27.18E-02)-</w:t>
            </w:r>
            <w:r w:rsidR="00C13E0C" w:rsidRPr="00F23A59">
              <w:rPr>
                <w:sz w:val="22"/>
                <w:szCs w:val="22"/>
              </w:rPr>
              <w:t>6K</w:t>
            </w:r>
            <w:r w:rsidR="00BE5FBC" w:rsidRPr="00F23A59">
              <w:rPr>
                <w:sz w:val="22"/>
                <w:szCs w:val="22"/>
              </w:rPr>
              <w:t>-2</w:t>
            </w:r>
            <w:r w:rsidR="00F972ED" w:rsidRPr="00F23A59">
              <w:rPr>
                <w:sz w:val="22"/>
                <w:szCs w:val="22"/>
              </w:rPr>
              <w:t>102294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9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233BEC82" w:rsidR="007B4F39" w:rsidRPr="006A0B76" w:rsidRDefault="006A0B76" w:rsidP="00246981">
      <w:r>
        <w:t>L</w:t>
      </w:r>
      <w:r w:rsidRPr="006A0B76">
        <w:t>aimute</w:t>
      </w:r>
      <w:r>
        <w:t>.Raibiene@finmin.lt</w:t>
      </w:r>
    </w:p>
    <w:p w14:paraId="06E54794" w14:textId="77777777" w:rsidR="007B4F39" w:rsidRDefault="007B4F39" w:rsidP="00246981"/>
    <w:p w14:paraId="24F7A25A" w14:textId="6BDE6B98" w:rsidR="00D13A4F" w:rsidRDefault="00D13A4F" w:rsidP="00105E19"/>
    <w:p w14:paraId="4ED2A286" w14:textId="77777777" w:rsidR="002D60C0" w:rsidRDefault="002D60C0" w:rsidP="00105E19"/>
    <w:p w14:paraId="4B1C2944" w14:textId="179D7216" w:rsidR="00246981" w:rsidRPr="00FE13D8" w:rsidRDefault="00246981" w:rsidP="00F55345">
      <w:pPr>
        <w:spacing w:line="360" w:lineRule="auto"/>
        <w:rPr>
          <w:b/>
          <w:caps/>
        </w:rPr>
      </w:pPr>
      <w:r w:rsidRPr="00000092">
        <w:rPr>
          <w:b/>
          <w:caps/>
        </w:rPr>
        <w:t xml:space="preserve">DĖL </w:t>
      </w:r>
      <w:r w:rsidR="00FD495D">
        <w:rPr>
          <w:b/>
          <w:caps/>
        </w:rPr>
        <w:t xml:space="preserve">LIETUVOS RESPUBLIKOS </w:t>
      </w:r>
      <w:r w:rsidRPr="00000092">
        <w:rPr>
          <w:b/>
          <w:caps/>
        </w:rPr>
        <w:t>V</w:t>
      </w:r>
      <w:r w:rsidR="0004027E">
        <w:rPr>
          <w:b/>
          <w:caps/>
        </w:rPr>
        <w:t>YRIAUSYBĖS NUTARIMO PROJEKTO</w:t>
      </w:r>
    </w:p>
    <w:p w14:paraId="096448E4" w14:textId="458BA0CE" w:rsidR="002D60C0" w:rsidRDefault="002D60C0" w:rsidP="00F55345">
      <w:pPr>
        <w:spacing w:line="360" w:lineRule="auto"/>
        <w:jc w:val="both"/>
      </w:pPr>
    </w:p>
    <w:p w14:paraId="18A4D455" w14:textId="77777777" w:rsidR="00686F5E" w:rsidRDefault="00686F5E" w:rsidP="00F55345">
      <w:pPr>
        <w:spacing w:line="360" w:lineRule="auto"/>
        <w:jc w:val="both"/>
      </w:pPr>
    </w:p>
    <w:p w14:paraId="16B8D3A9" w14:textId="5BAF592D" w:rsidR="00986326" w:rsidRPr="000B2E5A" w:rsidRDefault="00DE31E6" w:rsidP="00F55345">
      <w:pPr>
        <w:spacing w:line="360" w:lineRule="auto"/>
        <w:ind w:firstLine="851"/>
        <w:jc w:val="both"/>
        <w:rPr>
          <w:color w:val="000000"/>
        </w:rPr>
      </w:pPr>
      <w:bookmarkStart w:id="0" w:name="_Hlk38026266"/>
      <w:r w:rsidRPr="0016315F">
        <w:t>Valstybės įmonė Turto bankas</w:t>
      </w:r>
      <w:r w:rsidR="00E37ACC">
        <w:t xml:space="preserve"> (toliau – Turto bankas)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C80C97">
        <w:t xml:space="preserve">valstybės </w:t>
      </w:r>
      <w:r w:rsidR="009A4509">
        <w:t xml:space="preserve">nekilnojamojo turto </w:t>
      </w:r>
      <w:r w:rsidR="00C80C97">
        <w:t>perdavimo</w:t>
      </w:r>
      <w:r w:rsidR="00761DAD" w:rsidRPr="006141DB">
        <w:rPr>
          <w:rFonts w:eastAsia="Calibri"/>
          <w:bCs/>
        </w:rPr>
        <w:t xml:space="preserve"> valstybės įmonei Turto bankui patikėjimo teise valdyti, naudoti ir disponuoti</w:t>
      </w:r>
      <w:r w:rsidR="0009790E">
        <w:rPr>
          <w:rFonts w:eastAsia="Calibri"/>
          <w:bCs/>
        </w:rPr>
        <w:t xml:space="preserve"> juo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</w:t>
      </w:r>
      <w:r w:rsidR="006322DB">
        <w:t xml:space="preserve">. Kartu norėtumėme </w:t>
      </w:r>
      <w:r w:rsidR="00986326">
        <w:t xml:space="preserve">pateikti </w:t>
      </w:r>
      <w:r w:rsidR="00986326">
        <w:rPr>
          <w:color w:val="000000"/>
        </w:rPr>
        <w:t>pasiūlymą dėl minėto nutarimo projekto papildymo.</w:t>
      </w:r>
    </w:p>
    <w:p w14:paraId="56C99E88" w14:textId="3B50B9C1" w:rsidR="00986326" w:rsidRDefault="00986326" w:rsidP="00F55345">
      <w:pPr>
        <w:tabs>
          <w:tab w:val="left" w:pos="851"/>
        </w:tabs>
        <w:spacing w:line="360" w:lineRule="auto"/>
        <w:jc w:val="both"/>
      </w:pPr>
      <w:r>
        <w:t xml:space="preserve">              </w:t>
      </w:r>
      <w:r w:rsidR="003E4B7C">
        <w:t>Kauno</w:t>
      </w:r>
      <w:r>
        <w:t xml:space="preserve"> apylinkės teism</w:t>
      </w:r>
      <w:r w:rsidR="003E4B7C">
        <w:t>o Kėdainių rūmai</w:t>
      </w:r>
      <w:r>
        <w:t xml:space="preserve"> 202</w:t>
      </w:r>
      <w:r w:rsidR="003E4B7C">
        <w:t>0</w:t>
      </w:r>
      <w:r>
        <w:t xml:space="preserve"> m. </w:t>
      </w:r>
      <w:r w:rsidR="003E4B7C">
        <w:t>rugsėjo 17</w:t>
      </w:r>
      <w:r>
        <w:t xml:space="preserve"> d. sprendimu civilinėje byloje                Nr. e2YT-</w:t>
      </w:r>
      <w:r w:rsidR="003E4B7C">
        <w:t>10417-1106/2020 atmetė pareiškėjų G.U. ir E.U. pareiškimą dėl nuosavybės teisės įgijimo pagal įgyjamąją senatį fakto nustatymo.</w:t>
      </w:r>
      <w:r w:rsidR="00E643BE">
        <w:t xml:space="preserve"> Teismas darė išvadą, kad nekilnojamasis turtas: ūkinis pastatas, unikalus Nr. 4400-5392-6384, ūkinis pastatas, unikalus Nr. 4400-5392-6395, stoginė, unikalus Nr. 4400-5392-6408, kiti inžineriniai statiniai-aikštelė, unikalus Nr. 4400-5392-6419, esantys </w:t>
      </w:r>
      <w:proofErr w:type="spellStart"/>
      <w:r w:rsidR="00E643BE">
        <w:t>Beinaičių</w:t>
      </w:r>
      <w:proofErr w:type="spellEnd"/>
      <w:r w:rsidR="00E643BE">
        <w:t xml:space="preserve"> k., Pelėdnagių sen., Kėdainių r. sav. yra valstybės nuosavybė. </w:t>
      </w:r>
      <w:r w:rsidR="003E4B7C">
        <w:t xml:space="preserve"> </w:t>
      </w:r>
      <w:r w:rsidR="00E643BE">
        <w:t xml:space="preserve">Kauno apygardos teismas 2021 m. </w:t>
      </w:r>
      <w:r w:rsidR="00791862">
        <w:t>kovo 15</w:t>
      </w:r>
      <w:r w:rsidR="00E643BE">
        <w:t xml:space="preserve"> d. nutartimi paliko nepakeistą Kauno apylinkės teismo Kėdainių rūmų 2020 m. rugsėjo 17 d. sprendimą. Sprendime nurodytas turtas turėtų būti įregistruotas valstybei nuosavybės teise </w:t>
      </w:r>
      <w:r w:rsidRPr="00256483">
        <w:t xml:space="preserve">bei </w:t>
      </w:r>
      <w:r>
        <w:t xml:space="preserve">nustatytas šio turto patikėtinis.        </w:t>
      </w:r>
    </w:p>
    <w:p w14:paraId="22F2F7F5" w14:textId="1FFD3499" w:rsidR="00411681" w:rsidRDefault="00594FB3" w:rsidP="00F55345">
      <w:pPr>
        <w:tabs>
          <w:tab w:val="left" w:pos="851"/>
        </w:tabs>
        <w:spacing w:line="360" w:lineRule="auto"/>
        <w:ind w:firstLine="851"/>
        <w:jc w:val="both"/>
      </w:pPr>
      <w:r w:rsidRPr="005C6090">
        <w:t xml:space="preserve">Turto bankas Valstybės turto informacinėje paieškos sistemoje (VTIPS) patikrino duomenis apie valstybės nekilnojamąjį turtą </w:t>
      </w:r>
      <w:r>
        <w:t>Vilniuje, Stepono Batoro g. 5</w:t>
      </w:r>
      <w:r w:rsidR="000765CF">
        <w:t>. Lietuvos Respublikai nuosavybės teise priklauso 81,93 kv. metro ploto pastatas-gyvenamasis namas</w:t>
      </w:r>
      <w:bookmarkStart w:id="1" w:name="_Hlk65009191"/>
      <w:r w:rsidR="004075C0">
        <w:t>,</w:t>
      </w:r>
      <w:r w:rsidR="00A41DAB">
        <w:t xml:space="preserve"> unikalus Nr. 1094-0292-5011,</w:t>
      </w:r>
      <w:r>
        <w:t xml:space="preserve"> turto patikėtiniu įregistruota Vilniaus miesto Lenino rajono namų ūkio valdyba</w:t>
      </w:r>
      <w:r w:rsidR="00A80C35">
        <w:t xml:space="preserve">. Viešais Juridinių asmenų registro duomenimis informacijos apie Vilniaus miesto Lenino rajono namų ūkio valdybą nerasta. </w:t>
      </w:r>
      <w:bookmarkEnd w:id="1"/>
      <w:r w:rsidR="001901C0">
        <w:t>Šiam</w:t>
      </w:r>
      <w:r w:rsidR="00D33268">
        <w:t xml:space="preserve"> turtui </w:t>
      </w:r>
      <w:r w:rsidR="00D33268" w:rsidRPr="00256483">
        <w:t>turėtų būti nustatytas patikėtinis.</w:t>
      </w:r>
      <w:r w:rsidR="00D33268">
        <w:t xml:space="preserve"> </w:t>
      </w:r>
      <w:r w:rsidR="00D33268" w:rsidRPr="00256483">
        <w:t xml:space="preserve"> </w:t>
      </w:r>
    </w:p>
    <w:p w14:paraId="748D72C0" w14:textId="6D545D4A" w:rsidR="00D13A4F" w:rsidRDefault="00986326" w:rsidP="00F55345">
      <w:pPr>
        <w:tabs>
          <w:tab w:val="left" w:pos="851"/>
        </w:tabs>
        <w:spacing w:line="360" w:lineRule="auto"/>
        <w:jc w:val="both"/>
      </w:pPr>
      <w:r>
        <w:lastRenderedPageBreak/>
        <w:t xml:space="preserve">              Atsižvelgiant į išdėstytą, siūlome papildyti </w:t>
      </w:r>
      <w:r w:rsidR="00853E54">
        <w:t xml:space="preserve">derinti pateikto </w:t>
      </w:r>
      <w:r>
        <w:t>nutarimo projektą, į perduodamo valstybės įmonei Turto bankui patikėjimo teise valdyti, naudoti ir disponuoti valstybei nuosavybės teise priklausančio nekilnojamojo turto sąrašą įtraukiant</w:t>
      </w:r>
      <w:r w:rsidRPr="004C38F1">
        <w:t xml:space="preserve"> </w:t>
      </w:r>
      <w:r w:rsidR="000D0711">
        <w:t>turtą</w:t>
      </w:r>
      <w:r w:rsidR="00853E54">
        <w:t>: ūkinį pastatą, unikalus Nr. 4400-5392-6384, ūkinį pastatą, unikalus Nr. 4400-5392-6395, stoginę, unikalus Nr. 4400-5392-6408, kitus inžinerinius statinius-aikštelę, unikalus Nr. 4400-5392-6419, esan</w:t>
      </w:r>
      <w:r w:rsidR="00A41DAB">
        <w:t>čius</w:t>
      </w:r>
      <w:r w:rsidR="00853E54">
        <w:t xml:space="preserve"> </w:t>
      </w:r>
      <w:proofErr w:type="spellStart"/>
      <w:r w:rsidR="00853E54">
        <w:t>Beinaičių</w:t>
      </w:r>
      <w:proofErr w:type="spellEnd"/>
      <w:r w:rsidR="00853E54">
        <w:t xml:space="preserve"> k., Pelėdnagių sen., Kėdainių r. sav.</w:t>
      </w:r>
      <w:r w:rsidR="001901C0">
        <w:t xml:space="preserve"> ir pastatą-gyvenamąjį namą, </w:t>
      </w:r>
      <w:r w:rsidR="00A41DAB">
        <w:t>unikalus Nr. 1094-0292-5011</w:t>
      </w:r>
      <w:r w:rsidR="008F6E41">
        <w:t>,</w:t>
      </w:r>
      <w:r w:rsidR="00A41DAB">
        <w:t xml:space="preserve"> </w:t>
      </w:r>
      <w:r w:rsidR="001901C0">
        <w:t xml:space="preserve">esantį </w:t>
      </w:r>
      <w:r w:rsidR="009E5AE1">
        <w:t xml:space="preserve">Vilniuje, </w:t>
      </w:r>
      <w:r w:rsidR="001901C0">
        <w:t xml:space="preserve">Stepono Batoro g. 5. </w:t>
      </w:r>
    </w:p>
    <w:bookmarkEnd w:id="0"/>
    <w:p w14:paraId="7C877621" w14:textId="2C5129F3" w:rsidR="009F2296" w:rsidRDefault="00853E54" w:rsidP="00F55345">
      <w:pPr>
        <w:tabs>
          <w:tab w:val="left" w:pos="-284"/>
        </w:tabs>
        <w:spacing w:line="360" w:lineRule="auto"/>
        <w:jc w:val="both"/>
      </w:pPr>
      <w:r>
        <w:t xml:space="preserve">              </w:t>
      </w:r>
      <w:r w:rsidR="00E508E0">
        <w:t>Dėkojame už bendradarbiavimą.</w:t>
      </w:r>
    </w:p>
    <w:p w14:paraId="40C30A53" w14:textId="77777777" w:rsidR="00F55345" w:rsidRDefault="00F55345" w:rsidP="00F55345">
      <w:pPr>
        <w:tabs>
          <w:tab w:val="left" w:pos="-284"/>
        </w:tabs>
        <w:spacing w:line="360" w:lineRule="auto"/>
        <w:jc w:val="both"/>
      </w:pPr>
    </w:p>
    <w:p w14:paraId="739F7A58" w14:textId="46EF1EBD" w:rsidR="00F57744" w:rsidRDefault="00F57744" w:rsidP="00F55345">
      <w:pPr>
        <w:tabs>
          <w:tab w:val="left" w:pos="851"/>
        </w:tabs>
        <w:spacing w:line="360" w:lineRule="auto"/>
        <w:jc w:val="both"/>
      </w:pPr>
      <w:r>
        <w:t xml:space="preserve">              </w:t>
      </w:r>
      <w:r w:rsidRPr="00256483">
        <w:t xml:space="preserve">PRIDEDAMA. </w:t>
      </w:r>
      <w:r>
        <w:t>L</w:t>
      </w:r>
      <w:r w:rsidRPr="00256483">
        <w:t xml:space="preserve">ydimoji </w:t>
      </w:r>
      <w:r w:rsidRPr="00031AAB">
        <w:t xml:space="preserve">medžiaga, </w:t>
      </w:r>
      <w:r>
        <w:t>1</w:t>
      </w:r>
      <w:r w:rsidR="006322DB">
        <w:t>8</w:t>
      </w:r>
      <w:r>
        <w:t xml:space="preserve"> </w:t>
      </w:r>
      <w:r w:rsidRPr="00237012">
        <w:t>lap</w:t>
      </w:r>
      <w:r>
        <w:t>ų</w:t>
      </w:r>
      <w:r w:rsidRPr="00237012">
        <w:t>.</w:t>
      </w:r>
    </w:p>
    <w:p w14:paraId="48257835" w14:textId="77777777" w:rsidR="00F57744" w:rsidRDefault="00F57744" w:rsidP="00F55345">
      <w:pPr>
        <w:spacing w:line="360" w:lineRule="auto"/>
        <w:jc w:val="both"/>
      </w:pPr>
    </w:p>
    <w:p w14:paraId="59DCFAA5" w14:textId="77777777" w:rsidR="00D21226" w:rsidRDefault="00D21226" w:rsidP="00F55345">
      <w:pPr>
        <w:spacing w:line="360" w:lineRule="auto"/>
        <w:ind w:firstLine="851"/>
        <w:jc w:val="both"/>
      </w:pPr>
    </w:p>
    <w:p w14:paraId="0D886FF9" w14:textId="77777777" w:rsidR="00246981" w:rsidRPr="001606BB" w:rsidRDefault="00246981" w:rsidP="00F55345">
      <w:pPr>
        <w:spacing w:line="360" w:lineRule="auto"/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D60C0">
      <w:pPr>
        <w:spacing w:line="360" w:lineRule="auto"/>
        <w:ind w:right="-1"/>
        <w:jc w:val="both"/>
      </w:pPr>
    </w:p>
    <w:p w14:paraId="16B1600A" w14:textId="77777777" w:rsidR="00C57AD6" w:rsidRDefault="00C57AD6" w:rsidP="002D60C0">
      <w:pPr>
        <w:spacing w:line="360" w:lineRule="auto"/>
        <w:ind w:right="-1"/>
        <w:jc w:val="both"/>
      </w:pPr>
    </w:p>
    <w:p w14:paraId="2DBE1416" w14:textId="77777777" w:rsidR="00D13A4F" w:rsidRDefault="00D13A4F" w:rsidP="002D60C0">
      <w:pPr>
        <w:spacing w:line="360" w:lineRule="auto"/>
        <w:ind w:right="-1"/>
        <w:jc w:val="both"/>
      </w:pPr>
    </w:p>
    <w:p w14:paraId="72E78187" w14:textId="77777777" w:rsidR="003A2C27" w:rsidRDefault="003A2C27" w:rsidP="002D60C0">
      <w:pPr>
        <w:spacing w:line="360" w:lineRule="auto"/>
        <w:ind w:right="-1"/>
        <w:jc w:val="both"/>
      </w:pPr>
    </w:p>
    <w:p w14:paraId="366119E5" w14:textId="77777777" w:rsidR="003A2C27" w:rsidRDefault="003A2C27" w:rsidP="002D60C0">
      <w:pPr>
        <w:spacing w:line="360" w:lineRule="auto"/>
        <w:ind w:right="-1"/>
        <w:jc w:val="both"/>
      </w:pPr>
    </w:p>
    <w:p w14:paraId="462B37CA" w14:textId="77777777" w:rsidR="003A2C27" w:rsidRDefault="003A2C27" w:rsidP="002D60C0">
      <w:pPr>
        <w:spacing w:line="360" w:lineRule="auto"/>
        <w:ind w:right="-1"/>
        <w:jc w:val="both"/>
      </w:pPr>
    </w:p>
    <w:p w14:paraId="030812CF" w14:textId="77777777" w:rsidR="003A2C27" w:rsidRDefault="003A2C27" w:rsidP="002D60C0">
      <w:pPr>
        <w:spacing w:line="360" w:lineRule="auto"/>
        <w:ind w:right="-1"/>
        <w:jc w:val="both"/>
      </w:pPr>
    </w:p>
    <w:p w14:paraId="67C63B2E" w14:textId="77777777" w:rsidR="003A2C27" w:rsidRDefault="003A2C27" w:rsidP="002D60C0">
      <w:pPr>
        <w:spacing w:line="360" w:lineRule="auto"/>
        <w:ind w:right="-1"/>
        <w:jc w:val="both"/>
      </w:pPr>
    </w:p>
    <w:p w14:paraId="3AD94574" w14:textId="1A35DD95" w:rsidR="003A2C27" w:rsidRDefault="003A2C27" w:rsidP="002D60C0">
      <w:pPr>
        <w:spacing w:line="360" w:lineRule="auto"/>
        <w:ind w:right="-1"/>
        <w:jc w:val="both"/>
      </w:pPr>
    </w:p>
    <w:p w14:paraId="1F826C08" w14:textId="69772CA5" w:rsidR="00F87A9C" w:rsidRDefault="00F87A9C" w:rsidP="002D60C0">
      <w:pPr>
        <w:spacing w:line="360" w:lineRule="auto"/>
        <w:ind w:right="-1"/>
        <w:jc w:val="both"/>
      </w:pPr>
    </w:p>
    <w:p w14:paraId="1BF8A98F" w14:textId="77777777" w:rsidR="00F87A9C" w:rsidRDefault="00F87A9C" w:rsidP="002D60C0">
      <w:pPr>
        <w:spacing w:line="360" w:lineRule="auto"/>
        <w:ind w:right="-1"/>
        <w:jc w:val="both"/>
      </w:pPr>
    </w:p>
    <w:p w14:paraId="3C4A59A5" w14:textId="77777777" w:rsidR="003A2C27" w:rsidRDefault="003A2C27" w:rsidP="002D60C0">
      <w:pPr>
        <w:spacing w:line="360" w:lineRule="auto"/>
        <w:ind w:right="-1"/>
        <w:jc w:val="both"/>
      </w:pPr>
    </w:p>
    <w:p w14:paraId="0B5DD501" w14:textId="77777777" w:rsidR="003A2C27" w:rsidRDefault="003A2C27" w:rsidP="002D60C0">
      <w:pPr>
        <w:spacing w:line="360" w:lineRule="auto"/>
        <w:ind w:right="-1"/>
        <w:jc w:val="both"/>
      </w:pPr>
    </w:p>
    <w:p w14:paraId="7406C6C4" w14:textId="77777777" w:rsidR="009A73F3" w:rsidRDefault="009A73F3" w:rsidP="002D60C0">
      <w:pPr>
        <w:spacing w:line="360" w:lineRule="auto"/>
        <w:ind w:right="-1"/>
        <w:jc w:val="both"/>
      </w:pPr>
    </w:p>
    <w:p w14:paraId="430451FA" w14:textId="156FD63A" w:rsidR="00D13A4F" w:rsidRDefault="00D13A4F" w:rsidP="002D60C0">
      <w:pPr>
        <w:spacing w:line="360" w:lineRule="auto"/>
        <w:ind w:right="-1"/>
        <w:jc w:val="both"/>
      </w:pPr>
    </w:p>
    <w:p w14:paraId="7E7A368C" w14:textId="318BA401" w:rsidR="00F55345" w:rsidRDefault="00F55345" w:rsidP="002D60C0">
      <w:pPr>
        <w:spacing w:line="360" w:lineRule="auto"/>
        <w:ind w:right="-1"/>
        <w:jc w:val="both"/>
      </w:pPr>
    </w:p>
    <w:p w14:paraId="551F79AD" w14:textId="77777777" w:rsidR="00F55345" w:rsidRDefault="00F55345" w:rsidP="002D60C0">
      <w:pPr>
        <w:spacing w:line="360" w:lineRule="auto"/>
        <w:ind w:right="-1"/>
        <w:jc w:val="both"/>
      </w:pPr>
    </w:p>
    <w:p w14:paraId="73E3ECA4" w14:textId="09FA4E70" w:rsidR="00054EF1" w:rsidRDefault="00054EF1" w:rsidP="002D60C0">
      <w:pPr>
        <w:spacing w:line="360" w:lineRule="auto"/>
        <w:ind w:right="-1"/>
        <w:jc w:val="both"/>
      </w:pPr>
    </w:p>
    <w:p w14:paraId="629FD6A8" w14:textId="0EA7CDDB" w:rsidR="00054EF1" w:rsidRDefault="00054EF1" w:rsidP="002D60C0">
      <w:pPr>
        <w:spacing w:line="360" w:lineRule="auto"/>
        <w:ind w:right="-1"/>
        <w:jc w:val="both"/>
      </w:pPr>
    </w:p>
    <w:p w14:paraId="5690F0FF" w14:textId="77777777" w:rsidR="00B206DC" w:rsidRDefault="00B206DC" w:rsidP="002D60C0">
      <w:pPr>
        <w:spacing w:line="360" w:lineRule="auto"/>
        <w:ind w:right="-1"/>
        <w:jc w:val="both"/>
      </w:pPr>
    </w:p>
    <w:p w14:paraId="3B50634A" w14:textId="77777777" w:rsidR="00054EF1" w:rsidRDefault="00054EF1" w:rsidP="002D60C0">
      <w:pPr>
        <w:spacing w:line="360" w:lineRule="auto"/>
        <w:ind w:right="-1"/>
        <w:jc w:val="both"/>
      </w:pPr>
    </w:p>
    <w:p w14:paraId="17C9B891" w14:textId="5CBACD78" w:rsidR="004A64C9" w:rsidRPr="009F2296" w:rsidRDefault="003D5080" w:rsidP="002D60C0">
      <w:pPr>
        <w:spacing w:line="360" w:lineRule="auto"/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 xml:space="preserve">@turtas.lt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CE88F" w14:textId="77777777" w:rsidR="005D60A4" w:rsidRDefault="005D60A4">
      <w:r>
        <w:separator/>
      </w:r>
    </w:p>
  </w:endnote>
  <w:endnote w:type="continuationSeparator" w:id="0">
    <w:p w14:paraId="03BA9C1C" w14:textId="77777777" w:rsidR="005D60A4" w:rsidRDefault="005D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5D60A4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5D60A4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642E5" w14:textId="77777777" w:rsidR="005D60A4" w:rsidRDefault="005D60A4">
      <w:r>
        <w:separator/>
      </w:r>
    </w:p>
  </w:footnote>
  <w:footnote w:type="continuationSeparator" w:id="0">
    <w:p w14:paraId="01D3D1C6" w14:textId="77777777" w:rsidR="005D60A4" w:rsidRDefault="005D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81"/>
    <w:rsid w:val="00012CCD"/>
    <w:rsid w:val="0004027E"/>
    <w:rsid w:val="00054EF1"/>
    <w:rsid w:val="000765CF"/>
    <w:rsid w:val="0009790E"/>
    <w:rsid w:val="000A703F"/>
    <w:rsid w:val="000B4E40"/>
    <w:rsid w:val="000D0711"/>
    <w:rsid w:val="000F3672"/>
    <w:rsid w:val="00105E19"/>
    <w:rsid w:val="00110E8E"/>
    <w:rsid w:val="0011524F"/>
    <w:rsid w:val="00140CAD"/>
    <w:rsid w:val="001818EC"/>
    <w:rsid w:val="001901C0"/>
    <w:rsid w:val="001C6BE8"/>
    <w:rsid w:val="001D2501"/>
    <w:rsid w:val="001E4DB5"/>
    <w:rsid w:val="00203CD6"/>
    <w:rsid w:val="0020426C"/>
    <w:rsid w:val="00222B27"/>
    <w:rsid w:val="00236F4F"/>
    <w:rsid w:val="00240127"/>
    <w:rsid w:val="00246981"/>
    <w:rsid w:val="00276112"/>
    <w:rsid w:val="00286F6E"/>
    <w:rsid w:val="002D60C0"/>
    <w:rsid w:val="002F3CAB"/>
    <w:rsid w:val="002F76B8"/>
    <w:rsid w:val="003118E8"/>
    <w:rsid w:val="003300AE"/>
    <w:rsid w:val="00330E37"/>
    <w:rsid w:val="003548E7"/>
    <w:rsid w:val="00355A84"/>
    <w:rsid w:val="003A2C27"/>
    <w:rsid w:val="003B1AFC"/>
    <w:rsid w:val="003B26C6"/>
    <w:rsid w:val="003D1F92"/>
    <w:rsid w:val="003D5080"/>
    <w:rsid w:val="003E4B7C"/>
    <w:rsid w:val="004075C0"/>
    <w:rsid w:val="00411681"/>
    <w:rsid w:val="0045316F"/>
    <w:rsid w:val="00453385"/>
    <w:rsid w:val="004552F7"/>
    <w:rsid w:val="00463888"/>
    <w:rsid w:val="0047111F"/>
    <w:rsid w:val="004A64C9"/>
    <w:rsid w:val="004B29CC"/>
    <w:rsid w:val="00515599"/>
    <w:rsid w:val="00537CFF"/>
    <w:rsid w:val="00551F76"/>
    <w:rsid w:val="0056302D"/>
    <w:rsid w:val="00593F94"/>
    <w:rsid w:val="00594FB3"/>
    <w:rsid w:val="005D23BC"/>
    <w:rsid w:val="005D60A4"/>
    <w:rsid w:val="005F0CE6"/>
    <w:rsid w:val="006043AE"/>
    <w:rsid w:val="00625FEE"/>
    <w:rsid w:val="006322DB"/>
    <w:rsid w:val="00686F5E"/>
    <w:rsid w:val="006A0B76"/>
    <w:rsid w:val="006B260F"/>
    <w:rsid w:val="006D71CA"/>
    <w:rsid w:val="006F7F0B"/>
    <w:rsid w:val="00714CF5"/>
    <w:rsid w:val="00733A1E"/>
    <w:rsid w:val="00735431"/>
    <w:rsid w:val="00747923"/>
    <w:rsid w:val="00761DAD"/>
    <w:rsid w:val="00777414"/>
    <w:rsid w:val="00781F21"/>
    <w:rsid w:val="00791862"/>
    <w:rsid w:val="007A7927"/>
    <w:rsid w:val="007B4F39"/>
    <w:rsid w:val="007B616C"/>
    <w:rsid w:val="007D127C"/>
    <w:rsid w:val="008167D1"/>
    <w:rsid w:val="00853E54"/>
    <w:rsid w:val="00880953"/>
    <w:rsid w:val="008830DC"/>
    <w:rsid w:val="00885D47"/>
    <w:rsid w:val="008925B6"/>
    <w:rsid w:val="008A5F65"/>
    <w:rsid w:val="008F6E41"/>
    <w:rsid w:val="00986326"/>
    <w:rsid w:val="009A4509"/>
    <w:rsid w:val="009A73F3"/>
    <w:rsid w:val="009B5A51"/>
    <w:rsid w:val="009E5AE1"/>
    <w:rsid w:val="009E6B58"/>
    <w:rsid w:val="009F2296"/>
    <w:rsid w:val="00A31993"/>
    <w:rsid w:val="00A41DAB"/>
    <w:rsid w:val="00A80C35"/>
    <w:rsid w:val="00A938AA"/>
    <w:rsid w:val="00A96E78"/>
    <w:rsid w:val="00AC1DE0"/>
    <w:rsid w:val="00AE2D68"/>
    <w:rsid w:val="00B206DC"/>
    <w:rsid w:val="00B33F93"/>
    <w:rsid w:val="00B51B55"/>
    <w:rsid w:val="00B664C2"/>
    <w:rsid w:val="00BE5FBC"/>
    <w:rsid w:val="00C07AB3"/>
    <w:rsid w:val="00C13E0C"/>
    <w:rsid w:val="00C2504F"/>
    <w:rsid w:val="00C27E01"/>
    <w:rsid w:val="00C27F61"/>
    <w:rsid w:val="00C427D5"/>
    <w:rsid w:val="00C42968"/>
    <w:rsid w:val="00C4394F"/>
    <w:rsid w:val="00C57AD6"/>
    <w:rsid w:val="00C80C97"/>
    <w:rsid w:val="00CF16DA"/>
    <w:rsid w:val="00D13A4F"/>
    <w:rsid w:val="00D21226"/>
    <w:rsid w:val="00D33268"/>
    <w:rsid w:val="00D55A46"/>
    <w:rsid w:val="00D85939"/>
    <w:rsid w:val="00D86C00"/>
    <w:rsid w:val="00D94E29"/>
    <w:rsid w:val="00DE31E6"/>
    <w:rsid w:val="00DF5E91"/>
    <w:rsid w:val="00E016BE"/>
    <w:rsid w:val="00E37ACC"/>
    <w:rsid w:val="00E508E0"/>
    <w:rsid w:val="00E643BE"/>
    <w:rsid w:val="00E96DA1"/>
    <w:rsid w:val="00EC7B8A"/>
    <w:rsid w:val="00ED1E6B"/>
    <w:rsid w:val="00F03F9D"/>
    <w:rsid w:val="00F23A59"/>
    <w:rsid w:val="00F55345"/>
    <w:rsid w:val="00F57744"/>
    <w:rsid w:val="00F87A9C"/>
    <w:rsid w:val="00F972ED"/>
    <w:rsid w:val="00FC67FD"/>
    <w:rsid w:val="00FC73E7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  <w15:docId w15:val="{770084BF-02EE-475E-8DEE-7D9ED561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min@fin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829A-61AD-4E60-A73F-3546C5E3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ZOSTAUTAS, Evaldas</dc:creator>
  <cp:lastModifiedBy>ŽOŠTAUTAS, Evaldas | Turto bankas</cp:lastModifiedBy>
  <cp:revision>48</cp:revision>
  <cp:lastPrinted>2021-04-15T05:28:00Z</cp:lastPrinted>
  <dcterms:created xsi:type="dcterms:W3CDTF">2021-04-14T05:28:00Z</dcterms:created>
  <dcterms:modified xsi:type="dcterms:W3CDTF">2021-04-15T12:43:00Z</dcterms:modified>
</cp:coreProperties>
</file>