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94" w:rsidRDefault="000D0D94" w:rsidP="00017C42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LIETUVOS RESPUBLIKOS VYRIAUSYBĖS NUTARIMO „ DĖL </w:t>
      </w:r>
      <w:r w:rsidR="00E21B74" w:rsidRPr="00E21B7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LIETUVOS RESPUBLIKOS </w:t>
      </w:r>
      <w:r w:rsidR="00E21B74" w:rsidRPr="00E21B74">
        <w:rPr>
          <w:rFonts w:ascii="Times New Roman" w:hAnsi="Times New Roman" w:cs="Times New Roman"/>
          <w:b/>
          <w:sz w:val="24"/>
          <w:szCs w:val="24"/>
        </w:rPr>
        <w:t>LOTERIJŲ IR LOŠIMŲ MOKESČIO ĮSTATYMO NR. IX-326 4, 5 IR 6 STRAIPSNIŲ IR TREČIOJO SKIRSNIO PAVADINIMO PAKEITIMO</w:t>
      </w:r>
      <w:r>
        <w:rPr>
          <w:rFonts w:ascii="Times New Roman" w:hAnsi="Times New Roman" w:cs="Times New Roman"/>
          <w:b/>
          <w:sz w:val="24"/>
          <w:szCs w:val="24"/>
        </w:rPr>
        <w:t xml:space="preserve"> ĮSTATYMO PROJEKTO NR</w:t>
      </w:r>
      <w:r w:rsidRPr="000D0D94">
        <w:rPr>
          <w:rFonts w:ascii="Times New Roman" w:hAnsi="Times New Roman" w:cs="Times New Roman"/>
          <w:b/>
          <w:sz w:val="24"/>
          <w:szCs w:val="24"/>
        </w:rPr>
        <w:t>. XIVP-941(3)</w:t>
      </w:r>
      <w:r w:rsidR="00E21B74" w:rsidRPr="00E21B74">
        <w:rPr>
          <w:rFonts w:ascii="Times New Roman" w:hAnsi="Times New Roman" w:cs="Times New Roman"/>
          <w:b/>
          <w:sz w:val="24"/>
          <w:szCs w:val="24"/>
        </w:rPr>
        <w:t xml:space="preserve"> IR LIETUVOS RESPUBLIKOS AZARTINIŲ LOŠIMŲ ĮSTATYMO NR. IX-325 TREČIOJO SKIRSNIO PAVADINIMO PAKEITIMO IR 21</w:t>
      </w:r>
      <w:r w:rsidR="00E21B74" w:rsidRPr="00E21B7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21B74" w:rsidRPr="00E21B74">
        <w:rPr>
          <w:rFonts w:ascii="Times New Roman" w:hAnsi="Times New Roman" w:cs="Times New Roman"/>
          <w:b/>
          <w:sz w:val="24"/>
          <w:szCs w:val="24"/>
        </w:rPr>
        <w:t xml:space="preserve"> STRAIPSNIO PRIPA</w:t>
      </w:r>
      <w:r>
        <w:rPr>
          <w:rFonts w:ascii="Times New Roman" w:hAnsi="Times New Roman" w:cs="Times New Roman"/>
          <w:b/>
          <w:sz w:val="24"/>
          <w:szCs w:val="24"/>
        </w:rPr>
        <w:t xml:space="preserve">ŽINIMO NETEKUSIU GALIOS ĮSTATYMO </w:t>
      </w:r>
    </w:p>
    <w:p w:rsidR="00DA1B27" w:rsidRDefault="000D0D94" w:rsidP="00F3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PROJEKTO NR. </w:t>
      </w:r>
      <w:r w:rsidRPr="000D0D94">
        <w:rPr>
          <w:rFonts w:ascii="Times New Roman" w:hAnsi="Times New Roman" w:cs="Times New Roman"/>
          <w:b/>
          <w:sz w:val="24"/>
          <w:szCs w:val="24"/>
        </w:rPr>
        <w:t>XIVP-941(3)</w:t>
      </w:r>
      <w:r>
        <w:rPr>
          <w:rFonts w:ascii="Times New Roman" w:hAnsi="Times New Roman" w:cs="Times New Roman"/>
          <w:b/>
          <w:sz w:val="24"/>
          <w:szCs w:val="24"/>
        </w:rPr>
        <w:t>“ PROJEKTO</w:t>
      </w:r>
      <w:r w:rsidR="00E21B74" w:rsidRPr="00E21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3C8" w:rsidRPr="00E21B74" w:rsidRDefault="00AE53C8" w:rsidP="00F3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B74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:rsidR="00AE53C8" w:rsidRPr="00F32B8E" w:rsidRDefault="00AE53C8" w:rsidP="00F3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559" w:type="dxa"/>
        <w:tblLook w:val="04A0" w:firstRow="1" w:lastRow="0" w:firstColumn="1" w:lastColumn="0" w:noHBand="0" w:noVBand="1"/>
      </w:tblPr>
      <w:tblGrid>
        <w:gridCol w:w="1951"/>
        <w:gridCol w:w="4961"/>
        <w:gridCol w:w="8647"/>
      </w:tblGrid>
      <w:tr w:rsidR="008106FD" w:rsidTr="00017C42">
        <w:tc>
          <w:tcPr>
            <w:tcW w:w="1951" w:type="dxa"/>
          </w:tcPr>
          <w:p w:rsidR="00AB0E5F" w:rsidRPr="002466F0" w:rsidRDefault="00AB0E5F" w:rsidP="00AB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F0">
              <w:rPr>
                <w:rFonts w:ascii="Times New Roman" w:hAnsi="Times New Roman" w:cs="Times New Roman"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4961" w:type="dxa"/>
          </w:tcPr>
          <w:p w:rsidR="00AB0E5F" w:rsidRPr="002466F0" w:rsidRDefault="00AB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F0">
              <w:rPr>
                <w:rFonts w:ascii="Times New Roman" w:hAnsi="Times New Roman" w:cs="Times New Roman"/>
                <w:sz w:val="24"/>
                <w:szCs w:val="24"/>
              </w:rPr>
              <w:t>Pastabos ir pasiūlymai</w:t>
            </w:r>
          </w:p>
        </w:tc>
        <w:tc>
          <w:tcPr>
            <w:tcW w:w="8647" w:type="dxa"/>
          </w:tcPr>
          <w:p w:rsidR="00AB0E5F" w:rsidRPr="002466F0" w:rsidRDefault="0092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Argumentai dėl</w:t>
            </w:r>
            <w:r w:rsidR="00AB0E5F" w:rsidRPr="002466F0">
              <w:rPr>
                <w:rFonts w:ascii="Times New Roman" w:hAnsi="Times New Roman" w:cs="Times New Roman"/>
                <w:sz w:val="24"/>
                <w:szCs w:val="24"/>
              </w:rPr>
              <w:t xml:space="preserve"> nepriimtų (nurodyti motyvai) pastabų ir pasiūlymų</w:t>
            </w:r>
          </w:p>
        </w:tc>
      </w:tr>
    </w:tbl>
    <w:tbl>
      <w:tblPr>
        <w:tblStyle w:val="Lentelstinklelis"/>
        <w:tblpPr w:leftFromText="180" w:rightFromText="180" w:vertAnchor="text" w:horzAnchor="margin" w:tblpY="6"/>
        <w:tblW w:w="15559" w:type="dxa"/>
        <w:tblLook w:val="04A0" w:firstRow="1" w:lastRow="0" w:firstColumn="1" w:lastColumn="0" w:noHBand="0" w:noVBand="1"/>
      </w:tblPr>
      <w:tblGrid>
        <w:gridCol w:w="1951"/>
        <w:gridCol w:w="4961"/>
        <w:gridCol w:w="8647"/>
      </w:tblGrid>
      <w:tr w:rsidR="003B3CB3" w:rsidTr="00017C42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B3CB3" w:rsidRPr="00FB26D5" w:rsidRDefault="003B3CB3" w:rsidP="003B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ekonomikos ir inovacijų ministerijos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2021-12-08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FB2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(10.16-73)-3-5303</w:t>
            </w:r>
          </w:p>
        </w:tc>
        <w:tc>
          <w:tcPr>
            <w:tcW w:w="4961" w:type="dxa"/>
          </w:tcPr>
          <w:p w:rsidR="003B3CB3" w:rsidRDefault="003B3CB3" w:rsidP="003B3CB3">
            <w:pPr>
              <w:pStyle w:val="prastasistinklapis"/>
              <w:shd w:val="clear" w:color="auto" w:fill="FFFFFF"/>
              <w:spacing w:before="0" w:beforeAutospacing="0" w:after="0" w:afterAutospacing="0"/>
              <w:jc w:val="both"/>
              <w:rPr>
                <w:color w:val="201F1E"/>
                <w:bdr w:val="none" w:sz="0" w:space="0" w:color="auto" w:frame="1"/>
                <w:lang w:val="lt-LT"/>
              </w:rPr>
            </w:pPr>
            <w:r>
              <w:rPr>
                <w:color w:val="201F1E"/>
                <w:bdr w:val="none" w:sz="0" w:space="0" w:color="auto" w:frame="1"/>
                <w:lang w:val="lt-LT"/>
              </w:rPr>
              <w:t xml:space="preserve">          </w:t>
            </w:r>
            <w:r w:rsidRPr="00A266C5">
              <w:rPr>
                <w:color w:val="201F1E"/>
                <w:bdr w:val="none" w:sz="0" w:space="0" w:color="auto" w:frame="1"/>
                <w:lang w:val="lt-LT"/>
              </w:rPr>
              <w:t xml:space="preserve">Loterijų </w:t>
            </w:r>
            <w:r>
              <w:rPr>
                <w:color w:val="201F1E"/>
                <w:bdr w:val="none" w:sz="0" w:space="0" w:color="auto" w:frame="1"/>
                <w:lang w:val="lt-LT"/>
              </w:rPr>
              <w:t xml:space="preserve">mokestinio </w:t>
            </w:r>
            <w:r w:rsidRPr="00A266C5">
              <w:rPr>
                <w:color w:val="201F1E"/>
                <w:bdr w:val="none" w:sz="0" w:space="0" w:color="auto" w:frame="1"/>
                <w:lang w:val="lt-LT"/>
              </w:rPr>
              <w:t>tarifo didinimas nuo 5 proc. iki 18 proc.</w:t>
            </w:r>
            <w:r>
              <w:rPr>
                <w:color w:val="201F1E"/>
                <w:bdr w:val="none" w:sz="0" w:space="0" w:color="auto" w:frame="1"/>
                <w:lang w:val="lt-LT"/>
              </w:rPr>
              <w:t>, pašalinant prievolę 8 proc. lėšų skirti paramai, laikomas reikšmingu mokestiniu pakeitimu, darančiu įtaką verslo sąlygoms. Atkreipiame dėmesį, kad loterijų ir azartinių lošimų ekonominėse veiklose taikomos skirtingos mokesčių bazės.</w:t>
            </w:r>
            <w:r w:rsidRPr="00C30445">
              <w:rPr>
                <w:lang w:val="lt-LT"/>
              </w:rPr>
              <w:t xml:space="preserve"> 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Loterij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mokestis yra skaičiuojamas nuo pardavimo pajam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t.y. nuo už parduotus loterijos bilietus gaut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pajam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(nominalios i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š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platint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loterijos biliet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vert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ė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s). Azartini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lo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š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im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mokestis yra skaičiuojamas nuo gryn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ųjų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pajam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— t.y. nuo pajam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, gaut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iš loš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ėjų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statom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sum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ų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 xml:space="preserve"> at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ė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mus išmok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ė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tus laim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ė</w:t>
            </w:r>
            <w:r w:rsidRPr="00C30445">
              <w:rPr>
                <w:color w:val="201F1E"/>
                <w:bdr w:val="none" w:sz="0" w:space="0" w:color="auto" w:frame="1"/>
                <w:lang w:val="lt-LT" w:bidi="lt-LT"/>
              </w:rPr>
              <w:t>jimus</w:t>
            </w:r>
            <w:r>
              <w:rPr>
                <w:color w:val="201F1E"/>
                <w:bdr w:val="none" w:sz="0" w:space="0" w:color="auto" w:frame="1"/>
                <w:lang w:val="lt-LT" w:bidi="lt-LT"/>
              </w:rPr>
              <w:t>.</w:t>
            </w:r>
            <w:r w:rsidRPr="009B09BD">
              <w:rPr>
                <w:color w:val="201F1E"/>
                <w:bdr w:val="none" w:sz="0" w:space="0" w:color="auto" w:frame="1"/>
                <w:lang w:val="lt-LT"/>
              </w:rPr>
              <w:t> </w:t>
            </w:r>
          </w:p>
          <w:p w:rsidR="003B3CB3" w:rsidRPr="00017C42" w:rsidRDefault="003B3CB3" w:rsidP="00017C42">
            <w:pPr>
              <w:pStyle w:val="prastasistinklapis"/>
              <w:shd w:val="clear" w:color="auto" w:fill="FFFFFF"/>
              <w:spacing w:before="0" w:beforeAutospacing="0" w:after="0" w:afterAutospacing="0"/>
              <w:jc w:val="both"/>
              <w:rPr>
                <w:color w:val="201F1E"/>
                <w:bdr w:val="none" w:sz="0" w:space="0" w:color="auto" w:frame="1"/>
                <w:lang w:val="lt-LT"/>
              </w:rPr>
            </w:pPr>
            <w:r>
              <w:rPr>
                <w:color w:val="201F1E"/>
                <w:bdr w:val="none" w:sz="0" w:space="0" w:color="auto" w:frame="1"/>
                <w:lang w:val="lt-LT"/>
              </w:rPr>
              <w:t xml:space="preserve">          </w:t>
            </w:r>
            <w:r w:rsidRPr="009B09BD">
              <w:rPr>
                <w:color w:val="201F1E"/>
                <w:bdr w:val="none" w:sz="0" w:space="0" w:color="auto" w:frame="1"/>
                <w:lang w:val="lt-LT"/>
              </w:rPr>
              <w:t xml:space="preserve">Siūlome </w:t>
            </w:r>
            <w:r>
              <w:rPr>
                <w:color w:val="201F1E"/>
                <w:bdr w:val="none" w:sz="0" w:space="0" w:color="auto" w:frame="1"/>
                <w:lang w:val="lt-LT"/>
              </w:rPr>
              <w:t>F</w:t>
            </w:r>
            <w:r w:rsidRPr="009B09BD">
              <w:rPr>
                <w:color w:val="201F1E"/>
                <w:bdr w:val="none" w:sz="0" w:space="0" w:color="auto" w:frame="1"/>
                <w:lang w:val="lt-LT"/>
              </w:rPr>
              <w:t>inansų ministerijai įvertinti</w:t>
            </w:r>
            <w:r>
              <w:rPr>
                <w:color w:val="201F1E"/>
                <w:bdr w:val="none" w:sz="0" w:space="0" w:color="auto" w:frame="1"/>
                <w:lang w:val="lt-LT"/>
              </w:rPr>
              <w:t xml:space="preserve"> skirtingų mokestinių bazių ir tarifų taikymo panašioms ekonominės veikloms pagrįstumą. Alternatyvus pasiūlymas būtų susiaurinti loterijų mokestinę bazę, į ją neįtraukiant laimėjimų sumų, kaip tai yra daroma tam tikrose ES šalyse </w:t>
            </w:r>
            <w:r w:rsidRPr="009B09BD">
              <w:rPr>
                <w:color w:val="201F1E"/>
                <w:bdr w:val="none" w:sz="0" w:space="0" w:color="auto" w:frame="1"/>
                <w:lang w:val="lt-LT"/>
              </w:rPr>
              <w:t>(Vokietija, Slovėnija, Švedija)</w:t>
            </w:r>
            <w:r>
              <w:rPr>
                <w:color w:val="201F1E"/>
                <w:bdr w:val="none" w:sz="0" w:space="0" w:color="auto" w:frame="1"/>
                <w:lang w:val="lt-LT"/>
              </w:rPr>
              <w:t>, o šiai mokestinei bazei taikyti Finansų ministerijos pasiūlytą 18 proc. tarifą.</w:t>
            </w:r>
          </w:p>
        </w:tc>
        <w:tc>
          <w:tcPr>
            <w:tcW w:w="8647" w:type="dxa"/>
          </w:tcPr>
          <w:p w:rsidR="003B3CB3" w:rsidRDefault="006868C6" w:rsidP="003B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Pritarti iš dalies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 xml:space="preserve">. Atkreiptinas dėmesys, kad loterijų mokestinio tarifo padidinimas </w:t>
            </w:r>
            <w:r w:rsidR="003B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 xml:space="preserve"> procentiniais punktais, pašalinant prievolę lėšas skirti paramai, loterijų verslo sąlygoms </w:t>
            </w:r>
            <w:r w:rsidR="0008772D">
              <w:rPr>
                <w:rFonts w:ascii="Times New Roman" w:hAnsi="Times New Roman" w:cs="Times New Roman"/>
                <w:sz w:val="24"/>
                <w:szCs w:val="24"/>
              </w:rPr>
              <w:t>įtakos neturėjo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>, nes bendra mokestinė naš</w:t>
            </w:r>
            <w:bookmarkStart w:id="0" w:name="_GoBack"/>
            <w:bookmarkEnd w:id="0"/>
            <w:r w:rsidR="003B3CB3">
              <w:rPr>
                <w:rFonts w:ascii="Times New Roman" w:hAnsi="Times New Roman" w:cs="Times New Roman"/>
                <w:sz w:val="24"/>
                <w:szCs w:val="24"/>
              </w:rPr>
              <w:t xml:space="preserve">ta nepadidėjo, o administracinė našta verslui sumažėjo dėl su parama susijusių ataskaitų teikimo ir viešinimo reikalavimų panaikinimo. </w:t>
            </w:r>
          </w:p>
          <w:p w:rsidR="00035379" w:rsidRDefault="003B3CB3" w:rsidP="003B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C7A">
              <w:rPr>
                <w:rFonts w:ascii="Times New Roman" w:hAnsi="Times New Roman" w:cs="Times New Roman"/>
                <w:sz w:val="24"/>
                <w:szCs w:val="24"/>
              </w:rPr>
              <w:t>Susiaurinus</w:t>
            </w:r>
            <w:r w:rsidRPr="00CC1C7A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loterijų mokestinę bazę,</w:t>
            </w:r>
            <w:r w:rsidR="00035379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t. y.</w:t>
            </w:r>
            <w:r w:rsidRPr="00CC1C7A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į ją neįtraukiant laimėjimų sumų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, ir nustačius šiai apmokestinimo bazei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procentų tarifą, į biudžetą būtų surinkta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val="en-US"/>
              </w:rPr>
              <w:t>6,7 mln</w:t>
            </w:r>
            <w:r w:rsidR="002A451E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val="en-US"/>
              </w:rPr>
              <w:t>eurų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mažiau pajamų, </w:t>
            </w:r>
            <w:r w:rsidR="002A451E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pa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lygin</w:t>
            </w:r>
            <w:r w:rsidR="002A451E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ti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su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val="en-US"/>
              </w:rPr>
              <w:t xml:space="preserve">2021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m</w:t>
            </w:r>
            <w:r w:rsidR="002A451E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etais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prognozuojamomis pajamomis (16,4 mln</w:t>
            </w:r>
            <w:r w:rsidR="002A451E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eurų</w:t>
            </w:r>
            <w:r w:rsidR="00580189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).</w:t>
            </w:r>
            <w:r w:rsidR="00DF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7A6" w:rsidRDefault="00035379" w:rsidP="00DD5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Pažymėtina, kad n</w:t>
            </w:r>
            <w:r w:rsidR="00DF3CD0">
              <w:rPr>
                <w:rFonts w:ascii="Times New Roman" w:hAnsi="Times New Roman" w:cs="Times New Roman"/>
                <w:sz w:val="24"/>
                <w:szCs w:val="24"/>
              </w:rPr>
              <w:t>ustatant apmokestinimo bazę ir mokesčio tarifo dydį vertinama ir</w:t>
            </w:r>
            <w:r w:rsidR="00DF3CD0" w:rsidRPr="00A36965">
              <w:rPr>
                <w:rFonts w:ascii="Times New Roman" w:hAnsi="Times New Roman" w:cs="Times New Roman"/>
                <w:sz w:val="24"/>
                <w:szCs w:val="24"/>
              </w:rPr>
              <w:t xml:space="preserve"> specialiaisiais įstatymais nustatytų ribojimų ir draudimų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turinčių esmin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įtak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verslo organizavimo sąlygoms, visuma</w:t>
            </w:r>
            <w:r w:rsidR="00DD5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Todėl vertinant tarptautinę praktiką ir lyginant skirtingų šalių taikomus apmokestinimo </w:t>
            </w:r>
            <w:r w:rsidRPr="005D3FA7">
              <w:rPr>
                <w:rFonts w:ascii="Times New Roman" w:hAnsi="Times New Roman" w:cs="Times New Roman"/>
                <w:sz w:val="24"/>
                <w:szCs w:val="24"/>
              </w:rPr>
              <w:t>reikalavimus turi būti atsižvelgiama ir į tose šalyse taikomo reglamentavimo ypatumus</w:t>
            </w:r>
            <w:r w:rsidR="003C7CA3" w:rsidRPr="005D3FA7">
              <w:rPr>
                <w:rFonts w:ascii="Times New Roman" w:hAnsi="Times New Roman" w:cs="Times New Roman"/>
                <w:sz w:val="24"/>
                <w:szCs w:val="24"/>
              </w:rPr>
              <w:t xml:space="preserve"> ir veiklai taikomus apribojimus, </w:t>
            </w:r>
            <w:r w:rsidR="00F93FD5" w:rsidRPr="005D3FA7">
              <w:rPr>
                <w:rFonts w:ascii="Times New Roman" w:hAnsi="Times New Roman" w:cs="Times New Roman"/>
                <w:sz w:val="24"/>
                <w:szCs w:val="24"/>
              </w:rPr>
              <w:t xml:space="preserve">taip pat </w:t>
            </w:r>
            <w:r w:rsidRPr="005D3FA7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6868C6">
              <w:rPr>
                <w:rFonts w:ascii="Times New Roman" w:hAnsi="Times New Roman" w:cs="Times New Roman"/>
                <w:sz w:val="24"/>
                <w:szCs w:val="24"/>
              </w:rPr>
              <w:t xml:space="preserve">patį </w:t>
            </w:r>
            <w:r w:rsidRPr="005D3FA7">
              <w:rPr>
                <w:rFonts w:ascii="Times New Roman" w:hAnsi="Times New Roman" w:cs="Times New Roman"/>
                <w:sz w:val="24"/>
                <w:szCs w:val="24"/>
              </w:rPr>
              <w:t>loterijų organizavimo modelį</w:t>
            </w:r>
            <w:r w:rsidR="00254943" w:rsidRPr="005D3FA7">
              <w:rPr>
                <w:rFonts w:ascii="Times New Roman" w:hAnsi="Times New Roman" w:cs="Times New Roman"/>
                <w:sz w:val="24"/>
                <w:szCs w:val="24"/>
              </w:rPr>
              <w:t xml:space="preserve"> (valstybės monopolis, loterij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54943" w:rsidRPr="005D3FA7">
              <w:rPr>
                <w:rFonts w:ascii="Times New Roman" w:hAnsi="Times New Roman" w:cs="Times New Roman"/>
                <w:sz w:val="24"/>
                <w:szCs w:val="24"/>
              </w:rPr>
              <w:t xml:space="preserve"> organizavimas koncesijos pagrindais, privačių (verslo) subjektų organizuojamos loterijos)</w:t>
            </w:r>
            <w:r w:rsidR="00686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222" w:rsidRPr="00A36965" w:rsidRDefault="00DD57A6" w:rsidP="002A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Mokestinės bazės 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>pasirinkimui įtakos turi ir loterij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 xml:space="preserve"> laimėjimų 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 xml:space="preserve">sumų 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>išmokėjimo specifiškumas, t. y</w:t>
            </w:r>
            <w:r w:rsidR="0011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 lošim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 laimėjim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ų sumos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 įprastai išmokam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 iš karto </w:t>
            </w:r>
            <w:r w:rsidR="006F412A">
              <w:rPr>
                <w:rFonts w:ascii="Times New Roman" w:hAnsi="Times New Roman" w:cs="Times New Roman"/>
                <w:sz w:val="24"/>
                <w:szCs w:val="24"/>
              </w:rPr>
              <w:t xml:space="preserve">sužinojus apie laimėjimą 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ar per tam tikrą trumpą laikotarpį, 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>loterijų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 xml:space="preserve"> laimėjim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 xml:space="preserve"> sumų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 atsiėmimui nustatomi ilgesni terminai, dėl ko bilieto pirkimo ir laimėjimo 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 xml:space="preserve">sumos 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>atsiėmimo metai gali nesutapti, pvz.</w:t>
            </w:r>
            <w:r w:rsidR="00B60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 momentinės loterijos laimėjim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ų sumos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 neretai 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>išmokam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 xml:space="preserve"> per visą loterijos organizavimo laikotarpį, kuris gali siekti ir </w:t>
            </w:r>
            <w:r w:rsidR="003B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="003B3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metus</w:t>
            </w:r>
            <w:proofErr w:type="spellEnd"/>
            <w:r w:rsidR="00630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CB3" w:rsidRPr="009E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CA3" w:rsidRPr="00B601BC">
              <w:rPr>
                <w:rFonts w:ascii="Times New Roman" w:hAnsi="Times New Roman" w:cs="Times New Roman"/>
                <w:sz w:val="24"/>
                <w:szCs w:val="24"/>
              </w:rPr>
              <w:t>Atsižvelgiant į tai, kas išdėstyta</w:t>
            </w:r>
            <w:r w:rsidR="007275FE" w:rsidRPr="006F4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3CB3" w:rsidRPr="006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E11">
              <w:rPr>
                <w:rFonts w:ascii="Times New Roman" w:hAnsi="Times New Roman" w:cs="Times New Roman"/>
                <w:sz w:val="24"/>
                <w:szCs w:val="24"/>
              </w:rPr>
              <w:t>nustačius apmokes</w:t>
            </w:r>
            <w:r w:rsidR="001861BA">
              <w:rPr>
                <w:rFonts w:ascii="Times New Roman" w:hAnsi="Times New Roman" w:cs="Times New Roman"/>
                <w:sz w:val="24"/>
                <w:szCs w:val="24"/>
              </w:rPr>
              <w:t>tinimo nuo grynųjų pajamų</w:t>
            </w:r>
            <w:r w:rsidR="002A451E">
              <w:rPr>
                <w:rFonts w:ascii="Times New Roman" w:hAnsi="Times New Roman" w:cs="Times New Roman"/>
                <w:sz w:val="24"/>
                <w:szCs w:val="24"/>
              </w:rPr>
              <w:t xml:space="preserve"> bazę</w:t>
            </w:r>
            <w:r w:rsidR="00186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3CB3" w:rsidRPr="00630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222" w:rsidRPr="00630E11">
              <w:rPr>
                <w:rFonts w:ascii="Times New Roman" w:hAnsi="Times New Roman" w:cs="Times New Roman"/>
                <w:sz w:val="24"/>
                <w:szCs w:val="24"/>
              </w:rPr>
              <w:t xml:space="preserve">nepagrįstai </w:t>
            </w:r>
            <w:r w:rsidR="003C7CA3"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="001861BA">
              <w:rPr>
                <w:rFonts w:ascii="Times New Roman" w:hAnsi="Times New Roman" w:cs="Times New Roman"/>
                <w:sz w:val="24"/>
                <w:szCs w:val="24"/>
              </w:rPr>
              <w:t>apsunkinamas mokesčio administravimas</w:t>
            </w:r>
            <w:r w:rsidR="003B3CB3" w:rsidRPr="00630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1C7A" w:rsidRDefault="00CC1C7A"/>
    <w:p w:rsidR="00D13804" w:rsidRDefault="002F2EC9" w:rsidP="002F2EC9">
      <w:pPr>
        <w:jc w:val="center"/>
      </w:pPr>
      <w:r>
        <w:lastRenderedPageBreak/>
        <w:t>______________________________________________</w:t>
      </w:r>
    </w:p>
    <w:sectPr w:rsidR="00D13804" w:rsidSect="00017C42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F1B"/>
    <w:multiLevelType w:val="hybridMultilevel"/>
    <w:tmpl w:val="28E09718"/>
    <w:lvl w:ilvl="0" w:tplc="F23EB9FC">
      <w:start w:val="1"/>
      <w:numFmt w:val="decimal"/>
      <w:lvlText w:val="%1."/>
      <w:lvlJc w:val="left"/>
      <w:pPr>
        <w:ind w:left="1110" w:hanging="39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434E6"/>
    <w:multiLevelType w:val="hybridMultilevel"/>
    <w:tmpl w:val="891676E8"/>
    <w:lvl w:ilvl="0" w:tplc="FDBEED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5542A"/>
    <w:multiLevelType w:val="hybridMultilevel"/>
    <w:tmpl w:val="7E32DF60"/>
    <w:lvl w:ilvl="0" w:tplc="DF7C24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7A6707"/>
    <w:multiLevelType w:val="hybridMultilevel"/>
    <w:tmpl w:val="891676E8"/>
    <w:lvl w:ilvl="0" w:tplc="FDBEED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C6"/>
    <w:rsid w:val="00000B64"/>
    <w:rsid w:val="00006172"/>
    <w:rsid w:val="00006D45"/>
    <w:rsid w:val="00017C42"/>
    <w:rsid w:val="0002482A"/>
    <w:rsid w:val="00027AE9"/>
    <w:rsid w:val="0003200E"/>
    <w:rsid w:val="00035379"/>
    <w:rsid w:val="00035389"/>
    <w:rsid w:val="00050F58"/>
    <w:rsid w:val="000553D3"/>
    <w:rsid w:val="00057CCA"/>
    <w:rsid w:val="0008772D"/>
    <w:rsid w:val="000A491F"/>
    <w:rsid w:val="000B0D6F"/>
    <w:rsid w:val="000B3107"/>
    <w:rsid w:val="000D0D94"/>
    <w:rsid w:val="000E1EB7"/>
    <w:rsid w:val="000E3D25"/>
    <w:rsid w:val="000E6D77"/>
    <w:rsid w:val="00104382"/>
    <w:rsid w:val="00115A3D"/>
    <w:rsid w:val="00121E02"/>
    <w:rsid w:val="00122CC4"/>
    <w:rsid w:val="00124E86"/>
    <w:rsid w:val="00132E07"/>
    <w:rsid w:val="00134B04"/>
    <w:rsid w:val="00145EC6"/>
    <w:rsid w:val="00157C3B"/>
    <w:rsid w:val="00165DAA"/>
    <w:rsid w:val="00167260"/>
    <w:rsid w:val="00167C90"/>
    <w:rsid w:val="001861BA"/>
    <w:rsid w:val="001A32F8"/>
    <w:rsid w:val="001A70D8"/>
    <w:rsid w:val="001B6405"/>
    <w:rsid w:val="001C084F"/>
    <w:rsid w:val="001D116C"/>
    <w:rsid w:val="001D2963"/>
    <w:rsid w:val="001D6579"/>
    <w:rsid w:val="00206551"/>
    <w:rsid w:val="0021369C"/>
    <w:rsid w:val="00223EFE"/>
    <w:rsid w:val="002376F6"/>
    <w:rsid w:val="00241A44"/>
    <w:rsid w:val="002466F0"/>
    <w:rsid w:val="00246DDC"/>
    <w:rsid w:val="00254943"/>
    <w:rsid w:val="0026243B"/>
    <w:rsid w:val="002700FB"/>
    <w:rsid w:val="00271FFF"/>
    <w:rsid w:val="00277698"/>
    <w:rsid w:val="0029180E"/>
    <w:rsid w:val="00294EF6"/>
    <w:rsid w:val="002A451E"/>
    <w:rsid w:val="002B5F18"/>
    <w:rsid w:val="002C5EF9"/>
    <w:rsid w:val="002F03D7"/>
    <w:rsid w:val="002F2CB5"/>
    <w:rsid w:val="002F2EC9"/>
    <w:rsid w:val="00310763"/>
    <w:rsid w:val="003268B5"/>
    <w:rsid w:val="00337730"/>
    <w:rsid w:val="00347811"/>
    <w:rsid w:val="00353D2D"/>
    <w:rsid w:val="0036068D"/>
    <w:rsid w:val="00372F15"/>
    <w:rsid w:val="003B06E0"/>
    <w:rsid w:val="003B3CB3"/>
    <w:rsid w:val="003C2DEE"/>
    <w:rsid w:val="003C556F"/>
    <w:rsid w:val="003C7CA3"/>
    <w:rsid w:val="003D49AC"/>
    <w:rsid w:val="003E1F7B"/>
    <w:rsid w:val="00411E34"/>
    <w:rsid w:val="00440A80"/>
    <w:rsid w:val="004425DF"/>
    <w:rsid w:val="00454876"/>
    <w:rsid w:val="00456382"/>
    <w:rsid w:val="00457581"/>
    <w:rsid w:val="004706FA"/>
    <w:rsid w:val="004C5170"/>
    <w:rsid w:val="004E5813"/>
    <w:rsid w:val="004F2109"/>
    <w:rsid w:val="005111D2"/>
    <w:rsid w:val="00513026"/>
    <w:rsid w:val="005252AB"/>
    <w:rsid w:val="00525989"/>
    <w:rsid w:val="00543547"/>
    <w:rsid w:val="00544B96"/>
    <w:rsid w:val="00550738"/>
    <w:rsid w:val="00574CC5"/>
    <w:rsid w:val="00580189"/>
    <w:rsid w:val="00587246"/>
    <w:rsid w:val="005A50F3"/>
    <w:rsid w:val="005B0A9C"/>
    <w:rsid w:val="005B0E3D"/>
    <w:rsid w:val="005D0914"/>
    <w:rsid w:val="005D3FA7"/>
    <w:rsid w:val="005E2B10"/>
    <w:rsid w:val="005E4FA7"/>
    <w:rsid w:val="005E633A"/>
    <w:rsid w:val="005E6BDF"/>
    <w:rsid w:val="005F58F3"/>
    <w:rsid w:val="00600B8B"/>
    <w:rsid w:val="00603C15"/>
    <w:rsid w:val="00611333"/>
    <w:rsid w:val="0061679B"/>
    <w:rsid w:val="00630E11"/>
    <w:rsid w:val="00641EA7"/>
    <w:rsid w:val="00644D9C"/>
    <w:rsid w:val="00660939"/>
    <w:rsid w:val="0066172F"/>
    <w:rsid w:val="00665A2C"/>
    <w:rsid w:val="006707E7"/>
    <w:rsid w:val="00685B54"/>
    <w:rsid w:val="006868C6"/>
    <w:rsid w:val="0069160C"/>
    <w:rsid w:val="006A1748"/>
    <w:rsid w:val="006C6C34"/>
    <w:rsid w:val="006C7BAB"/>
    <w:rsid w:val="006E537D"/>
    <w:rsid w:val="006F412A"/>
    <w:rsid w:val="006F7CE0"/>
    <w:rsid w:val="0072465D"/>
    <w:rsid w:val="007275FE"/>
    <w:rsid w:val="00727A37"/>
    <w:rsid w:val="00751A6F"/>
    <w:rsid w:val="007A4FFA"/>
    <w:rsid w:val="007A7A71"/>
    <w:rsid w:val="007B2041"/>
    <w:rsid w:val="007B59A0"/>
    <w:rsid w:val="007C57D0"/>
    <w:rsid w:val="007C6673"/>
    <w:rsid w:val="007D0C6C"/>
    <w:rsid w:val="007E31E8"/>
    <w:rsid w:val="007E7B0D"/>
    <w:rsid w:val="008106FD"/>
    <w:rsid w:val="00811987"/>
    <w:rsid w:val="00846BE7"/>
    <w:rsid w:val="00852BDB"/>
    <w:rsid w:val="0086561E"/>
    <w:rsid w:val="008742A0"/>
    <w:rsid w:val="00884948"/>
    <w:rsid w:val="00885D79"/>
    <w:rsid w:val="00890224"/>
    <w:rsid w:val="0089567F"/>
    <w:rsid w:val="008B70A1"/>
    <w:rsid w:val="008E22E2"/>
    <w:rsid w:val="008F0E0A"/>
    <w:rsid w:val="008F75C6"/>
    <w:rsid w:val="009166DD"/>
    <w:rsid w:val="00924560"/>
    <w:rsid w:val="00943305"/>
    <w:rsid w:val="00944697"/>
    <w:rsid w:val="0095325B"/>
    <w:rsid w:val="00961EE4"/>
    <w:rsid w:val="009739BA"/>
    <w:rsid w:val="00976D76"/>
    <w:rsid w:val="00980C30"/>
    <w:rsid w:val="0099413E"/>
    <w:rsid w:val="009B5502"/>
    <w:rsid w:val="009C4364"/>
    <w:rsid w:val="009C6860"/>
    <w:rsid w:val="009E4222"/>
    <w:rsid w:val="009F0318"/>
    <w:rsid w:val="009F5533"/>
    <w:rsid w:val="00A13DE1"/>
    <w:rsid w:val="00A36965"/>
    <w:rsid w:val="00A65CDB"/>
    <w:rsid w:val="00AB0E5F"/>
    <w:rsid w:val="00AC7C40"/>
    <w:rsid w:val="00AD0FE5"/>
    <w:rsid w:val="00AE40EF"/>
    <w:rsid w:val="00AE53C8"/>
    <w:rsid w:val="00B13DD1"/>
    <w:rsid w:val="00B44E51"/>
    <w:rsid w:val="00B601BC"/>
    <w:rsid w:val="00B6593E"/>
    <w:rsid w:val="00B67051"/>
    <w:rsid w:val="00B822FD"/>
    <w:rsid w:val="00B93E5B"/>
    <w:rsid w:val="00B95E63"/>
    <w:rsid w:val="00BA2C7F"/>
    <w:rsid w:val="00BA3322"/>
    <w:rsid w:val="00BA33A2"/>
    <w:rsid w:val="00BE5891"/>
    <w:rsid w:val="00C05575"/>
    <w:rsid w:val="00C0785E"/>
    <w:rsid w:val="00C14D41"/>
    <w:rsid w:val="00C14F43"/>
    <w:rsid w:val="00C369CE"/>
    <w:rsid w:val="00C37D9C"/>
    <w:rsid w:val="00C73004"/>
    <w:rsid w:val="00C804B6"/>
    <w:rsid w:val="00C87185"/>
    <w:rsid w:val="00C916D6"/>
    <w:rsid w:val="00CC1C7A"/>
    <w:rsid w:val="00CC223C"/>
    <w:rsid w:val="00CC5E7E"/>
    <w:rsid w:val="00CE2741"/>
    <w:rsid w:val="00D03031"/>
    <w:rsid w:val="00D13804"/>
    <w:rsid w:val="00D13C8A"/>
    <w:rsid w:val="00D163F5"/>
    <w:rsid w:val="00D33AD2"/>
    <w:rsid w:val="00D40FE8"/>
    <w:rsid w:val="00D4118C"/>
    <w:rsid w:val="00D44000"/>
    <w:rsid w:val="00D62052"/>
    <w:rsid w:val="00D800D8"/>
    <w:rsid w:val="00D80FEE"/>
    <w:rsid w:val="00D82695"/>
    <w:rsid w:val="00DA1B27"/>
    <w:rsid w:val="00DA5BBD"/>
    <w:rsid w:val="00DA6EF5"/>
    <w:rsid w:val="00DD57A6"/>
    <w:rsid w:val="00DD5DF4"/>
    <w:rsid w:val="00DF3CD0"/>
    <w:rsid w:val="00DF727D"/>
    <w:rsid w:val="00E04D9D"/>
    <w:rsid w:val="00E13401"/>
    <w:rsid w:val="00E21B74"/>
    <w:rsid w:val="00E256EC"/>
    <w:rsid w:val="00E31E36"/>
    <w:rsid w:val="00E32085"/>
    <w:rsid w:val="00E32486"/>
    <w:rsid w:val="00E378A2"/>
    <w:rsid w:val="00E422FE"/>
    <w:rsid w:val="00E46817"/>
    <w:rsid w:val="00E610A4"/>
    <w:rsid w:val="00E71930"/>
    <w:rsid w:val="00E800BF"/>
    <w:rsid w:val="00E80ABC"/>
    <w:rsid w:val="00EA6221"/>
    <w:rsid w:val="00EB684B"/>
    <w:rsid w:val="00ED4188"/>
    <w:rsid w:val="00EE1811"/>
    <w:rsid w:val="00EF077D"/>
    <w:rsid w:val="00F056FE"/>
    <w:rsid w:val="00F13AE8"/>
    <w:rsid w:val="00F23FA8"/>
    <w:rsid w:val="00F25F3C"/>
    <w:rsid w:val="00F32B8E"/>
    <w:rsid w:val="00F363F9"/>
    <w:rsid w:val="00F56BBD"/>
    <w:rsid w:val="00F6791B"/>
    <w:rsid w:val="00F815E0"/>
    <w:rsid w:val="00F90AC7"/>
    <w:rsid w:val="00F92012"/>
    <w:rsid w:val="00F92EA1"/>
    <w:rsid w:val="00F93FD5"/>
    <w:rsid w:val="00FA7AD8"/>
    <w:rsid w:val="00FB09DA"/>
    <w:rsid w:val="00FB1B11"/>
    <w:rsid w:val="00FB26D5"/>
    <w:rsid w:val="00FB36D9"/>
    <w:rsid w:val="00FC4F06"/>
    <w:rsid w:val="00FE2F79"/>
    <w:rsid w:val="00FE7B94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E5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758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Default">
    <w:name w:val="Default"/>
    <w:rsid w:val="0066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as">
    <w:name w:val="Tekstas"/>
    <w:basedOn w:val="prastasis"/>
    <w:rsid w:val="007A7A71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7BA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2C5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EF9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53C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53C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53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E53C8"/>
    <w:pPr>
      <w:spacing w:after="0" w:line="240" w:lineRule="auto"/>
    </w:pPr>
  </w:style>
  <w:style w:type="paragraph" w:customStyle="1" w:styleId="pasilymai2">
    <w:name w:val="pasilymai2"/>
    <w:basedOn w:val="prastasis"/>
    <w:rsid w:val="008E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stinklapis">
    <w:name w:val="Normal (Web)"/>
    <w:basedOn w:val="prastasis"/>
    <w:uiPriority w:val="99"/>
    <w:unhideWhenUsed/>
    <w:rsid w:val="00F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E5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758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Default">
    <w:name w:val="Default"/>
    <w:rsid w:val="0066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as">
    <w:name w:val="Tekstas"/>
    <w:basedOn w:val="prastasis"/>
    <w:rsid w:val="007A7A71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7BA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2C5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EF9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53C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53C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53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E53C8"/>
    <w:pPr>
      <w:spacing w:after="0" w:line="240" w:lineRule="auto"/>
    </w:pPr>
  </w:style>
  <w:style w:type="paragraph" w:customStyle="1" w:styleId="pasilymai2">
    <w:name w:val="pasilymai2"/>
    <w:basedOn w:val="prastasis"/>
    <w:rsid w:val="008E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stinklapis">
    <w:name w:val="Normal (Web)"/>
    <w:basedOn w:val="prastasis"/>
    <w:uiPriority w:val="99"/>
    <w:unhideWhenUsed/>
    <w:rsid w:val="00F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2877-E11F-4DA1-817D-A4F2A40A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Kliukienė</dc:creator>
  <cp:lastModifiedBy>Lina Kliukienė</cp:lastModifiedBy>
  <cp:revision>2</cp:revision>
  <cp:lastPrinted>2019-03-01T12:13:00Z</cp:lastPrinted>
  <dcterms:created xsi:type="dcterms:W3CDTF">2021-12-10T21:06:00Z</dcterms:created>
  <dcterms:modified xsi:type="dcterms:W3CDTF">2021-12-10T21:06:00Z</dcterms:modified>
</cp:coreProperties>
</file>