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drawingml.chart+xml" PartName="/word/charts/chart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13CB2" w14:textId="77777777" w:rsidR="000362A3" w:rsidRPr="00C56A24" w:rsidRDefault="000362A3" w:rsidP="000362A3">
      <w:pPr>
        <w:pStyle w:val="HTMLiankstoformatuotas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24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5E3260BD" w14:textId="77777777" w:rsidR="000362A3" w:rsidRPr="00C56A24" w:rsidRDefault="000362A3" w:rsidP="000362A3">
      <w:pPr>
        <w:pStyle w:val="HTMLiankstoformatuotas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24">
        <w:rPr>
          <w:rFonts w:ascii="Times New Roman" w:hAnsi="Times New Roman" w:cs="Times New Roman"/>
          <w:b/>
          <w:sz w:val="24"/>
          <w:szCs w:val="24"/>
        </w:rPr>
        <w:t>VALSTYBĖS POLITIKŲ, TEISĖJŲ, VALSTYBĖS</w:t>
      </w:r>
    </w:p>
    <w:p w14:paraId="4DB617F6" w14:textId="50E5D29D" w:rsidR="000362A3" w:rsidRPr="00C56A24" w:rsidRDefault="000362A3" w:rsidP="000362A3">
      <w:pPr>
        <w:pStyle w:val="HTMLiankstoformatuotas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24">
        <w:rPr>
          <w:rFonts w:ascii="Times New Roman" w:hAnsi="Times New Roman" w:cs="Times New Roman"/>
          <w:b/>
          <w:sz w:val="24"/>
          <w:szCs w:val="24"/>
        </w:rPr>
        <w:t>PAREIGŪNŲ,</w:t>
      </w:r>
      <w:r w:rsidR="00C8486B" w:rsidRPr="00C56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A24">
        <w:rPr>
          <w:rFonts w:ascii="Times New Roman" w:hAnsi="Times New Roman" w:cs="Times New Roman"/>
          <w:b/>
          <w:sz w:val="24"/>
          <w:szCs w:val="24"/>
        </w:rPr>
        <w:t>VALSTYBĖS TARNAUTOJŲ</w:t>
      </w:r>
      <w:r w:rsidR="00C87726">
        <w:rPr>
          <w:rFonts w:ascii="Times New Roman" w:hAnsi="Times New Roman" w:cs="Times New Roman"/>
          <w:b/>
          <w:sz w:val="24"/>
          <w:szCs w:val="24"/>
        </w:rPr>
        <w:t>,</w:t>
      </w:r>
      <w:r w:rsidRPr="00C56A24">
        <w:rPr>
          <w:rFonts w:ascii="Times New Roman" w:hAnsi="Times New Roman" w:cs="Times New Roman"/>
          <w:b/>
          <w:sz w:val="24"/>
          <w:szCs w:val="24"/>
        </w:rPr>
        <w:t xml:space="preserve">  VALSTYBĖS IR SAVIVALDYBIŲ BIUDŽETINIŲ ĮSTAIGŲ DARBUOTOJŲ PAREIGINĖS ALGOS (ATLYGINIMO) BAZINIO DYDŽIO,</w:t>
      </w:r>
      <w:r w:rsidR="0066042C" w:rsidRPr="00C56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A24">
        <w:rPr>
          <w:rFonts w:ascii="Times New Roman" w:hAnsi="Times New Roman" w:cs="Times New Roman"/>
          <w:b/>
          <w:sz w:val="24"/>
          <w:szCs w:val="24"/>
        </w:rPr>
        <w:t>TAIKOMO 20</w:t>
      </w:r>
      <w:r w:rsidR="00A4367C" w:rsidRPr="00C56A24">
        <w:rPr>
          <w:rFonts w:ascii="Times New Roman" w:hAnsi="Times New Roman" w:cs="Times New Roman"/>
          <w:b/>
          <w:sz w:val="24"/>
          <w:szCs w:val="24"/>
        </w:rPr>
        <w:t>2</w:t>
      </w:r>
      <w:r w:rsidR="00F7318B" w:rsidRPr="00C56A24">
        <w:rPr>
          <w:rFonts w:ascii="Times New Roman" w:hAnsi="Times New Roman" w:cs="Times New Roman"/>
          <w:b/>
          <w:sz w:val="24"/>
          <w:szCs w:val="24"/>
        </w:rPr>
        <w:t>1</w:t>
      </w:r>
      <w:r w:rsidRPr="00C56A24">
        <w:rPr>
          <w:rFonts w:ascii="Times New Roman" w:hAnsi="Times New Roman" w:cs="Times New Roman"/>
          <w:b/>
          <w:sz w:val="24"/>
          <w:szCs w:val="24"/>
        </w:rPr>
        <w:t xml:space="preserve"> METAIS,</w:t>
      </w:r>
    </w:p>
    <w:p w14:paraId="5DC22862" w14:textId="77777777" w:rsidR="000362A3" w:rsidRPr="00C56A24" w:rsidRDefault="000362A3" w:rsidP="000362A3">
      <w:pPr>
        <w:pStyle w:val="HTMLiankstoformatuotas"/>
        <w:tabs>
          <w:tab w:val="clear" w:pos="9160"/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24">
        <w:rPr>
          <w:rFonts w:ascii="Times New Roman" w:hAnsi="Times New Roman" w:cs="Times New Roman"/>
          <w:b/>
          <w:sz w:val="24"/>
          <w:szCs w:val="24"/>
        </w:rPr>
        <w:t>ĮSTATYMO PROJEKTO</w:t>
      </w:r>
    </w:p>
    <w:p w14:paraId="7C9426A4" w14:textId="77777777" w:rsidR="00A10BFD" w:rsidRPr="00C56A24" w:rsidRDefault="00A10BFD" w:rsidP="00E321B3">
      <w:pPr>
        <w:jc w:val="center"/>
        <w:rPr>
          <w:b/>
          <w:bCs/>
          <w:sz w:val="24"/>
          <w:szCs w:val="24"/>
          <w:lang w:val="lt-LT"/>
        </w:rPr>
      </w:pPr>
      <w:r w:rsidRPr="00C56A24">
        <w:rPr>
          <w:b/>
          <w:bCs/>
          <w:sz w:val="24"/>
          <w:szCs w:val="24"/>
          <w:lang w:val="lt-LT"/>
        </w:rPr>
        <w:t>AIŠKINAMASIS RAŠTAS</w:t>
      </w:r>
    </w:p>
    <w:p w14:paraId="5A9B691F" w14:textId="77777777" w:rsidR="00A10BFD" w:rsidRPr="00C56A24" w:rsidRDefault="00A10BFD" w:rsidP="00A24E93">
      <w:pPr>
        <w:ind w:firstLine="709"/>
        <w:jc w:val="center"/>
        <w:rPr>
          <w:b/>
          <w:bCs/>
          <w:sz w:val="24"/>
          <w:szCs w:val="24"/>
          <w:lang w:val="lt-LT"/>
        </w:rPr>
      </w:pPr>
    </w:p>
    <w:p w14:paraId="171CBABB" w14:textId="77777777" w:rsidR="00AA1D3F" w:rsidRPr="00C56A24" w:rsidRDefault="008A5117" w:rsidP="002774E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b/>
          <w:bCs/>
          <w:sz w:val="24"/>
          <w:szCs w:val="24"/>
          <w:lang w:val="lt-LT"/>
        </w:rPr>
        <w:t>1. Įstatymo p</w:t>
      </w:r>
      <w:r w:rsidR="00970C52" w:rsidRPr="00C56A24">
        <w:rPr>
          <w:b/>
          <w:bCs/>
          <w:sz w:val="24"/>
          <w:szCs w:val="24"/>
          <w:lang w:val="lt-LT"/>
        </w:rPr>
        <w:t xml:space="preserve">rojekto rengimą paskatinusios priežastys, </w:t>
      </w:r>
      <w:r w:rsidRPr="00C56A24">
        <w:rPr>
          <w:b/>
          <w:bCs/>
          <w:sz w:val="24"/>
          <w:szCs w:val="24"/>
          <w:lang w:val="lt-LT"/>
        </w:rPr>
        <w:t>parengto projekto tikslai ir uždaviniai</w:t>
      </w:r>
    </w:p>
    <w:p w14:paraId="44346410" w14:textId="3CEA5BFF" w:rsidR="00E15F40" w:rsidRDefault="002D1BD3" w:rsidP="002774E1">
      <w:pPr>
        <w:ind w:firstLine="851"/>
        <w:jc w:val="both"/>
        <w:rPr>
          <w:color w:val="000000"/>
          <w:spacing w:val="2"/>
          <w:lang w:val="lt-LT"/>
        </w:rPr>
      </w:pPr>
      <w:r w:rsidRPr="00C56A24">
        <w:rPr>
          <w:sz w:val="24"/>
          <w:szCs w:val="24"/>
          <w:lang w:val="lt-LT"/>
        </w:rPr>
        <w:t>Lietuvos Respublikos valstybės politikų, teisėjų, valstybės pareigūnų, valstybės tarnautojų</w:t>
      </w:r>
      <w:r w:rsidR="00C87726">
        <w:rPr>
          <w:sz w:val="24"/>
          <w:szCs w:val="24"/>
          <w:lang w:val="lt-LT"/>
        </w:rPr>
        <w:t>,</w:t>
      </w:r>
      <w:r w:rsidRPr="00C56A24">
        <w:rPr>
          <w:sz w:val="24"/>
          <w:szCs w:val="24"/>
          <w:lang w:val="lt-LT"/>
        </w:rPr>
        <w:t xml:space="preserve"> valstybės ir savivaldybių biudžetinių įstaigų darbuotojų pareiginės algos (atlyginimo) bazinio dydžio, taikomo 20</w:t>
      </w:r>
      <w:r w:rsidR="00A4367C" w:rsidRPr="00C56A24">
        <w:rPr>
          <w:sz w:val="24"/>
          <w:szCs w:val="24"/>
          <w:lang w:val="lt-LT"/>
        </w:rPr>
        <w:t>2</w:t>
      </w:r>
      <w:r w:rsidR="00F7318B" w:rsidRPr="00C56A24">
        <w:rPr>
          <w:sz w:val="24"/>
          <w:szCs w:val="24"/>
          <w:lang w:val="lt-LT"/>
        </w:rPr>
        <w:t>1</w:t>
      </w:r>
      <w:r w:rsidRPr="00C56A24">
        <w:rPr>
          <w:sz w:val="24"/>
          <w:szCs w:val="24"/>
          <w:lang w:val="lt-LT"/>
        </w:rPr>
        <w:t xml:space="preserve"> metais, įstatymo</w:t>
      </w:r>
      <w:r w:rsidR="001246A8" w:rsidRPr="00C56A24">
        <w:rPr>
          <w:sz w:val="24"/>
          <w:szCs w:val="24"/>
          <w:lang w:val="lt-LT"/>
        </w:rPr>
        <w:t xml:space="preserve"> </w:t>
      </w:r>
      <w:r w:rsidR="00BF528B" w:rsidRPr="00C56A24">
        <w:rPr>
          <w:sz w:val="24"/>
          <w:szCs w:val="24"/>
          <w:lang w:val="lt-LT"/>
        </w:rPr>
        <w:t>projektas (toliau – į</w:t>
      </w:r>
      <w:r w:rsidR="00CE3FED" w:rsidRPr="00C56A24">
        <w:rPr>
          <w:sz w:val="24"/>
          <w:szCs w:val="24"/>
          <w:lang w:val="lt-LT"/>
        </w:rPr>
        <w:t>statymo projektas</w:t>
      </w:r>
      <w:r w:rsidR="0036656B" w:rsidRPr="00C56A24">
        <w:rPr>
          <w:sz w:val="24"/>
          <w:szCs w:val="24"/>
          <w:lang w:val="lt-LT"/>
        </w:rPr>
        <w:t xml:space="preserve">) </w:t>
      </w:r>
      <w:r w:rsidR="00CE3FED" w:rsidRPr="00C56A24">
        <w:rPr>
          <w:sz w:val="24"/>
          <w:szCs w:val="24"/>
          <w:lang w:val="lt-LT"/>
        </w:rPr>
        <w:t>parengtas</w:t>
      </w:r>
      <w:r w:rsidR="0036656B" w:rsidRPr="00C56A24">
        <w:rPr>
          <w:sz w:val="24"/>
          <w:szCs w:val="24"/>
          <w:lang w:val="lt-LT"/>
        </w:rPr>
        <w:t xml:space="preserve"> </w:t>
      </w:r>
      <w:r w:rsidR="00193249" w:rsidRPr="00C56A24">
        <w:rPr>
          <w:sz w:val="24"/>
          <w:szCs w:val="24"/>
          <w:lang w:val="lt-LT"/>
        </w:rPr>
        <w:t>įgyvendinant Lietuvos Respublikos valstybės tarnybos įstatymo</w:t>
      </w:r>
      <w:r w:rsidR="00A70F6A" w:rsidRPr="00C56A24">
        <w:rPr>
          <w:sz w:val="24"/>
          <w:szCs w:val="24"/>
          <w:lang w:val="lt-LT"/>
        </w:rPr>
        <w:t xml:space="preserve"> 29</w:t>
      </w:r>
      <w:r w:rsidR="00193249" w:rsidRPr="00C56A24">
        <w:rPr>
          <w:sz w:val="24"/>
          <w:szCs w:val="24"/>
          <w:lang w:val="lt-LT"/>
        </w:rPr>
        <w:t xml:space="preserve"> straipsnio</w:t>
      </w:r>
      <w:r w:rsidR="00AA3A21" w:rsidRPr="00C56A24">
        <w:rPr>
          <w:color w:val="000000"/>
          <w:sz w:val="24"/>
          <w:szCs w:val="24"/>
          <w:lang w:val="lt-LT"/>
        </w:rPr>
        <w:t xml:space="preserve"> </w:t>
      </w:r>
      <w:r w:rsidR="00A70F6A" w:rsidRPr="00C56A24">
        <w:rPr>
          <w:color w:val="000000"/>
          <w:sz w:val="24"/>
          <w:szCs w:val="24"/>
          <w:lang w:val="lt-LT"/>
        </w:rPr>
        <w:t xml:space="preserve">2 </w:t>
      </w:r>
      <w:r w:rsidR="00AA3A21" w:rsidRPr="00C56A24">
        <w:rPr>
          <w:color w:val="000000"/>
          <w:sz w:val="24"/>
          <w:szCs w:val="24"/>
          <w:lang w:val="lt-LT"/>
        </w:rPr>
        <w:t>dal</w:t>
      </w:r>
      <w:r w:rsidR="00EE6CC4" w:rsidRPr="00C56A24">
        <w:rPr>
          <w:color w:val="000000"/>
          <w:sz w:val="24"/>
          <w:szCs w:val="24"/>
          <w:lang w:val="lt-LT"/>
        </w:rPr>
        <w:t>ies</w:t>
      </w:r>
      <w:r w:rsidR="00193249" w:rsidRPr="00C56A24">
        <w:rPr>
          <w:sz w:val="24"/>
          <w:szCs w:val="24"/>
          <w:lang w:val="lt-LT"/>
        </w:rPr>
        <w:t>, Lietuvos Respublikos valstybės politikų ir valstybės pareigūnų darbo apmokėjimo įstatymo 4 straipsnio</w:t>
      </w:r>
      <w:r w:rsidR="007D2614" w:rsidRPr="00C56A24">
        <w:rPr>
          <w:sz w:val="24"/>
          <w:szCs w:val="24"/>
          <w:lang w:val="lt-LT"/>
        </w:rPr>
        <w:t xml:space="preserve"> 1</w:t>
      </w:r>
      <w:r w:rsidR="00FD6589" w:rsidRPr="00C56A24">
        <w:rPr>
          <w:sz w:val="24"/>
          <w:szCs w:val="24"/>
          <w:lang w:val="lt-LT"/>
        </w:rPr>
        <w:t> </w:t>
      </w:r>
      <w:r w:rsidR="00607E23" w:rsidRPr="00C56A24">
        <w:rPr>
          <w:sz w:val="24"/>
          <w:szCs w:val="24"/>
          <w:lang w:val="lt-LT"/>
        </w:rPr>
        <w:t>dalies</w:t>
      </w:r>
      <w:r w:rsidR="005C0191" w:rsidRPr="00C56A24">
        <w:rPr>
          <w:sz w:val="24"/>
          <w:szCs w:val="24"/>
          <w:lang w:val="lt-LT"/>
        </w:rPr>
        <w:t>,</w:t>
      </w:r>
      <w:r w:rsidR="00607E23" w:rsidRPr="00C56A24">
        <w:rPr>
          <w:sz w:val="24"/>
          <w:szCs w:val="24"/>
          <w:lang w:val="lt-LT"/>
        </w:rPr>
        <w:t xml:space="preserve"> </w:t>
      </w:r>
      <w:r w:rsidR="00193249" w:rsidRPr="00C56A24">
        <w:rPr>
          <w:sz w:val="24"/>
          <w:szCs w:val="24"/>
          <w:lang w:val="lt-LT"/>
        </w:rPr>
        <w:t>Lietuvos Respublikos teisėjų atlyginimų įstatymo 3 straipsnio</w:t>
      </w:r>
      <w:r w:rsidR="00607E23" w:rsidRPr="00C56A24">
        <w:rPr>
          <w:sz w:val="24"/>
          <w:szCs w:val="24"/>
          <w:lang w:val="lt-LT"/>
        </w:rPr>
        <w:t xml:space="preserve">, </w:t>
      </w:r>
      <w:r w:rsidRPr="00C56A24">
        <w:rPr>
          <w:sz w:val="24"/>
          <w:szCs w:val="24"/>
          <w:lang w:val="lt-LT"/>
        </w:rPr>
        <w:t>Lietuvos Respublikos valstybės ir savivaldybių įstaigų darbuotojų</w:t>
      </w:r>
      <w:r w:rsidR="0022529C" w:rsidRPr="00C56A24">
        <w:rPr>
          <w:sz w:val="24"/>
          <w:szCs w:val="24"/>
          <w:lang w:val="lt-LT"/>
        </w:rPr>
        <w:t xml:space="preserve"> darbo apmokėjimo </w:t>
      </w:r>
      <w:r w:rsidR="00DD5CB2" w:rsidRPr="00C56A24">
        <w:rPr>
          <w:sz w:val="24"/>
          <w:szCs w:val="24"/>
          <w:lang w:val="lt-LT"/>
        </w:rPr>
        <w:t xml:space="preserve">ir komisijų narių </w:t>
      </w:r>
      <w:r w:rsidR="0022529C" w:rsidRPr="00C56A24">
        <w:rPr>
          <w:sz w:val="24"/>
          <w:szCs w:val="24"/>
          <w:lang w:val="lt-LT"/>
        </w:rPr>
        <w:t>atlygio už darbą</w:t>
      </w:r>
      <w:r w:rsidRPr="00C56A24">
        <w:rPr>
          <w:sz w:val="24"/>
          <w:szCs w:val="24"/>
          <w:lang w:val="lt-LT"/>
        </w:rPr>
        <w:t xml:space="preserve"> </w:t>
      </w:r>
      <w:r w:rsidR="00605B64" w:rsidRPr="00C56A24">
        <w:rPr>
          <w:sz w:val="24"/>
          <w:szCs w:val="24"/>
          <w:lang w:val="lt-LT"/>
        </w:rPr>
        <w:t xml:space="preserve">įstatymo 6 straipsnio </w:t>
      </w:r>
      <w:r w:rsidR="006239EC" w:rsidRPr="00C56A24">
        <w:rPr>
          <w:sz w:val="24"/>
          <w:szCs w:val="24"/>
          <w:lang w:val="lt-LT"/>
        </w:rPr>
        <w:t xml:space="preserve">nuostatas, </w:t>
      </w:r>
      <w:r w:rsidR="00E2098D" w:rsidRPr="00C56A24">
        <w:rPr>
          <w:sz w:val="24"/>
          <w:szCs w:val="24"/>
          <w:lang w:val="lt-LT"/>
        </w:rPr>
        <w:t xml:space="preserve">pagal kurias, </w:t>
      </w:r>
      <w:r w:rsidR="004F761F" w:rsidRPr="00C56A24">
        <w:rPr>
          <w:sz w:val="24"/>
          <w:szCs w:val="24"/>
          <w:lang w:val="lt-LT"/>
        </w:rPr>
        <w:t>atsižvelg</w:t>
      </w:r>
      <w:r w:rsidR="002C47C0">
        <w:rPr>
          <w:sz w:val="24"/>
          <w:szCs w:val="24"/>
          <w:lang w:val="lt-LT"/>
        </w:rPr>
        <w:t>damas</w:t>
      </w:r>
      <w:r w:rsidR="004F761F" w:rsidRPr="00C56A24">
        <w:rPr>
          <w:sz w:val="24"/>
          <w:szCs w:val="24"/>
          <w:lang w:val="lt-LT"/>
        </w:rPr>
        <w:t xml:space="preserve"> į praėjusių metų vidutinę metinę infliaciją (skaičiuojant nacionalinį vartotojų kainų indeksą)</w:t>
      </w:r>
      <w:r w:rsidR="00643359" w:rsidRPr="00C56A24">
        <w:rPr>
          <w:sz w:val="24"/>
          <w:szCs w:val="24"/>
          <w:lang w:val="lt-LT"/>
        </w:rPr>
        <w:t>,</w:t>
      </w:r>
      <w:r w:rsidR="00643359" w:rsidRPr="00C56A24">
        <w:rPr>
          <w:color w:val="000000"/>
          <w:sz w:val="24"/>
          <w:szCs w:val="24"/>
          <w:lang w:val="lt-LT"/>
        </w:rPr>
        <w:t xml:space="preserve"> minimaliosios mėnesinės algos dydį</w:t>
      </w:r>
      <w:r w:rsidR="00643359" w:rsidRPr="00C56A24">
        <w:rPr>
          <w:sz w:val="24"/>
          <w:szCs w:val="24"/>
          <w:lang w:val="lt-LT"/>
        </w:rPr>
        <w:t xml:space="preserve"> </w:t>
      </w:r>
      <w:r w:rsidR="004F761F" w:rsidRPr="00C56A24">
        <w:rPr>
          <w:sz w:val="24"/>
          <w:szCs w:val="24"/>
          <w:lang w:val="lt-LT"/>
        </w:rPr>
        <w:t xml:space="preserve">ir kitų vidutinio darbo užmokesčio viešajame sektoriuje dydžiui bei kitimui poveikį turinčių veiksnių įtaką, </w:t>
      </w:r>
      <w:r w:rsidR="00E15F40" w:rsidRPr="005F6985">
        <w:rPr>
          <w:sz w:val="24"/>
          <w:szCs w:val="24"/>
          <w:lang w:val="lt-LT"/>
        </w:rPr>
        <w:t>n</w:t>
      </w:r>
      <w:r w:rsidR="00E15F40" w:rsidRPr="00C56A24">
        <w:rPr>
          <w:sz w:val="24"/>
          <w:szCs w:val="24"/>
          <w:lang w:val="lt-LT"/>
        </w:rPr>
        <w:t xml:space="preserve">acionalinėje kolektyvinėje sutartyje </w:t>
      </w:r>
      <w:r w:rsidR="00BC440D" w:rsidRPr="00C56A24">
        <w:rPr>
          <w:sz w:val="24"/>
          <w:szCs w:val="24"/>
          <w:lang w:val="lt-LT"/>
        </w:rPr>
        <w:t xml:space="preserve">sulygtą </w:t>
      </w:r>
      <w:r w:rsidR="00E15F40" w:rsidRPr="00C56A24">
        <w:rPr>
          <w:sz w:val="24"/>
          <w:szCs w:val="24"/>
          <w:lang w:val="lt-LT"/>
        </w:rPr>
        <w:t xml:space="preserve">pareiginės algos bazinį dydį </w:t>
      </w:r>
      <w:r w:rsidR="00020508" w:rsidRPr="00C56A24">
        <w:rPr>
          <w:sz w:val="24"/>
          <w:szCs w:val="24"/>
          <w:lang w:val="lt-LT"/>
        </w:rPr>
        <w:t xml:space="preserve">(toliau – bazinis dydis) </w:t>
      </w:r>
      <w:r w:rsidR="00E15F40" w:rsidRPr="00C56A24">
        <w:rPr>
          <w:sz w:val="24"/>
          <w:szCs w:val="24"/>
          <w:lang w:val="lt-LT"/>
        </w:rPr>
        <w:t xml:space="preserve">tvirtina </w:t>
      </w:r>
      <w:r w:rsidR="005C5F90" w:rsidRPr="00C56A24">
        <w:rPr>
          <w:sz w:val="24"/>
          <w:szCs w:val="24"/>
          <w:lang w:val="lt-LT"/>
        </w:rPr>
        <w:t xml:space="preserve">Lietuvos Respublikos </w:t>
      </w:r>
      <w:r w:rsidR="00E15F40" w:rsidRPr="00C56A24">
        <w:rPr>
          <w:sz w:val="24"/>
          <w:szCs w:val="24"/>
          <w:lang w:val="lt-LT"/>
        </w:rPr>
        <w:t xml:space="preserve">Seimas iki </w:t>
      </w:r>
      <w:r w:rsidR="005C5F90" w:rsidRPr="00C56A24">
        <w:rPr>
          <w:sz w:val="24"/>
          <w:szCs w:val="24"/>
          <w:lang w:val="lt-LT"/>
        </w:rPr>
        <w:t xml:space="preserve">Lietuvos Respublikos </w:t>
      </w:r>
      <w:r w:rsidR="00E15F40" w:rsidRPr="00C56A24">
        <w:rPr>
          <w:sz w:val="24"/>
          <w:szCs w:val="24"/>
          <w:lang w:val="lt-LT"/>
        </w:rPr>
        <w:t>Seimo pavasario sesijos pabaigos</w:t>
      </w:r>
      <w:r w:rsidR="002C47C0">
        <w:rPr>
          <w:sz w:val="24"/>
          <w:szCs w:val="24"/>
          <w:lang w:val="lt-LT"/>
        </w:rPr>
        <w:t>,</w:t>
      </w:r>
      <w:r w:rsidR="005C5F90" w:rsidRPr="00C56A24">
        <w:rPr>
          <w:sz w:val="24"/>
          <w:szCs w:val="24"/>
          <w:lang w:val="lt-LT"/>
        </w:rPr>
        <w:t xml:space="preserve"> </w:t>
      </w:r>
      <w:r w:rsidR="002C47C0">
        <w:rPr>
          <w:sz w:val="24"/>
          <w:szCs w:val="24"/>
          <w:lang w:val="lt-LT"/>
        </w:rPr>
        <w:t>ir</w:t>
      </w:r>
      <w:r w:rsidR="002C47C0" w:rsidRPr="00C56A24">
        <w:rPr>
          <w:sz w:val="24"/>
          <w:szCs w:val="24"/>
          <w:lang w:val="lt-LT"/>
        </w:rPr>
        <w:t xml:space="preserve"> </w:t>
      </w:r>
      <w:r w:rsidR="005C5F90" w:rsidRPr="00C56A24">
        <w:rPr>
          <w:sz w:val="24"/>
          <w:szCs w:val="24"/>
          <w:lang w:val="lt-LT"/>
        </w:rPr>
        <w:t xml:space="preserve">atsižvelgiant į </w:t>
      </w:r>
      <w:r w:rsidR="00FF2C2D" w:rsidRPr="00C56A24">
        <w:rPr>
          <w:sz w:val="24"/>
          <w:szCs w:val="24"/>
          <w:lang w:val="lt-LT"/>
        </w:rPr>
        <w:t>202</w:t>
      </w:r>
      <w:r w:rsidR="0022529C" w:rsidRPr="00C56A24">
        <w:rPr>
          <w:sz w:val="24"/>
          <w:szCs w:val="24"/>
          <w:lang w:val="lt-LT"/>
        </w:rPr>
        <w:t>1</w:t>
      </w:r>
      <w:r w:rsidR="00FF2C2D" w:rsidRPr="00C56A24">
        <w:rPr>
          <w:sz w:val="24"/>
          <w:szCs w:val="24"/>
          <w:lang w:val="lt-LT"/>
        </w:rPr>
        <w:t xml:space="preserve"> m. </w:t>
      </w:r>
      <w:r w:rsidR="005F2624" w:rsidRPr="005F6985">
        <w:rPr>
          <w:sz w:val="24"/>
          <w:szCs w:val="24"/>
          <w:lang w:val="lt-LT"/>
        </w:rPr>
        <w:t>n</w:t>
      </w:r>
      <w:r w:rsidR="005C5F90" w:rsidRPr="00C56A24">
        <w:rPr>
          <w:sz w:val="24"/>
          <w:szCs w:val="24"/>
          <w:lang w:val="lt-LT"/>
        </w:rPr>
        <w:t>acionalin</w:t>
      </w:r>
      <w:r w:rsidR="00E25F33" w:rsidRPr="00C56A24">
        <w:rPr>
          <w:sz w:val="24"/>
          <w:szCs w:val="24"/>
          <w:lang w:val="lt-LT"/>
        </w:rPr>
        <w:t>ės</w:t>
      </w:r>
      <w:r w:rsidR="005C5F90" w:rsidRPr="00C56A24">
        <w:rPr>
          <w:sz w:val="24"/>
          <w:szCs w:val="24"/>
          <w:lang w:val="lt-LT"/>
        </w:rPr>
        <w:t xml:space="preserve"> kolektyvin</w:t>
      </w:r>
      <w:r w:rsidR="00E25F33" w:rsidRPr="00C56A24">
        <w:rPr>
          <w:sz w:val="24"/>
          <w:szCs w:val="24"/>
          <w:lang w:val="lt-LT"/>
        </w:rPr>
        <w:t>ės</w:t>
      </w:r>
      <w:r w:rsidR="005C5F90" w:rsidRPr="00C56A24">
        <w:rPr>
          <w:sz w:val="24"/>
          <w:szCs w:val="24"/>
          <w:lang w:val="lt-LT"/>
        </w:rPr>
        <w:t xml:space="preserve"> sutart</w:t>
      </w:r>
      <w:r w:rsidR="00E25F33" w:rsidRPr="00C56A24">
        <w:rPr>
          <w:sz w:val="24"/>
          <w:szCs w:val="24"/>
          <w:lang w:val="lt-LT"/>
        </w:rPr>
        <w:t>ies projektą</w:t>
      </w:r>
      <w:r w:rsidR="00FF2C2D" w:rsidRPr="00C56A24">
        <w:rPr>
          <w:sz w:val="24"/>
          <w:szCs w:val="24"/>
          <w:lang w:val="lt-LT"/>
        </w:rPr>
        <w:t>,</w:t>
      </w:r>
      <w:r w:rsidR="005F6451" w:rsidRPr="00C56A24">
        <w:rPr>
          <w:sz w:val="24"/>
          <w:szCs w:val="24"/>
          <w:lang w:val="lt-LT"/>
        </w:rPr>
        <w:t xml:space="preserve"> </w:t>
      </w:r>
      <w:r w:rsidR="00FF2C2D" w:rsidRPr="00C56A24">
        <w:rPr>
          <w:sz w:val="24"/>
          <w:szCs w:val="24"/>
          <w:lang w:val="lt-LT"/>
        </w:rPr>
        <w:t>kuri</w:t>
      </w:r>
      <w:r w:rsidR="00E25F33" w:rsidRPr="00C56A24">
        <w:rPr>
          <w:sz w:val="24"/>
          <w:szCs w:val="24"/>
          <w:lang w:val="lt-LT"/>
        </w:rPr>
        <w:t>ame</w:t>
      </w:r>
      <w:r w:rsidR="00FF2C2D" w:rsidRPr="00C56A24">
        <w:rPr>
          <w:sz w:val="24"/>
          <w:szCs w:val="24"/>
          <w:lang w:val="lt-LT"/>
        </w:rPr>
        <w:t xml:space="preserve"> </w:t>
      </w:r>
      <w:r w:rsidR="005C5F90" w:rsidRPr="00C56A24">
        <w:rPr>
          <w:sz w:val="24"/>
          <w:szCs w:val="24"/>
          <w:lang w:val="lt-LT"/>
        </w:rPr>
        <w:t>nu</w:t>
      </w:r>
      <w:r w:rsidR="00E25F33" w:rsidRPr="00C56A24">
        <w:rPr>
          <w:sz w:val="24"/>
          <w:szCs w:val="24"/>
          <w:lang w:val="lt-LT"/>
        </w:rPr>
        <w:t>matytas</w:t>
      </w:r>
      <w:r w:rsidR="005C5F90" w:rsidRPr="00C56A24">
        <w:rPr>
          <w:sz w:val="24"/>
          <w:szCs w:val="24"/>
          <w:lang w:val="lt-LT"/>
        </w:rPr>
        <w:t xml:space="preserve"> </w:t>
      </w:r>
      <w:r w:rsidR="00FF2C2D" w:rsidRPr="00C56A24">
        <w:rPr>
          <w:sz w:val="24"/>
          <w:szCs w:val="24"/>
          <w:lang w:val="lt-LT"/>
        </w:rPr>
        <w:t>bazinis dydis 202</w:t>
      </w:r>
      <w:r w:rsidR="0022529C" w:rsidRPr="00C56A24">
        <w:rPr>
          <w:sz w:val="24"/>
          <w:szCs w:val="24"/>
          <w:lang w:val="lt-LT"/>
        </w:rPr>
        <w:t>1</w:t>
      </w:r>
      <w:r w:rsidR="00FF2C2D" w:rsidRPr="00C56A24">
        <w:rPr>
          <w:sz w:val="24"/>
          <w:szCs w:val="24"/>
          <w:lang w:val="lt-LT"/>
        </w:rPr>
        <w:t xml:space="preserve"> metais – 17</w:t>
      </w:r>
      <w:r w:rsidR="0022529C" w:rsidRPr="00C56A24">
        <w:rPr>
          <w:sz w:val="24"/>
          <w:szCs w:val="24"/>
          <w:lang w:val="lt-LT"/>
        </w:rPr>
        <w:t>7</w:t>
      </w:r>
      <w:r w:rsidR="00E25F33" w:rsidRPr="00C56A24">
        <w:rPr>
          <w:sz w:val="24"/>
          <w:szCs w:val="24"/>
          <w:lang w:val="lt-LT"/>
        </w:rPr>
        <w:t> </w:t>
      </w:r>
      <w:r w:rsidR="00FF2C2D" w:rsidRPr="00C56A24">
        <w:rPr>
          <w:sz w:val="24"/>
          <w:szCs w:val="24"/>
          <w:lang w:val="lt-LT"/>
        </w:rPr>
        <w:t xml:space="preserve">(šimtas septyniasdešimt </w:t>
      </w:r>
      <w:r w:rsidR="0022529C" w:rsidRPr="00C56A24">
        <w:rPr>
          <w:sz w:val="24"/>
          <w:szCs w:val="24"/>
          <w:lang w:val="lt-LT"/>
        </w:rPr>
        <w:t>septyni</w:t>
      </w:r>
      <w:r w:rsidR="00FF2C2D" w:rsidRPr="00C56A24">
        <w:rPr>
          <w:sz w:val="24"/>
          <w:szCs w:val="24"/>
          <w:lang w:val="lt-LT"/>
        </w:rPr>
        <w:t>) eurai.</w:t>
      </w:r>
      <w:r w:rsidR="00643359" w:rsidRPr="00C56A24">
        <w:rPr>
          <w:color w:val="000000"/>
          <w:spacing w:val="2"/>
          <w:lang w:val="lt-LT"/>
        </w:rPr>
        <w:t xml:space="preserve"> </w:t>
      </w:r>
    </w:p>
    <w:p w14:paraId="369B5EB9" w14:textId="19B8B4A2" w:rsidR="00F66140" w:rsidRPr="00C56A24" w:rsidRDefault="00F66140" w:rsidP="002774E1">
      <w:pPr>
        <w:ind w:firstLine="851"/>
        <w:jc w:val="both"/>
        <w:rPr>
          <w:sz w:val="24"/>
          <w:szCs w:val="24"/>
          <w:lang w:val="lt-LT"/>
        </w:rPr>
      </w:pPr>
      <w:r w:rsidRPr="00480120">
        <w:rPr>
          <w:sz w:val="24"/>
          <w:szCs w:val="24"/>
          <w:lang w:val="lt-LT"/>
        </w:rPr>
        <w:t>Įstatym</w:t>
      </w:r>
      <w:r>
        <w:rPr>
          <w:sz w:val="24"/>
          <w:szCs w:val="24"/>
          <w:lang w:val="lt-LT"/>
        </w:rPr>
        <w:t>o</w:t>
      </w:r>
      <w:r w:rsidRPr="00480120">
        <w:rPr>
          <w:sz w:val="24"/>
          <w:szCs w:val="24"/>
          <w:lang w:val="lt-LT"/>
        </w:rPr>
        <w:t xml:space="preserve"> projekta</w:t>
      </w:r>
      <w:r>
        <w:rPr>
          <w:sz w:val="24"/>
          <w:szCs w:val="24"/>
          <w:lang w:val="lt-LT"/>
        </w:rPr>
        <w:t>s</w:t>
      </w:r>
      <w:r w:rsidRPr="00480120">
        <w:rPr>
          <w:sz w:val="24"/>
          <w:szCs w:val="24"/>
          <w:lang w:val="lt-LT"/>
        </w:rPr>
        <w:t xml:space="preserve"> yra Lietuvos Respublikos 2021 metų valstybės biudžeto ir savivaldybių biudžetų finansinių rodiklių patvirtinimo įstatymo projekto lydim</w:t>
      </w:r>
      <w:r>
        <w:rPr>
          <w:sz w:val="24"/>
          <w:szCs w:val="24"/>
          <w:lang w:val="lt-LT"/>
        </w:rPr>
        <w:t>asis</w:t>
      </w:r>
      <w:r w:rsidRPr="00480120">
        <w:rPr>
          <w:sz w:val="24"/>
          <w:szCs w:val="24"/>
          <w:lang w:val="lt-LT"/>
        </w:rPr>
        <w:t xml:space="preserve"> teisės akta</w:t>
      </w:r>
      <w:r>
        <w:rPr>
          <w:sz w:val="24"/>
          <w:szCs w:val="24"/>
          <w:lang w:val="lt-LT"/>
        </w:rPr>
        <w:t>s</w:t>
      </w:r>
      <w:r w:rsidR="00CE1DD3">
        <w:rPr>
          <w:sz w:val="24"/>
          <w:szCs w:val="24"/>
          <w:lang w:val="lt-LT"/>
        </w:rPr>
        <w:t>, todėl</w:t>
      </w:r>
      <w:r w:rsidRPr="00480120">
        <w:rPr>
          <w:sz w:val="24"/>
          <w:szCs w:val="24"/>
          <w:lang w:val="lt-LT"/>
        </w:rPr>
        <w:t xml:space="preserve"> Lietuvos Respublikos Seime numatoma j</w:t>
      </w:r>
      <w:r>
        <w:rPr>
          <w:sz w:val="24"/>
          <w:szCs w:val="24"/>
          <w:lang w:val="lt-LT"/>
        </w:rPr>
        <w:t>į</w:t>
      </w:r>
      <w:r w:rsidRPr="00480120">
        <w:rPr>
          <w:sz w:val="24"/>
          <w:szCs w:val="24"/>
          <w:lang w:val="lt-LT"/>
        </w:rPr>
        <w:t xml:space="preserve"> svarstyti kartu su šiuo įstatymo projektu.</w:t>
      </w:r>
    </w:p>
    <w:p w14:paraId="28EF8245" w14:textId="4C2E802B" w:rsidR="002E45AA" w:rsidRPr="00C56A24" w:rsidRDefault="00287EC3" w:rsidP="002774E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bCs/>
          <w:sz w:val="24"/>
          <w:szCs w:val="24"/>
          <w:lang w:val="lt-LT"/>
        </w:rPr>
        <w:t>Įstatymo</w:t>
      </w:r>
      <w:r w:rsidR="0036656B" w:rsidRPr="00C56A24">
        <w:rPr>
          <w:bCs/>
          <w:sz w:val="24"/>
          <w:szCs w:val="24"/>
          <w:lang w:val="lt-LT"/>
        </w:rPr>
        <w:t xml:space="preserve"> </w:t>
      </w:r>
      <w:r w:rsidR="0036656B" w:rsidRPr="00C56A24">
        <w:rPr>
          <w:sz w:val="24"/>
          <w:szCs w:val="24"/>
          <w:lang w:val="lt-LT"/>
        </w:rPr>
        <w:t>p</w:t>
      </w:r>
      <w:r w:rsidRPr="00C56A24">
        <w:rPr>
          <w:sz w:val="24"/>
          <w:szCs w:val="24"/>
          <w:lang w:val="lt-LT"/>
        </w:rPr>
        <w:t>rojekto</w:t>
      </w:r>
      <w:r w:rsidR="00A10BFD" w:rsidRPr="00C56A24">
        <w:rPr>
          <w:sz w:val="24"/>
          <w:szCs w:val="24"/>
          <w:lang w:val="lt-LT"/>
        </w:rPr>
        <w:t xml:space="preserve"> tikslas</w:t>
      </w:r>
      <w:r w:rsidR="00BA0309" w:rsidRPr="00C56A24">
        <w:rPr>
          <w:sz w:val="24"/>
          <w:szCs w:val="24"/>
          <w:lang w:val="lt-LT"/>
        </w:rPr>
        <w:t xml:space="preserve"> </w:t>
      </w:r>
      <w:r w:rsidR="00A10BFD" w:rsidRPr="00C56A24">
        <w:rPr>
          <w:sz w:val="24"/>
          <w:szCs w:val="24"/>
          <w:lang w:val="lt-LT"/>
        </w:rPr>
        <w:t>–</w:t>
      </w:r>
      <w:r w:rsidRPr="00C56A24">
        <w:rPr>
          <w:sz w:val="24"/>
          <w:szCs w:val="24"/>
          <w:lang w:val="lt-LT"/>
        </w:rPr>
        <w:t xml:space="preserve"> </w:t>
      </w:r>
      <w:r w:rsidR="007D2614" w:rsidRPr="00C56A24">
        <w:rPr>
          <w:sz w:val="24"/>
          <w:szCs w:val="24"/>
          <w:lang w:val="lt-LT"/>
        </w:rPr>
        <w:t xml:space="preserve">patvirtinti </w:t>
      </w:r>
      <w:r w:rsidR="00DD5CB2" w:rsidRPr="00C56A24">
        <w:rPr>
          <w:sz w:val="24"/>
          <w:szCs w:val="24"/>
          <w:lang w:val="lt-LT"/>
        </w:rPr>
        <w:t>202</w:t>
      </w:r>
      <w:r w:rsidR="00F7318B" w:rsidRPr="00C56A24">
        <w:rPr>
          <w:sz w:val="24"/>
          <w:szCs w:val="24"/>
          <w:lang w:val="lt-LT"/>
        </w:rPr>
        <w:t>1</w:t>
      </w:r>
      <w:r w:rsidR="00DD5CB2" w:rsidRPr="00C56A24">
        <w:rPr>
          <w:sz w:val="24"/>
          <w:szCs w:val="24"/>
          <w:lang w:val="lt-LT"/>
        </w:rPr>
        <w:t xml:space="preserve"> </w:t>
      </w:r>
      <w:r w:rsidR="005A5678" w:rsidRPr="00C56A24">
        <w:rPr>
          <w:sz w:val="24"/>
          <w:szCs w:val="24"/>
          <w:lang w:val="lt-LT"/>
        </w:rPr>
        <w:t>m</w:t>
      </w:r>
      <w:r w:rsidR="00C35D58" w:rsidRPr="00C56A24">
        <w:rPr>
          <w:sz w:val="24"/>
          <w:szCs w:val="24"/>
          <w:lang w:val="lt-LT"/>
        </w:rPr>
        <w:t>et</w:t>
      </w:r>
      <w:r w:rsidR="00BC440D">
        <w:rPr>
          <w:sz w:val="24"/>
          <w:szCs w:val="24"/>
          <w:lang w:val="lt-LT"/>
        </w:rPr>
        <w:t>ams</w:t>
      </w:r>
      <w:r w:rsidR="005A5678" w:rsidRPr="00C56A24">
        <w:rPr>
          <w:sz w:val="24"/>
          <w:szCs w:val="24"/>
          <w:lang w:val="lt-LT"/>
        </w:rPr>
        <w:t xml:space="preserve"> </w:t>
      </w:r>
      <w:r w:rsidR="00BC440D" w:rsidRPr="00C56A24">
        <w:rPr>
          <w:sz w:val="24"/>
          <w:szCs w:val="24"/>
          <w:lang w:val="lt-LT"/>
        </w:rPr>
        <w:t>177</w:t>
      </w:r>
      <w:r w:rsidR="00BC440D">
        <w:rPr>
          <w:sz w:val="24"/>
          <w:szCs w:val="24"/>
          <w:lang w:val="lt-LT"/>
        </w:rPr>
        <w:t xml:space="preserve"> (šimto</w:t>
      </w:r>
      <w:r w:rsidR="00BC440D" w:rsidRPr="00C56A24">
        <w:rPr>
          <w:sz w:val="24"/>
          <w:szCs w:val="24"/>
          <w:lang w:val="lt-LT"/>
        </w:rPr>
        <w:t xml:space="preserve"> septyniasdešimt </w:t>
      </w:r>
      <w:r w:rsidR="00BC440D">
        <w:rPr>
          <w:sz w:val="24"/>
          <w:szCs w:val="24"/>
          <w:lang w:val="lt-LT"/>
        </w:rPr>
        <w:t>septynių) eurų</w:t>
      </w:r>
      <w:r w:rsidR="00BC440D" w:rsidRPr="00C56A24">
        <w:rPr>
          <w:sz w:val="24"/>
          <w:szCs w:val="24"/>
          <w:lang w:val="lt-LT"/>
        </w:rPr>
        <w:t xml:space="preserve"> </w:t>
      </w:r>
      <w:r w:rsidR="005A5678" w:rsidRPr="00C56A24">
        <w:rPr>
          <w:sz w:val="24"/>
          <w:szCs w:val="24"/>
          <w:lang w:val="lt-LT"/>
        </w:rPr>
        <w:t xml:space="preserve">bazinį dydį, kuris </w:t>
      </w:r>
      <w:r w:rsidR="000B7071" w:rsidRPr="00C56A24">
        <w:rPr>
          <w:sz w:val="24"/>
          <w:szCs w:val="24"/>
          <w:lang w:val="lt-LT"/>
        </w:rPr>
        <w:t xml:space="preserve">bus </w:t>
      </w:r>
      <w:r w:rsidR="005A5678" w:rsidRPr="00C56A24">
        <w:rPr>
          <w:sz w:val="24"/>
          <w:szCs w:val="24"/>
          <w:lang w:val="lt-LT"/>
        </w:rPr>
        <w:t xml:space="preserve">taikomas apskaičiuojant valstybės politikų, </w:t>
      </w:r>
      <w:r w:rsidR="000B7071" w:rsidRPr="00C56A24">
        <w:rPr>
          <w:sz w:val="24"/>
          <w:szCs w:val="24"/>
          <w:lang w:val="lt-LT"/>
        </w:rPr>
        <w:t>bendrosios kompetencijos ir specializuotų teismų teisėjų, valstybės pareigūnų,</w:t>
      </w:r>
      <w:r w:rsidR="005A5678" w:rsidRPr="00C56A24">
        <w:rPr>
          <w:sz w:val="24"/>
          <w:szCs w:val="24"/>
          <w:lang w:val="lt-LT"/>
        </w:rPr>
        <w:t xml:space="preserve"> valstybės tarnautojų</w:t>
      </w:r>
      <w:r w:rsidR="00C87726">
        <w:rPr>
          <w:sz w:val="24"/>
          <w:szCs w:val="24"/>
          <w:lang w:val="lt-LT"/>
        </w:rPr>
        <w:t>,</w:t>
      </w:r>
      <w:r w:rsidR="003E5EAD" w:rsidRPr="00C56A24">
        <w:rPr>
          <w:sz w:val="24"/>
          <w:szCs w:val="24"/>
          <w:lang w:val="lt-LT"/>
        </w:rPr>
        <w:t xml:space="preserve"> valstybės ir savivaldybių biudžetinių įstaigų</w:t>
      </w:r>
      <w:r w:rsidR="007A47C3" w:rsidRPr="00C56A24">
        <w:rPr>
          <w:sz w:val="24"/>
          <w:szCs w:val="24"/>
          <w:lang w:val="lt-LT"/>
        </w:rPr>
        <w:t xml:space="preserve">, finansuojamų iš valstybės biudžeto, savivaldybių biudžetų, Valstybinio socialinio draudimo fondo biudžeto ir kitų valstybės įsteigtų pinigų fondų lėšų (toliau </w:t>
      </w:r>
      <w:r w:rsidR="009B79AF" w:rsidRPr="00C56A24">
        <w:rPr>
          <w:sz w:val="24"/>
          <w:szCs w:val="24"/>
          <w:lang w:val="lt-LT"/>
        </w:rPr>
        <w:t>–</w:t>
      </w:r>
      <w:r w:rsidR="00EB31BE" w:rsidRPr="00C56A24">
        <w:rPr>
          <w:sz w:val="24"/>
          <w:szCs w:val="24"/>
          <w:lang w:val="lt-LT"/>
        </w:rPr>
        <w:t xml:space="preserve"> </w:t>
      </w:r>
      <w:r w:rsidR="007A47C3" w:rsidRPr="00C56A24">
        <w:rPr>
          <w:sz w:val="24"/>
          <w:szCs w:val="24"/>
          <w:lang w:val="lt-LT"/>
        </w:rPr>
        <w:t>valstybės ir savivaldybių biudžetinės įstaigos),</w:t>
      </w:r>
      <w:r w:rsidR="003E5EAD" w:rsidRPr="00C56A24">
        <w:rPr>
          <w:sz w:val="24"/>
          <w:szCs w:val="24"/>
          <w:lang w:val="lt-LT"/>
        </w:rPr>
        <w:t xml:space="preserve"> darbuotojų </w:t>
      </w:r>
      <w:r w:rsidR="005A5678" w:rsidRPr="00C56A24">
        <w:rPr>
          <w:sz w:val="24"/>
          <w:szCs w:val="24"/>
          <w:lang w:val="lt-LT"/>
        </w:rPr>
        <w:t>pareigines algas</w:t>
      </w:r>
      <w:r w:rsidR="000B7071" w:rsidRPr="00C56A24">
        <w:rPr>
          <w:sz w:val="24"/>
          <w:szCs w:val="24"/>
          <w:lang w:val="lt-LT"/>
        </w:rPr>
        <w:t>, Lietuvos Respublikos Konstitucinio Teismo teisėjų</w:t>
      </w:r>
      <w:r w:rsidR="00182E7A" w:rsidRPr="00C56A24">
        <w:rPr>
          <w:sz w:val="24"/>
          <w:szCs w:val="24"/>
          <w:lang w:val="lt-LT"/>
        </w:rPr>
        <w:t>,</w:t>
      </w:r>
      <w:r w:rsidR="002F5BE0" w:rsidRPr="00C56A24">
        <w:rPr>
          <w:sz w:val="24"/>
          <w:szCs w:val="24"/>
          <w:lang w:val="lt-LT"/>
        </w:rPr>
        <w:t xml:space="preserve"> </w:t>
      </w:r>
      <w:r w:rsidR="000B7071" w:rsidRPr="00C56A24">
        <w:rPr>
          <w:sz w:val="24"/>
          <w:szCs w:val="24"/>
          <w:lang w:val="lt-LT"/>
        </w:rPr>
        <w:t xml:space="preserve">karių </w:t>
      </w:r>
      <w:r w:rsidR="00182E7A" w:rsidRPr="00C56A24">
        <w:rPr>
          <w:sz w:val="24"/>
          <w:szCs w:val="24"/>
          <w:lang w:val="lt-LT"/>
        </w:rPr>
        <w:t>darbo užmokestį</w:t>
      </w:r>
      <w:r w:rsidR="006E571A" w:rsidRPr="00C56A24">
        <w:rPr>
          <w:sz w:val="24"/>
          <w:szCs w:val="24"/>
          <w:lang w:val="lt-LT"/>
        </w:rPr>
        <w:t>,</w:t>
      </w:r>
      <w:r w:rsidR="006E571A" w:rsidRPr="00C56A24">
        <w:rPr>
          <w:color w:val="000000"/>
          <w:lang w:val="lt-LT"/>
        </w:rPr>
        <w:t xml:space="preserve"> </w:t>
      </w:r>
      <w:r w:rsidR="006E571A" w:rsidRPr="00C56A24">
        <w:rPr>
          <w:color w:val="000000"/>
          <w:sz w:val="24"/>
          <w:szCs w:val="24"/>
          <w:lang w:val="lt-LT"/>
        </w:rPr>
        <w:t>įstatymų pagrindais sudarytų komisijų narių atlygį</w:t>
      </w:r>
      <w:r w:rsidR="00182E7A" w:rsidRPr="00C56A24">
        <w:rPr>
          <w:sz w:val="24"/>
          <w:szCs w:val="24"/>
          <w:lang w:val="lt-LT"/>
        </w:rPr>
        <w:t xml:space="preserve"> ir </w:t>
      </w:r>
      <w:r w:rsidR="00EE6CC4" w:rsidRPr="00C56A24">
        <w:rPr>
          <w:sz w:val="24"/>
          <w:szCs w:val="24"/>
          <w:lang w:val="lt-LT"/>
        </w:rPr>
        <w:t>kitas teisės aktuose</w:t>
      </w:r>
      <w:r w:rsidR="005A5678" w:rsidRPr="00C56A24">
        <w:rPr>
          <w:sz w:val="24"/>
          <w:szCs w:val="24"/>
          <w:lang w:val="lt-LT"/>
        </w:rPr>
        <w:t xml:space="preserve"> nustatytas išmokas</w:t>
      </w:r>
      <w:r w:rsidR="006407E8" w:rsidRPr="00C56A24">
        <w:rPr>
          <w:sz w:val="24"/>
          <w:szCs w:val="24"/>
          <w:lang w:val="lt-LT"/>
        </w:rPr>
        <w:t xml:space="preserve"> ar atlygius</w:t>
      </w:r>
      <w:r w:rsidR="00CF147C" w:rsidRPr="00C56A24">
        <w:rPr>
          <w:sz w:val="24"/>
          <w:szCs w:val="24"/>
          <w:lang w:val="lt-LT"/>
        </w:rPr>
        <w:t>.</w:t>
      </w:r>
    </w:p>
    <w:p w14:paraId="07655D59" w14:textId="77777777" w:rsidR="00E604BF" w:rsidRPr="00C56A24" w:rsidRDefault="00E604BF" w:rsidP="002774E1">
      <w:pPr>
        <w:ind w:firstLine="851"/>
        <w:jc w:val="both"/>
        <w:rPr>
          <w:sz w:val="24"/>
          <w:szCs w:val="24"/>
          <w:lang w:val="lt-LT"/>
        </w:rPr>
      </w:pPr>
    </w:p>
    <w:p w14:paraId="56BACF5C" w14:textId="77777777" w:rsidR="008A5117" w:rsidRPr="00C56A24" w:rsidRDefault="008A5117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C56A24">
        <w:rPr>
          <w:b/>
          <w:sz w:val="24"/>
          <w:szCs w:val="24"/>
          <w:lang w:val="lt-LT"/>
        </w:rPr>
        <w:t>2. Įstatymo projekto iniciatoriai (institucija, asmenys ar piliečių įgalioti atstovai) ir rengėja</w:t>
      </w:r>
      <w:r w:rsidR="00E0253E" w:rsidRPr="00C56A24">
        <w:rPr>
          <w:b/>
          <w:sz w:val="24"/>
          <w:szCs w:val="24"/>
          <w:lang w:val="lt-LT"/>
        </w:rPr>
        <w:t>i</w:t>
      </w:r>
    </w:p>
    <w:p w14:paraId="57B1E6D2" w14:textId="3430DD8A" w:rsidR="00273560" w:rsidRPr="00C56A24" w:rsidRDefault="008A5117" w:rsidP="002774E1">
      <w:pPr>
        <w:ind w:firstLine="851"/>
        <w:jc w:val="both"/>
        <w:rPr>
          <w:strike/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>Įstatymo projekt</w:t>
      </w:r>
      <w:r w:rsidR="00EE533A" w:rsidRPr="00C56A24">
        <w:rPr>
          <w:sz w:val="24"/>
          <w:szCs w:val="24"/>
          <w:lang w:val="lt-LT"/>
        </w:rPr>
        <w:t xml:space="preserve">ą </w:t>
      </w:r>
      <w:r w:rsidR="00221424" w:rsidRPr="00C56A24">
        <w:rPr>
          <w:sz w:val="24"/>
          <w:szCs w:val="24"/>
          <w:lang w:val="lt-LT"/>
        </w:rPr>
        <w:t>pa</w:t>
      </w:r>
      <w:r w:rsidR="00EE533A" w:rsidRPr="00C56A24">
        <w:rPr>
          <w:sz w:val="24"/>
          <w:szCs w:val="24"/>
          <w:lang w:val="lt-LT"/>
        </w:rPr>
        <w:t xml:space="preserve">rengė </w:t>
      </w:r>
      <w:r w:rsidR="009C338F" w:rsidRPr="00C56A24">
        <w:rPr>
          <w:sz w:val="24"/>
          <w:szCs w:val="24"/>
          <w:lang w:val="lt-LT"/>
        </w:rPr>
        <w:t>Lietuvos Respublikos s</w:t>
      </w:r>
      <w:r w:rsidR="00AA1D3F" w:rsidRPr="00C56A24">
        <w:rPr>
          <w:sz w:val="24"/>
          <w:szCs w:val="24"/>
          <w:lang w:val="lt-LT"/>
        </w:rPr>
        <w:t>ocialinės apsaugos ir darbo ministerij</w:t>
      </w:r>
      <w:r w:rsidR="005C5F90" w:rsidRPr="00C56A24">
        <w:rPr>
          <w:sz w:val="24"/>
          <w:szCs w:val="24"/>
          <w:lang w:val="lt-LT"/>
        </w:rPr>
        <w:t xml:space="preserve">os Darbo teisės skyriaus </w:t>
      </w:r>
      <w:r w:rsidR="00F7318B" w:rsidRPr="00C56A24">
        <w:rPr>
          <w:sz w:val="24"/>
          <w:szCs w:val="24"/>
          <w:lang w:val="lt-LT"/>
        </w:rPr>
        <w:t>patarėja Agnė Nakčerienė</w:t>
      </w:r>
      <w:r w:rsidR="005C5F90" w:rsidRPr="00C56A24">
        <w:rPr>
          <w:sz w:val="24"/>
          <w:szCs w:val="24"/>
          <w:lang w:val="lt-LT"/>
        </w:rPr>
        <w:t xml:space="preserve"> (tel. 8 </w:t>
      </w:r>
      <w:r w:rsidR="005A5BC7" w:rsidRPr="00C56A24">
        <w:rPr>
          <w:sz w:val="24"/>
          <w:szCs w:val="24"/>
          <w:lang w:val="lt-LT"/>
        </w:rPr>
        <w:t>656 38</w:t>
      </w:r>
      <w:r w:rsidR="00A61639">
        <w:rPr>
          <w:sz w:val="24"/>
          <w:szCs w:val="24"/>
          <w:lang w:val="lt-LT"/>
        </w:rPr>
        <w:t> </w:t>
      </w:r>
      <w:r w:rsidR="005A5BC7" w:rsidRPr="00C56A24">
        <w:rPr>
          <w:sz w:val="24"/>
          <w:szCs w:val="24"/>
          <w:lang w:val="lt-LT"/>
        </w:rPr>
        <w:t>257</w:t>
      </w:r>
      <w:r w:rsidR="005C5F90" w:rsidRPr="00C56A24">
        <w:rPr>
          <w:sz w:val="24"/>
          <w:szCs w:val="24"/>
          <w:lang w:val="lt-LT"/>
        </w:rPr>
        <w:t>, el.</w:t>
      </w:r>
      <w:r w:rsidR="00311EE0" w:rsidRPr="00C56A24">
        <w:rPr>
          <w:sz w:val="24"/>
          <w:szCs w:val="24"/>
          <w:lang w:val="lt-LT"/>
        </w:rPr>
        <w:t> </w:t>
      </w:r>
      <w:r w:rsidR="005C5F90" w:rsidRPr="00C56A24">
        <w:rPr>
          <w:sz w:val="24"/>
          <w:szCs w:val="24"/>
          <w:lang w:val="lt-LT"/>
        </w:rPr>
        <w:t>p.</w:t>
      </w:r>
      <w:r w:rsidR="00311EE0" w:rsidRPr="00C56A24">
        <w:rPr>
          <w:sz w:val="24"/>
          <w:szCs w:val="24"/>
          <w:lang w:val="lt-LT"/>
        </w:rPr>
        <w:t> </w:t>
      </w:r>
      <w:proofErr w:type="spellStart"/>
      <w:r w:rsidR="00F7318B" w:rsidRPr="00C56A24">
        <w:rPr>
          <w:sz w:val="24"/>
          <w:szCs w:val="24"/>
          <w:lang w:val="lt-LT"/>
        </w:rPr>
        <w:t>agne</w:t>
      </w:r>
      <w:r w:rsidR="005C5F90" w:rsidRPr="00C56A24">
        <w:rPr>
          <w:sz w:val="24"/>
          <w:szCs w:val="24"/>
          <w:lang w:val="lt-LT"/>
        </w:rPr>
        <w:t>.</w:t>
      </w:r>
      <w:r w:rsidR="00F7318B" w:rsidRPr="00C56A24">
        <w:rPr>
          <w:sz w:val="24"/>
          <w:szCs w:val="24"/>
          <w:lang w:val="lt-LT"/>
        </w:rPr>
        <w:t>nakceriene</w:t>
      </w:r>
      <w:r w:rsidR="005C5F90" w:rsidRPr="00C56A24">
        <w:rPr>
          <w:sz w:val="24"/>
          <w:szCs w:val="24"/>
          <w:lang w:val="lt-LT"/>
        </w:rPr>
        <w:t>@socmin.lt</w:t>
      </w:r>
      <w:proofErr w:type="spellEnd"/>
      <w:r w:rsidR="005C5F90" w:rsidRPr="00C56A24">
        <w:rPr>
          <w:sz w:val="24"/>
          <w:szCs w:val="24"/>
          <w:lang w:val="lt-LT"/>
        </w:rPr>
        <w:t>)</w:t>
      </w:r>
      <w:r w:rsidR="000F0F15" w:rsidRPr="00C56A24">
        <w:rPr>
          <w:sz w:val="24"/>
          <w:szCs w:val="24"/>
          <w:lang w:val="lt-LT"/>
        </w:rPr>
        <w:t>.</w:t>
      </w:r>
    </w:p>
    <w:p w14:paraId="5EF0DD6E" w14:textId="77777777" w:rsidR="00EA4F48" w:rsidRPr="00C56A24" w:rsidRDefault="00EA4F48" w:rsidP="002774E1">
      <w:pPr>
        <w:pStyle w:val="Pagrindinistekstas"/>
        <w:ind w:firstLine="851"/>
        <w:rPr>
          <w:b/>
          <w:bCs/>
        </w:rPr>
      </w:pPr>
    </w:p>
    <w:p w14:paraId="596BA851" w14:textId="77777777" w:rsidR="00A10BFD" w:rsidRPr="00C56A24" w:rsidRDefault="00B366D5" w:rsidP="002774E1">
      <w:pPr>
        <w:pStyle w:val="Pagrindinistekstas"/>
        <w:ind w:firstLine="851"/>
      </w:pPr>
      <w:r w:rsidRPr="00C56A24">
        <w:rPr>
          <w:b/>
          <w:bCs/>
        </w:rPr>
        <w:t>3</w:t>
      </w:r>
      <w:r w:rsidR="00201BEF" w:rsidRPr="00C56A24">
        <w:rPr>
          <w:b/>
          <w:bCs/>
        </w:rPr>
        <w:t xml:space="preserve">. </w:t>
      </w:r>
      <w:r w:rsidR="008605F7" w:rsidRPr="00C56A24">
        <w:rPr>
          <w:b/>
          <w:bCs/>
        </w:rPr>
        <w:t>Kaip</w:t>
      </w:r>
      <w:r w:rsidR="00201BEF" w:rsidRPr="00C56A24">
        <w:rPr>
          <w:b/>
          <w:bCs/>
        </w:rPr>
        <w:t xml:space="preserve"> šiuo metu</w:t>
      </w:r>
      <w:r w:rsidR="008605F7" w:rsidRPr="00C56A24">
        <w:rPr>
          <w:b/>
          <w:bCs/>
        </w:rPr>
        <w:t xml:space="preserve"> reg</w:t>
      </w:r>
      <w:r w:rsidR="00AD54C5" w:rsidRPr="00C56A24">
        <w:rPr>
          <w:b/>
          <w:bCs/>
        </w:rPr>
        <w:t>uliuojami</w:t>
      </w:r>
      <w:r w:rsidR="008605F7" w:rsidRPr="00C56A24">
        <w:rPr>
          <w:b/>
          <w:bCs/>
        </w:rPr>
        <w:t xml:space="preserve"> įstatymo projekte aptarti </w:t>
      </w:r>
      <w:r w:rsidR="002E45AA" w:rsidRPr="00C56A24">
        <w:rPr>
          <w:b/>
          <w:bCs/>
        </w:rPr>
        <w:t xml:space="preserve">teisiniai </w:t>
      </w:r>
      <w:r w:rsidR="000F0F15" w:rsidRPr="00C56A24">
        <w:rPr>
          <w:b/>
          <w:bCs/>
        </w:rPr>
        <w:t>santykiai</w:t>
      </w:r>
    </w:p>
    <w:p w14:paraId="1224FFB9" w14:textId="2BCBF379" w:rsidR="00A10BFD" w:rsidRPr="00C56A24" w:rsidRDefault="00C54559" w:rsidP="002774E1">
      <w:pPr>
        <w:pStyle w:val="Pagrindinistekstas"/>
        <w:ind w:firstLine="851"/>
      </w:pPr>
      <w:r w:rsidRPr="00C56A24">
        <w:t>20</w:t>
      </w:r>
      <w:r w:rsidR="001F7EAB" w:rsidRPr="00C56A24">
        <w:t>20</w:t>
      </w:r>
      <w:r w:rsidRPr="00C56A24">
        <w:t xml:space="preserve"> m</w:t>
      </w:r>
      <w:r w:rsidR="00C35D58" w:rsidRPr="00C56A24">
        <w:t>etų</w:t>
      </w:r>
      <w:r w:rsidR="002B698C" w:rsidRPr="00C56A24" w:rsidDel="002B698C">
        <w:t xml:space="preserve"> </w:t>
      </w:r>
      <w:r w:rsidRPr="00C56A24">
        <w:t xml:space="preserve">bazinis dydis nustatytas </w:t>
      </w:r>
      <w:r w:rsidR="0022394C" w:rsidRPr="00C56A24">
        <w:t>Lietuvos Respublikos valstybės politikų, teisėjų, valstybės pareigūnų</w:t>
      </w:r>
      <w:r w:rsidR="006111F2" w:rsidRPr="00C56A24">
        <w:t>,</w:t>
      </w:r>
      <w:r w:rsidR="0022394C" w:rsidRPr="00C56A24">
        <w:t xml:space="preserve"> valstybės tarnautojų</w:t>
      </w:r>
      <w:r w:rsidR="006111F2" w:rsidRPr="00C56A24">
        <w:t xml:space="preserve">, </w:t>
      </w:r>
      <w:r w:rsidR="00077235" w:rsidRPr="00C56A24">
        <w:t>valstybės ir savivaldybių biudžetinių įstaigų darbuotojų</w:t>
      </w:r>
      <w:r w:rsidR="0022394C" w:rsidRPr="00C56A24">
        <w:t xml:space="preserve"> pareiginės algos (atlygini</w:t>
      </w:r>
      <w:r w:rsidR="00974010" w:rsidRPr="00C56A24">
        <w:t>mo) bazinio dydžio, taikomo 20</w:t>
      </w:r>
      <w:r w:rsidR="001F7EAB" w:rsidRPr="00C56A24">
        <w:t>20</w:t>
      </w:r>
      <w:r w:rsidR="00974010" w:rsidRPr="00C56A24">
        <w:t xml:space="preserve"> m</w:t>
      </w:r>
      <w:r w:rsidR="007A6123" w:rsidRPr="00C56A24">
        <w:t>etais</w:t>
      </w:r>
      <w:r w:rsidR="00DA6F46" w:rsidRPr="00C56A24">
        <w:t xml:space="preserve">, įstatymu ir yra </w:t>
      </w:r>
      <w:r w:rsidR="00EA5C6C" w:rsidRPr="00C56A24">
        <w:t>17</w:t>
      </w:r>
      <w:r w:rsidR="001F7EAB" w:rsidRPr="00C56A24">
        <w:t>6</w:t>
      </w:r>
      <w:r w:rsidR="00974010" w:rsidRPr="00C56A24">
        <w:t xml:space="preserve"> eur</w:t>
      </w:r>
      <w:r w:rsidR="001F7EAB" w:rsidRPr="00C56A24">
        <w:t>ai</w:t>
      </w:r>
      <w:r w:rsidR="0022394C" w:rsidRPr="00C56A24">
        <w:t>.</w:t>
      </w:r>
    </w:p>
    <w:p w14:paraId="30731CF2" w14:textId="3EF08472" w:rsidR="005C5F90" w:rsidRPr="00C56A24" w:rsidRDefault="005C5F90" w:rsidP="002774E1">
      <w:pPr>
        <w:pStyle w:val="Pagrindinistekstas"/>
        <w:ind w:firstLine="851"/>
      </w:pPr>
      <w:r w:rsidRPr="00C56A24">
        <w:t>202</w:t>
      </w:r>
      <w:r w:rsidR="001F7EAB" w:rsidRPr="00C56A24">
        <w:t>1</w:t>
      </w:r>
      <w:r w:rsidRPr="00C56A24">
        <w:t xml:space="preserve"> metų bazinis dydis n</w:t>
      </w:r>
      <w:r w:rsidR="00A61639">
        <w:t>e</w:t>
      </w:r>
      <w:r w:rsidRPr="00C56A24">
        <w:t>nustatytas.</w:t>
      </w:r>
    </w:p>
    <w:p w14:paraId="4B2A475B" w14:textId="77777777" w:rsidR="00273560" w:rsidRPr="00C56A24" w:rsidRDefault="00273560" w:rsidP="002774E1">
      <w:pPr>
        <w:pStyle w:val="Pagrindinistekstas"/>
        <w:ind w:firstLine="851"/>
      </w:pPr>
    </w:p>
    <w:p w14:paraId="300046ED" w14:textId="77777777" w:rsidR="00DE4F58" w:rsidRPr="00C56A24" w:rsidRDefault="00B366D5" w:rsidP="002774E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b/>
          <w:bCs/>
          <w:sz w:val="24"/>
          <w:szCs w:val="24"/>
          <w:lang w:val="lt-LT"/>
        </w:rPr>
        <w:t>4</w:t>
      </w:r>
      <w:r w:rsidR="000D4175" w:rsidRPr="00C56A24">
        <w:rPr>
          <w:b/>
          <w:bCs/>
          <w:sz w:val="24"/>
          <w:szCs w:val="24"/>
          <w:lang w:val="lt-LT"/>
        </w:rPr>
        <w:t>. Kokios</w:t>
      </w:r>
      <w:r w:rsidR="00290AD8" w:rsidRPr="00C56A24">
        <w:rPr>
          <w:b/>
          <w:bCs/>
          <w:sz w:val="24"/>
          <w:szCs w:val="24"/>
          <w:lang w:val="lt-LT"/>
        </w:rPr>
        <w:t xml:space="preserve"> siūlomos</w:t>
      </w:r>
      <w:r w:rsidR="000D4175" w:rsidRPr="00C56A24">
        <w:rPr>
          <w:b/>
          <w:bCs/>
          <w:sz w:val="24"/>
          <w:szCs w:val="24"/>
          <w:lang w:val="lt-LT"/>
        </w:rPr>
        <w:t xml:space="preserve"> n</w:t>
      </w:r>
      <w:r w:rsidR="00A10BFD" w:rsidRPr="00C56A24">
        <w:rPr>
          <w:b/>
          <w:bCs/>
          <w:sz w:val="24"/>
          <w:szCs w:val="24"/>
          <w:lang w:val="lt-LT"/>
        </w:rPr>
        <w:t>aujos teisinio reguliavimo nuostatos</w:t>
      </w:r>
      <w:r w:rsidR="00290AD8" w:rsidRPr="00C56A24">
        <w:rPr>
          <w:b/>
          <w:bCs/>
          <w:sz w:val="24"/>
          <w:szCs w:val="24"/>
          <w:lang w:val="lt-LT"/>
        </w:rPr>
        <w:t xml:space="preserve"> </w:t>
      </w:r>
      <w:r w:rsidR="000D4175" w:rsidRPr="00C56A24">
        <w:rPr>
          <w:b/>
          <w:bCs/>
          <w:sz w:val="24"/>
          <w:szCs w:val="24"/>
          <w:lang w:val="lt-LT"/>
        </w:rPr>
        <w:t>ir kokių teigiamų rezultatų laukiama</w:t>
      </w:r>
      <w:r w:rsidR="007765FD" w:rsidRPr="00C56A24">
        <w:rPr>
          <w:sz w:val="24"/>
          <w:szCs w:val="24"/>
          <w:lang w:val="lt-LT"/>
        </w:rPr>
        <w:t xml:space="preserve"> </w:t>
      </w:r>
    </w:p>
    <w:p w14:paraId="2F53F253" w14:textId="4E946E17" w:rsidR="00C970C4" w:rsidRPr="00C56A24" w:rsidRDefault="00510471" w:rsidP="0051047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color w:val="000000"/>
          <w:sz w:val="24"/>
          <w:szCs w:val="24"/>
          <w:lang w:val="lt-LT" w:bidi="lt-LT"/>
        </w:rPr>
        <w:t>E</w:t>
      </w:r>
      <w:r w:rsidRPr="00C56A24">
        <w:rPr>
          <w:sz w:val="24"/>
          <w:szCs w:val="24"/>
          <w:lang w:val="lt-LT"/>
        </w:rPr>
        <w:t xml:space="preserve">konominės raidos scenarijuje, viešai paskelbtame 2020 m. </w:t>
      </w:r>
      <w:r w:rsidR="00655BBF">
        <w:rPr>
          <w:sz w:val="24"/>
          <w:szCs w:val="24"/>
          <w:lang w:val="lt-LT"/>
        </w:rPr>
        <w:t>gruodžio</w:t>
      </w:r>
      <w:r w:rsidRPr="00C56A24">
        <w:rPr>
          <w:sz w:val="24"/>
          <w:szCs w:val="24"/>
          <w:lang w:val="lt-LT"/>
        </w:rPr>
        <w:t xml:space="preserve"> 14 d. Lietuvos Respublikos finansų ministerijos interneto svetainėje, </w:t>
      </w:r>
      <w:r w:rsidR="00C970C4" w:rsidRPr="00C56A24">
        <w:rPr>
          <w:sz w:val="24"/>
          <w:szCs w:val="24"/>
          <w:lang w:val="lt-LT"/>
        </w:rPr>
        <w:t xml:space="preserve">pateikti šie </w:t>
      </w:r>
      <w:r w:rsidR="0054267A" w:rsidRPr="00C56A24">
        <w:rPr>
          <w:sz w:val="24"/>
          <w:szCs w:val="24"/>
          <w:lang w:val="lt-LT"/>
        </w:rPr>
        <w:t>pagrindiniai darbo rinkos ir makroekonominiai rodikliai</w:t>
      </w:r>
      <w:r w:rsidR="00C970C4" w:rsidRPr="00C56A24">
        <w:rPr>
          <w:sz w:val="24"/>
          <w:szCs w:val="24"/>
          <w:lang w:val="lt-LT"/>
        </w:rPr>
        <w:t xml:space="preserve"> ir</w:t>
      </w:r>
      <w:r w:rsidR="0054267A" w:rsidRPr="00C56A24">
        <w:rPr>
          <w:sz w:val="24"/>
          <w:szCs w:val="24"/>
          <w:lang w:val="lt-LT"/>
        </w:rPr>
        <w:t xml:space="preserve"> jų</w:t>
      </w:r>
      <w:r w:rsidR="00C970C4" w:rsidRPr="00C56A24">
        <w:rPr>
          <w:sz w:val="24"/>
          <w:szCs w:val="24"/>
          <w:lang w:val="lt-LT"/>
        </w:rPr>
        <w:t xml:space="preserve"> prognozės:</w:t>
      </w:r>
    </w:p>
    <w:p w14:paraId="786ACC81" w14:textId="19A0C6A8" w:rsidR="00E44762" w:rsidRPr="00C56A24" w:rsidRDefault="00C970C4" w:rsidP="00C970C4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56A24">
        <w:rPr>
          <w:rFonts w:ascii="Times New Roman" w:hAnsi="Times New Roman"/>
          <w:sz w:val="24"/>
          <w:szCs w:val="24"/>
          <w:lang w:val="lt-LT"/>
        </w:rPr>
        <w:lastRenderedPageBreak/>
        <w:t>1. Vidutinis mėnesinis bruto darbo užmokestis šalies ūkyje</w:t>
      </w:r>
      <w:r w:rsidRPr="00C56A24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2019 m. buvo 1</w:t>
      </w:r>
      <w:r w:rsidR="00A61639">
        <w:rPr>
          <w:rFonts w:ascii="Times New Roman" w:hAnsi="Times New Roman"/>
          <w:sz w:val="24"/>
          <w:szCs w:val="24"/>
          <w:lang w:val="lt-LT"/>
        </w:rPr>
        <w:t> 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296,40 </w:t>
      </w:r>
      <w:proofErr w:type="spellStart"/>
      <w:r w:rsidR="00E44762" w:rsidRPr="00C56A24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(2020 m.</w:t>
      </w:r>
      <w:r w:rsidR="008169F6">
        <w:rPr>
          <w:rFonts w:ascii="Times New Roman" w:hAnsi="Times New Roman"/>
          <w:sz w:val="24"/>
          <w:szCs w:val="24"/>
          <w:lang w:val="lt-LT"/>
        </w:rPr>
        <w:t xml:space="preserve"> – 1 417,40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E44762" w:rsidRPr="00C56A24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547913">
        <w:rPr>
          <w:rFonts w:ascii="Times New Roman" w:hAnsi="Times New Roman"/>
          <w:sz w:val="24"/>
          <w:szCs w:val="24"/>
          <w:lang w:val="lt-LT"/>
        </w:rPr>
        <w:t xml:space="preserve">prognozuojama, kad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2021 m. </w:t>
      </w:r>
      <w:r w:rsidR="00547913">
        <w:rPr>
          <w:rFonts w:ascii="Times New Roman" w:hAnsi="Times New Roman"/>
          <w:sz w:val="24"/>
          <w:szCs w:val="24"/>
          <w:lang w:val="lt-LT"/>
        </w:rPr>
        <w:t>bus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1</w:t>
      </w:r>
      <w:r w:rsidR="00A61639">
        <w:rPr>
          <w:rFonts w:ascii="Times New Roman" w:hAnsi="Times New Roman"/>
          <w:sz w:val="24"/>
          <w:szCs w:val="24"/>
          <w:lang w:val="lt-LT"/>
        </w:rPr>
        <w:t> 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4</w:t>
      </w:r>
      <w:r w:rsidR="008169F6">
        <w:rPr>
          <w:rFonts w:ascii="Times New Roman" w:hAnsi="Times New Roman"/>
          <w:sz w:val="24"/>
          <w:szCs w:val="24"/>
          <w:lang w:val="lt-LT"/>
        </w:rPr>
        <w:t>75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,</w:t>
      </w:r>
      <w:r w:rsidR="008169F6">
        <w:rPr>
          <w:rFonts w:ascii="Times New Roman" w:hAnsi="Times New Roman"/>
          <w:sz w:val="24"/>
          <w:szCs w:val="24"/>
          <w:lang w:val="lt-LT"/>
        </w:rPr>
        <w:t>9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0 </w:t>
      </w:r>
      <w:proofErr w:type="spellStart"/>
      <w:r w:rsidR="00E44762" w:rsidRPr="00C56A24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="00E44762" w:rsidRPr="00C56A24">
        <w:rPr>
          <w:rFonts w:ascii="Times New Roman" w:hAnsi="Times New Roman"/>
          <w:sz w:val="24"/>
          <w:szCs w:val="24"/>
          <w:lang w:val="lt-LT"/>
        </w:rPr>
        <w:t>). Vidutinis mėnesinis bruto darbo užmokestis 2019 m., palyginti su 2018 m., padidėjo 8,8 proc</w:t>
      </w:r>
      <w:r w:rsidR="00346359" w:rsidRPr="00C56A24">
        <w:rPr>
          <w:rFonts w:ascii="Times New Roman" w:hAnsi="Times New Roman"/>
          <w:sz w:val="24"/>
          <w:szCs w:val="24"/>
          <w:lang w:val="lt-LT"/>
        </w:rPr>
        <w:t>.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(2020 m. </w:t>
      </w:r>
      <w:r w:rsidR="00AB162E">
        <w:rPr>
          <w:rFonts w:ascii="Times New Roman" w:hAnsi="Times New Roman"/>
          <w:sz w:val="24"/>
          <w:szCs w:val="24"/>
          <w:lang w:val="lt-LT"/>
        </w:rPr>
        <w:t>– 9,3</w:t>
      </w:r>
      <w:r w:rsidR="00346359" w:rsidRPr="00C56A24">
        <w:rPr>
          <w:rFonts w:ascii="Times New Roman" w:hAnsi="Times New Roman"/>
          <w:sz w:val="24"/>
          <w:szCs w:val="24"/>
          <w:lang w:val="lt-LT"/>
        </w:rPr>
        <w:t> 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proc., </w:t>
      </w:r>
      <w:r w:rsidR="00547913">
        <w:rPr>
          <w:rFonts w:ascii="Times New Roman" w:hAnsi="Times New Roman"/>
          <w:sz w:val="24"/>
          <w:szCs w:val="24"/>
          <w:lang w:val="lt-LT"/>
        </w:rPr>
        <w:t xml:space="preserve">prognozuojama, kad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2021 m.</w:t>
      </w:r>
      <w:r w:rsidR="00547913">
        <w:rPr>
          <w:rFonts w:ascii="Times New Roman" w:hAnsi="Times New Roman"/>
          <w:sz w:val="24"/>
          <w:szCs w:val="24"/>
          <w:lang w:val="lt-LT"/>
        </w:rPr>
        <w:t xml:space="preserve"> padidės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AB162E">
        <w:rPr>
          <w:rFonts w:ascii="Times New Roman" w:hAnsi="Times New Roman"/>
          <w:sz w:val="24"/>
          <w:szCs w:val="24"/>
          <w:lang w:val="lt-LT"/>
        </w:rPr>
        <w:t>4,1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proc.). </w:t>
      </w:r>
    </w:p>
    <w:p w14:paraId="40593272" w14:textId="55F3E052" w:rsidR="00C970C4" w:rsidRPr="00C56A24" w:rsidRDefault="00C970C4" w:rsidP="00C970C4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56A24">
        <w:rPr>
          <w:rFonts w:ascii="Times New Roman" w:hAnsi="Times New Roman"/>
          <w:sz w:val="24"/>
          <w:szCs w:val="24"/>
          <w:lang w:val="lt-LT" w:eastAsia="lt-LT"/>
        </w:rPr>
        <w:t>2. Suderintas vartotojų ka</w:t>
      </w:r>
      <w:r w:rsidR="0054267A" w:rsidRPr="00C56A24">
        <w:rPr>
          <w:rFonts w:ascii="Times New Roman" w:hAnsi="Times New Roman"/>
          <w:sz w:val="24"/>
          <w:szCs w:val="24"/>
          <w:lang w:val="lt-LT" w:eastAsia="lt-LT"/>
        </w:rPr>
        <w:t>inų indeksas (vidutinis metinis)</w:t>
      </w:r>
      <w:r w:rsidRPr="00C56A24">
        <w:rPr>
          <w:rFonts w:ascii="Times New Roman" w:hAnsi="Times New Roman"/>
          <w:sz w:val="24"/>
          <w:szCs w:val="24"/>
          <w:lang w:val="lt-LT" w:eastAsia="lt-LT"/>
        </w:rPr>
        <w:t xml:space="preserve"> 2019 m. buvo 2,2 proc. (2020 m. </w:t>
      </w:r>
      <w:r w:rsidR="00341511">
        <w:rPr>
          <w:rFonts w:ascii="Times New Roman" w:hAnsi="Times New Roman"/>
          <w:sz w:val="24"/>
          <w:szCs w:val="24"/>
          <w:lang w:val="lt-LT" w:eastAsia="lt-LT"/>
        </w:rPr>
        <w:t>– 1,0</w:t>
      </w:r>
      <w:r w:rsidRPr="00C56A24">
        <w:rPr>
          <w:rFonts w:ascii="Times New Roman" w:hAnsi="Times New Roman"/>
          <w:sz w:val="24"/>
          <w:szCs w:val="24"/>
          <w:lang w:val="lt-LT"/>
        </w:rPr>
        <w:t xml:space="preserve"> proc., </w:t>
      </w:r>
      <w:r w:rsidR="00341511">
        <w:rPr>
          <w:rFonts w:ascii="Times New Roman" w:hAnsi="Times New Roman"/>
          <w:sz w:val="24"/>
          <w:szCs w:val="24"/>
          <w:lang w:val="lt-LT"/>
        </w:rPr>
        <w:t>prognozuojama</w:t>
      </w:r>
      <w:r w:rsidR="009F726A">
        <w:rPr>
          <w:rFonts w:ascii="Times New Roman" w:hAnsi="Times New Roman"/>
          <w:sz w:val="24"/>
          <w:szCs w:val="24"/>
          <w:lang w:val="lt-LT"/>
        </w:rPr>
        <w:t>, kad</w:t>
      </w:r>
      <w:r w:rsidR="0034151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56A24">
        <w:rPr>
          <w:rFonts w:ascii="Times New Roman" w:hAnsi="Times New Roman"/>
          <w:sz w:val="24"/>
          <w:szCs w:val="24"/>
          <w:lang w:val="lt-LT"/>
        </w:rPr>
        <w:t xml:space="preserve">2021 m. </w:t>
      </w:r>
      <w:r w:rsidR="009F726A">
        <w:rPr>
          <w:rFonts w:ascii="Times New Roman" w:hAnsi="Times New Roman"/>
          <w:sz w:val="24"/>
          <w:szCs w:val="24"/>
          <w:lang w:val="lt-LT"/>
        </w:rPr>
        <w:t xml:space="preserve">bus </w:t>
      </w:r>
      <w:r w:rsidRPr="00C56A24">
        <w:rPr>
          <w:rFonts w:ascii="Times New Roman" w:hAnsi="Times New Roman"/>
          <w:sz w:val="24"/>
          <w:szCs w:val="24"/>
          <w:lang w:val="lt-LT"/>
        </w:rPr>
        <w:t>– 1,</w:t>
      </w:r>
      <w:r w:rsidR="00341511">
        <w:rPr>
          <w:rFonts w:ascii="Times New Roman" w:hAnsi="Times New Roman"/>
          <w:sz w:val="24"/>
          <w:szCs w:val="24"/>
          <w:lang w:val="lt-LT"/>
        </w:rPr>
        <w:t>4</w:t>
      </w:r>
      <w:r w:rsidRPr="00C56A24">
        <w:rPr>
          <w:rFonts w:ascii="Times New Roman" w:hAnsi="Times New Roman"/>
          <w:sz w:val="24"/>
          <w:szCs w:val="24"/>
          <w:lang w:val="lt-LT"/>
        </w:rPr>
        <w:t xml:space="preserve"> proc.)</w:t>
      </w:r>
      <w:r w:rsidR="0054267A" w:rsidRPr="00C56A24">
        <w:rPr>
          <w:rFonts w:ascii="Times New Roman" w:hAnsi="Times New Roman"/>
          <w:sz w:val="24"/>
          <w:szCs w:val="24"/>
          <w:lang w:val="lt-LT"/>
        </w:rPr>
        <w:t>.</w:t>
      </w:r>
    </w:p>
    <w:p w14:paraId="38F10B78" w14:textId="5ABD018E" w:rsidR="00C970C4" w:rsidRPr="00C56A24" w:rsidRDefault="00C970C4" w:rsidP="00C970C4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56A24">
        <w:rPr>
          <w:rFonts w:ascii="Times New Roman" w:hAnsi="Times New Roman"/>
          <w:sz w:val="24"/>
          <w:szCs w:val="24"/>
          <w:lang w:val="lt-LT" w:eastAsia="lt-LT"/>
        </w:rPr>
        <w:t>3. Nedarbo lygis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2019 m. buvo 6,3 proc</w:t>
      </w:r>
      <w:r w:rsidR="00346359" w:rsidRPr="00C56A24">
        <w:rPr>
          <w:rFonts w:ascii="Times New Roman" w:hAnsi="Times New Roman"/>
          <w:sz w:val="24"/>
          <w:szCs w:val="24"/>
          <w:lang w:val="lt-LT"/>
        </w:rPr>
        <w:t>.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(2020 m. </w:t>
      </w:r>
      <w:r w:rsidR="005F317A">
        <w:rPr>
          <w:rFonts w:ascii="Times New Roman" w:hAnsi="Times New Roman"/>
          <w:sz w:val="24"/>
          <w:szCs w:val="24"/>
          <w:lang w:val="lt-LT"/>
        </w:rPr>
        <w:t>–</w:t>
      </w:r>
      <w:r w:rsidR="00687F8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8,8 proc., </w:t>
      </w:r>
      <w:r w:rsidR="005F317A">
        <w:rPr>
          <w:rFonts w:ascii="Times New Roman" w:hAnsi="Times New Roman"/>
          <w:sz w:val="24"/>
          <w:szCs w:val="24"/>
          <w:lang w:val="lt-LT"/>
        </w:rPr>
        <w:t xml:space="preserve">prognozuojama, kad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2021 m.</w:t>
      </w:r>
      <w:r w:rsidR="005F317A">
        <w:rPr>
          <w:rFonts w:ascii="Times New Roman" w:hAnsi="Times New Roman"/>
          <w:sz w:val="24"/>
          <w:szCs w:val="24"/>
          <w:lang w:val="lt-LT"/>
        </w:rPr>
        <w:t xml:space="preserve"> bus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F317A">
        <w:rPr>
          <w:rFonts w:ascii="Times New Roman" w:hAnsi="Times New Roman"/>
          <w:sz w:val="24"/>
          <w:szCs w:val="24"/>
          <w:lang w:val="lt-LT"/>
        </w:rPr>
        <w:t>8,2</w:t>
      </w:r>
      <w:r w:rsidR="00346359" w:rsidRPr="00C56A24">
        <w:rPr>
          <w:rFonts w:ascii="Times New Roman" w:hAnsi="Times New Roman"/>
          <w:sz w:val="24"/>
          <w:szCs w:val="24"/>
          <w:lang w:val="lt-LT"/>
        </w:rPr>
        <w:t> 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proc.).</w:t>
      </w:r>
    </w:p>
    <w:p w14:paraId="0298D563" w14:textId="7032A90E" w:rsidR="00E44762" w:rsidRPr="00C56A24" w:rsidRDefault="00C970C4" w:rsidP="00E44762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56A24">
        <w:rPr>
          <w:rFonts w:ascii="Times New Roman" w:hAnsi="Times New Roman"/>
          <w:iCs/>
          <w:sz w:val="24"/>
          <w:szCs w:val="24"/>
          <w:lang w:val="lt-LT" w:eastAsia="lt-LT"/>
        </w:rPr>
        <w:t>4. Bendrasis vidaus produkt</w:t>
      </w:r>
      <w:r w:rsidR="0054267A" w:rsidRPr="00C56A24">
        <w:rPr>
          <w:rFonts w:ascii="Times New Roman" w:hAnsi="Times New Roman"/>
          <w:iCs/>
          <w:sz w:val="24"/>
          <w:szCs w:val="24"/>
          <w:lang w:val="lt-LT" w:eastAsia="lt-LT"/>
        </w:rPr>
        <w:t>o</w:t>
      </w:r>
      <w:r w:rsidRPr="00C56A24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C56A24">
        <w:rPr>
          <w:rFonts w:ascii="Times New Roman" w:hAnsi="Times New Roman"/>
          <w:iCs/>
          <w:sz w:val="24"/>
          <w:szCs w:val="24"/>
          <w:lang w:val="lt-LT" w:eastAsia="lt-LT"/>
        </w:rPr>
        <w:t>(toliau – BVP)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pokytis palyginamosiomis kainomis 2019 m. buvo </w:t>
      </w:r>
      <w:r w:rsidR="00D70EAF">
        <w:rPr>
          <w:rFonts w:ascii="Times New Roman" w:hAnsi="Times New Roman"/>
          <w:sz w:val="24"/>
          <w:szCs w:val="24"/>
          <w:lang w:val="lt-LT"/>
        </w:rPr>
        <w:t>4,3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proc</w:t>
      </w:r>
      <w:r w:rsidR="00346359" w:rsidRPr="00C56A24">
        <w:rPr>
          <w:rFonts w:ascii="Times New Roman" w:hAnsi="Times New Roman"/>
          <w:sz w:val="24"/>
          <w:szCs w:val="24"/>
          <w:lang w:val="lt-LT"/>
        </w:rPr>
        <w:t>.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(2020 m. </w:t>
      </w:r>
      <w:r w:rsidR="00D70EAF">
        <w:rPr>
          <w:rFonts w:ascii="Times New Roman" w:hAnsi="Times New Roman"/>
          <w:sz w:val="24"/>
          <w:szCs w:val="24"/>
          <w:lang w:val="lt-LT"/>
        </w:rPr>
        <w:t>–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-1,5 proc., </w:t>
      </w:r>
      <w:r w:rsidR="00D70EAF">
        <w:rPr>
          <w:rFonts w:ascii="Times New Roman" w:hAnsi="Times New Roman"/>
          <w:sz w:val="24"/>
          <w:szCs w:val="24"/>
          <w:lang w:val="lt-LT"/>
        </w:rPr>
        <w:t xml:space="preserve">prognozuojama, kad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2021 m. </w:t>
      </w:r>
      <w:r w:rsidR="00D70EAF">
        <w:rPr>
          <w:rFonts w:ascii="Times New Roman" w:hAnsi="Times New Roman"/>
          <w:sz w:val="24"/>
          <w:szCs w:val="24"/>
          <w:lang w:val="lt-LT"/>
        </w:rPr>
        <w:t>bus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70EAF">
        <w:rPr>
          <w:rFonts w:ascii="Times New Roman" w:hAnsi="Times New Roman"/>
          <w:sz w:val="24"/>
          <w:szCs w:val="24"/>
          <w:lang w:val="lt-LT"/>
        </w:rPr>
        <w:t>2,8</w:t>
      </w:r>
      <w:r w:rsidR="00687F88">
        <w:rPr>
          <w:rFonts w:ascii="Times New Roman" w:hAnsi="Times New Roman"/>
          <w:sz w:val="24"/>
          <w:szCs w:val="24"/>
          <w:lang w:val="lt-LT"/>
        </w:rPr>
        <w:t> 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proc.). </w:t>
      </w:r>
    </w:p>
    <w:p w14:paraId="64A94206" w14:textId="624BD067" w:rsidR="00C970C4" w:rsidRPr="00C56A24" w:rsidRDefault="00C970C4" w:rsidP="00E44762">
      <w:pPr>
        <w:pStyle w:val="Betarp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C56A24">
        <w:rPr>
          <w:rFonts w:ascii="Times New Roman" w:hAnsi="Times New Roman"/>
          <w:iCs/>
          <w:sz w:val="24"/>
          <w:szCs w:val="24"/>
          <w:lang w:val="lt-LT"/>
        </w:rPr>
        <w:t>5. Darbo našum</w:t>
      </w:r>
      <w:r w:rsidR="00E44762" w:rsidRPr="00C56A24">
        <w:rPr>
          <w:rFonts w:ascii="Times New Roman" w:hAnsi="Times New Roman"/>
          <w:iCs/>
          <w:sz w:val="24"/>
          <w:szCs w:val="24"/>
          <w:lang w:val="lt-LT"/>
        </w:rPr>
        <w:t>o</w:t>
      </w:r>
      <w:r w:rsidRPr="00C56A24">
        <w:rPr>
          <w:rFonts w:ascii="Times New Roman" w:hAnsi="Times New Roman"/>
          <w:iCs/>
          <w:sz w:val="24"/>
          <w:szCs w:val="24"/>
          <w:lang w:val="lt-LT"/>
        </w:rPr>
        <w:t xml:space="preserve"> (BVP palyginamosiomis kainomis vienam užimtam gyventojui)</w:t>
      </w:r>
      <w:r w:rsidR="00E44762" w:rsidRPr="00C56A24">
        <w:rPr>
          <w:rFonts w:ascii="Times New Roman" w:hAnsi="Times New Roman"/>
          <w:iCs/>
          <w:sz w:val="24"/>
          <w:szCs w:val="24"/>
          <w:lang w:val="lt-LT"/>
        </w:rPr>
        <w:t xml:space="preserve"> pokytis</w:t>
      </w:r>
      <w:r w:rsidRPr="00C56A24">
        <w:rPr>
          <w:rFonts w:ascii="Times New Roman" w:hAnsi="Times New Roman"/>
          <w:sz w:val="24"/>
          <w:szCs w:val="24"/>
          <w:lang w:val="lt-LT"/>
        </w:rPr>
        <w:t xml:space="preserve"> 2019 m. šalies ūkyje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buvo </w:t>
      </w:r>
      <w:r w:rsidR="009F726A">
        <w:rPr>
          <w:rFonts w:ascii="Times New Roman" w:hAnsi="Times New Roman"/>
          <w:sz w:val="24"/>
          <w:szCs w:val="24"/>
          <w:lang w:val="lt-LT"/>
        </w:rPr>
        <w:t>4,1</w:t>
      </w:r>
      <w:r w:rsidRPr="00C56A24">
        <w:rPr>
          <w:rFonts w:ascii="Times New Roman" w:hAnsi="Times New Roman"/>
          <w:sz w:val="24"/>
          <w:szCs w:val="24"/>
          <w:lang w:val="lt-LT"/>
        </w:rPr>
        <w:t xml:space="preserve"> proc.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(</w:t>
      </w:r>
      <w:r w:rsidRPr="00C56A24">
        <w:rPr>
          <w:rFonts w:ascii="Times New Roman" w:hAnsi="Times New Roman"/>
          <w:sz w:val="24"/>
          <w:szCs w:val="24"/>
          <w:lang w:val="lt-LT"/>
        </w:rPr>
        <w:t xml:space="preserve">2020 m. </w:t>
      </w:r>
      <w:r w:rsidR="009F726A">
        <w:rPr>
          <w:rFonts w:ascii="Times New Roman" w:hAnsi="Times New Roman"/>
          <w:sz w:val="24"/>
          <w:szCs w:val="24"/>
          <w:lang w:val="lt-LT"/>
        </w:rPr>
        <w:t>–</w:t>
      </w:r>
      <w:r w:rsidR="000767E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0,4</w:t>
      </w:r>
      <w:r w:rsidR="000767ED">
        <w:rPr>
          <w:rFonts w:ascii="Times New Roman" w:hAnsi="Times New Roman"/>
          <w:sz w:val="24"/>
          <w:szCs w:val="24"/>
          <w:lang w:val="lt-LT"/>
        </w:rPr>
        <w:t> </w:t>
      </w:r>
      <w:r w:rsidRPr="00C56A24">
        <w:rPr>
          <w:rFonts w:ascii="Times New Roman" w:hAnsi="Times New Roman"/>
          <w:sz w:val="24"/>
          <w:szCs w:val="24"/>
          <w:lang w:val="lt-LT"/>
        </w:rPr>
        <w:t>proc.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F726A">
        <w:rPr>
          <w:rFonts w:ascii="Times New Roman" w:hAnsi="Times New Roman"/>
          <w:sz w:val="24"/>
          <w:szCs w:val="24"/>
          <w:lang w:val="lt-LT"/>
        </w:rPr>
        <w:t xml:space="preserve">prognozuojama, kad 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2021 m. </w:t>
      </w:r>
      <w:r w:rsidR="009F726A">
        <w:rPr>
          <w:rFonts w:ascii="Times New Roman" w:hAnsi="Times New Roman"/>
          <w:sz w:val="24"/>
          <w:szCs w:val="24"/>
          <w:lang w:val="lt-LT"/>
        </w:rPr>
        <w:t>bus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F726A">
        <w:rPr>
          <w:rFonts w:ascii="Times New Roman" w:hAnsi="Times New Roman"/>
          <w:sz w:val="24"/>
          <w:szCs w:val="24"/>
          <w:lang w:val="lt-LT"/>
        </w:rPr>
        <w:t>2,1 </w:t>
      </w:r>
      <w:r w:rsidR="00E44762" w:rsidRPr="00C56A24">
        <w:rPr>
          <w:rFonts w:ascii="Times New Roman" w:hAnsi="Times New Roman"/>
          <w:sz w:val="24"/>
          <w:szCs w:val="24"/>
          <w:lang w:val="lt-LT"/>
        </w:rPr>
        <w:t>proc.).</w:t>
      </w:r>
    </w:p>
    <w:p w14:paraId="7BA33E0C" w14:textId="19B711B7" w:rsidR="00510471" w:rsidRPr="00C56A24" w:rsidRDefault="00510471" w:rsidP="00510471">
      <w:pPr>
        <w:ind w:firstLine="851"/>
        <w:jc w:val="both"/>
        <w:rPr>
          <w:spacing w:val="2"/>
          <w:sz w:val="24"/>
          <w:szCs w:val="24"/>
          <w:shd w:val="clear" w:color="auto" w:fill="FFFFFF"/>
          <w:lang w:val="lt-LT"/>
        </w:rPr>
      </w:pPr>
      <w:r w:rsidRPr="00C56A24">
        <w:rPr>
          <w:spacing w:val="2"/>
          <w:sz w:val="24"/>
          <w:szCs w:val="24"/>
          <w:shd w:val="clear" w:color="auto" w:fill="FFFFFF"/>
          <w:lang w:val="lt-LT"/>
        </w:rPr>
        <w:t>Nors ir pastebim</w:t>
      </w:r>
      <w:r w:rsidR="00C97DC1">
        <w:rPr>
          <w:spacing w:val="2"/>
          <w:sz w:val="24"/>
          <w:szCs w:val="24"/>
          <w:shd w:val="clear" w:color="auto" w:fill="FFFFFF"/>
          <w:lang w:val="lt-LT"/>
        </w:rPr>
        <w:t>a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ekonomikos atsigavimo ženkl</w:t>
      </w:r>
      <w:r w:rsidR="00C97DC1">
        <w:rPr>
          <w:spacing w:val="2"/>
          <w:sz w:val="24"/>
          <w:szCs w:val="24"/>
          <w:shd w:val="clear" w:color="auto" w:fill="FFFFFF"/>
          <w:lang w:val="lt-LT"/>
        </w:rPr>
        <w:t>ų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, nesitikima 2021 metais </w:t>
      </w:r>
      <w:r w:rsidR="000767ED">
        <w:rPr>
          <w:spacing w:val="2"/>
          <w:sz w:val="24"/>
          <w:szCs w:val="24"/>
          <w:shd w:val="clear" w:color="auto" w:fill="FFFFFF"/>
          <w:lang w:val="lt-LT"/>
        </w:rPr>
        <w:t>kompensuoti</w:t>
      </w:r>
      <w:r w:rsidR="000767ED"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šiemet </w:t>
      </w:r>
      <w:r w:rsidR="00A8738F">
        <w:rPr>
          <w:spacing w:val="2"/>
          <w:sz w:val="24"/>
          <w:szCs w:val="24"/>
          <w:shd w:val="clear" w:color="auto" w:fill="FFFFFF"/>
          <w:lang w:val="lt-LT"/>
        </w:rPr>
        <w:t>dėl COVID-19 pandemijos</w:t>
      </w:r>
      <w:r w:rsidR="00A8738F"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>patirt</w:t>
      </w:r>
      <w:r w:rsidR="00C97DC1">
        <w:rPr>
          <w:spacing w:val="2"/>
          <w:sz w:val="24"/>
          <w:szCs w:val="24"/>
          <w:shd w:val="clear" w:color="auto" w:fill="FFFFFF"/>
          <w:lang w:val="lt-LT"/>
        </w:rPr>
        <w:t>ų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nuostoli</w:t>
      </w:r>
      <w:r w:rsidR="00C97DC1">
        <w:rPr>
          <w:spacing w:val="2"/>
          <w:sz w:val="24"/>
          <w:szCs w:val="24"/>
          <w:shd w:val="clear" w:color="auto" w:fill="FFFFFF"/>
          <w:lang w:val="lt-LT"/>
        </w:rPr>
        <w:t>ų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>. B</w:t>
      </w:r>
      <w:r w:rsidR="0054267A" w:rsidRPr="00C56A24">
        <w:rPr>
          <w:spacing w:val="2"/>
          <w:sz w:val="24"/>
          <w:szCs w:val="24"/>
          <w:shd w:val="clear" w:color="auto" w:fill="FFFFFF"/>
          <w:lang w:val="lt-LT"/>
        </w:rPr>
        <w:t>VP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palyginamosiomis kainomis toks, koks buvo 2019 m., nebus nei 2021 m., nei visą vidutinį laikotarpį, o</w:t>
      </w:r>
      <w:r w:rsidR="00E750C6">
        <w:rPr>
          <w:spacing w:val="2"/>
          <w:sz w:val="24"/>
          <w:szCs w:val="24"/>
          <w:shd w:val="clear" w:color="auto" w:fill="FFFFFF"/>
          <w:lang w:val="lt-LT"/>
        </w:rPr>
        <w:t>,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atsiga</w:t>
      </w:r>
      <w:r w:rsidR="000767ED">
        <w:rPr>
          <w:spacing w:val="2"/>
          <w:sz w:val="24"/>
          <w:szCs w:val="24"/>
          <w:shd w:val="clear" w:color="auto" w:fill="FFFFFF"/>
          <w:lang w:val="lt-LT"/>
        </w:rPr>
        <w:t>vus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ekonominiam aktyvumui ir išaugus darbo jėgos paklausai, nedarbo lygis 2021 m.</w:t>
      </w:r>
      <w:r w:rsidR="00E750C6">
        <w:rPr>
          <w:spacing w:val="2"/>
          <w:sz w:val="24"/>
          <w:szCs w:val="24"/>
          <w:shd w:val="clear" w:color="auto" w:fill="FFFFFF"/>
          <w:lang w:val="lt-LT"/>
        </w:rPr>
        <w:t>,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tikėtina</w:t>
      </w:r>
      <w:r w:rsidR="00E750C6">
        <w:rPr>
          <w:spacing w:val="2"/>
          <w:sz w:val="24"/>
          <w:szCs w:val="24"/>
          <w:shd w:val="clear" w:color="auto" w:fill="FFFFFF"/>
          <w:lang w:val="lt-LT"/>
        </w:rPr>
        <w:t>,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sumažės iki </w:t>
      </w:r>
      <w:r w:rsidR="009C4641">
        <w:rPr>
          <w:spacing w:val="2"/>
          <w:sz w:val="24"/>
          <w:szCs w:val="24"/>
          <w:shd w:val="clear" w:color="auto" w:fill="FFFFFF"/>
          <w:lang w:val="lt-LT"/>
        </w:rPr>
        <w:t>8,2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proc. </w:t>
      </w:r>
      <w:r w:rsidR="00C46A8E" w:rsidRPr="00C56A24">
        <w:rPr>
          <w:color w:val="000000"/>
          <w:sz w:val="24"/>
          <w:szCs w:val="24"/>
          <w:lang w:val="lt-LT" w:bidi="lt-LT"/>
        </w:rPr>
        <w:t>E</w:t>
      </w:r>
      <w:r w:rsidR="00C46A8E" w:rsidRPr="00C56A24">
        <w:rPr>
          <w:sz w:val="24"/>
          <w:szCs w:val="24"/>
          <w:lang w:val="lt-LT"/>
        </w:rPr>
        <w:t xml:space="preserve">konominės raidos scenarijuje </w:t>
      </w:r>
      <w:r w:rsidR="00C46A8E" w:rsidRPr="00C56A24">
        <w:rPr>
          <w:spacing w:val="2"/>
          <w:sz w:val="24"/>
          <w:szCs w:val="24"/>
          <w:shd w:val="clear" w:color="auto" w:fill="FFFFFF"/>
          <w:lang w:val="lt-LT"/>
        </w:rPr>
        <w:t>n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>umatoma, kad vidutinio mėnesinio bruto darbo užmokesčio 2021</w:t>
      </w:r>
      <w:r w:rsidR="0007024A">
        <w:rPr>
          <w:spacing w:val="2"/>
          <w:sz w:val="24"/>
          <w:szCs w:val="24"/>
          <w:shd w:val="clear" w:color="auto" w:fill="FFFFFF"/>
          <w:lang w:val="lt-LT"/>
        </w:rPr>
        <w:t> 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metais augimo tempas sieks </w:t>
      </w:r>
      <w:r w:rsidR="009C4641">
        <w:rPr>
          <w:spacing w:val="2"/>
          <w:sz w:val="24"/>
          <w:szCs w:val="24"/>
          <w:shd w:val="clear" w:color="auto" w:fill="FFFFFF"/>
          <w:lang w:val="lt-LT"/>
        </w:rPr>
        <w:t>4,1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proc. Vėlesniais vidutinio laikotarpio metais, mažėjant nedarbo lygiui ir stiprėjant darbo jėgos paklausai, darbo užmokesčio augimo tempas šalyje palaipsniui spartės ir laikotarpio pabaigoje priartės prie </w:t>
      </w:r>
      <w:r w:rsidR="009C4641">
        <w:rPr>
          <w:spacing w:val="2"/>
          <w:sz w:val="24"/>
          <w:szCs w:val="24"/>
          <w:shd w:val="clear" w:color="auto" w:fill="FFFFFF"/>
          <w:lang w:val="lt-LT"/>
        </w:rPr>
        <w:t>5,0</w:t>
      </w:r>
      <w:r w:rsidR="00C97DC1">
        <w:rPr>
          <w:spacing w:val="2"/>
          <w:sz w:val="24"/>
          <w:szCs w:val="24"/>
          <w:shd w:val="clear" w:color="auto" w:fill="FFFFFF"/>
          <w:lang w:val="lt-LT"/>
        </w:rPr>
        <w:t> 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>proc. (2019 m. buvo 8,8</w:t>
      </w:r>
      <w:r w:rsidR="00A8738F">
        <w:rPr>
          <w:spacing w:val="2"/>
          <w:sz w:val="24"/>
          <w:szCs w:val="24"/>
          <w:shd w:val="clear" w:color="auto" w:fill="FFFFFF"/>
          <w:lang w:val="lt-LT"/>
        </w:rPr>
        <w:t> </w:t>
      </w:r>
      <w:r w:rsidRPr="00C56A24">
        <w:rPr>
          <w:spacing w:val="2"/>
          <w:sz w:val="24"/>
          <w:szCs w:val="24"/>
          <w:shd w:val="clear" w:color="auto" w:fill="FFFFFF"/>
          <w:lang w:val="lt-LT"/>
        </w:rPr>
        <w:t>proc.).</w:t>
      </w:r>
      <w:r w:rsidR="00B81DF8" w:rsidRPr="00C56A24">
        <w:rPr>
          <w:spacing w:val="2"/>
          <w:sz w:val="24"/>
          <w:szCs w:val="24"/>
          <w:shd w:val="clear" w:color="auto" w:fill="FFFFFF"/>
          <w:lang w:val="lt-LT"/>
        </w:rPr>
        <w:t xml:space="preserve"> </w:t>
      </w:r>
    </w:p>
    <w:p w14:paraId="2B468673" w14:textId="2F505501" w:rsidR="00346359" w:rsidRPr="00C56A24" w:rsidRDefault="00A33033" w:rsidP="00AB6E63">
      <w:pPr>
        <w:spacing w:before="240" w:after="120"/>
        <w:rPr>
          <w:b/>
          <w:spacing w:val="2"/>
          <w:sz w:val="22"/>
          <w:szCs w:val="22"/>
          <w:shd w:val="clear" w:color="auto" w:fill="FFFFFF"/>
          <w:lang w:val="lt-LT"/>
        </w:rPr>
      </w:pPr>
      <w:r w:rsidRPr="00C56A24">
        <w:rPr>
          <w:b/>
          <w:spacing w:val="2"/>
          <w:sz w:val="22"/>
          <w:szCs w:val="22"/>
          <w:shd w:val="clear" w:color="auto" w:fill="FFFFFF"/>
          <w:lang w:val="lt-LT"/>
        </w:rPr>
        <w:t>Pagrindiniai Ekonominės raidos scenarijaus rodikliai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64"/>
        <w:gridCol w:w="866"/>
        <w:gridCol w:w="881"/>
        <w:gridCol w:w="881"/>
        <w:gridCol w:w="881"/>
        <w:gridCol w:w="881"/>
      </w:tblGrid>
      <w:tr w:rsidR="00924E87" w:rsidRPr="00C56A24" w14:paraId="7022F4A9" w14:textId="77777777" w:rsidTr="00FB678D">
        <w:tc>
          <w:tcPr>
            <w:tcW w:w="5464" w:type="dxa"/>
          </w:tcPr>
          <w:p w14:paraId="382553F9" w14:textId="106B74D7" w:rsidR="00A33033" w:rsidRPr="00C56A24" w:rsidRDefault="00A33033" w:rsidP="00A33033">
            <w:pPr>
              <w:jc w:val="both"/>
              <w:rPr>
                <w:b/>
                <w:spacing w:val="2"/>
                <w:shd w:val="clear" w:color="auto" w:fill="FFFFFF"/>
                <w:lang w:val="lt-LT"/>
              </w:rPr>
            </w:pPr>
            <w:r w:rsidRPr="00C56A24">
              <w:rPr>
                <w:b/>
                <w:spacing w:val="2"/>
                <w:shd w:val="clear" w:color="auto" w:fill="FFFFFF"/>
                <w:lang w:val="lt-LT"/>
              </w:rPr>
              <w:t>Rodiklio pavadinimas</w:t>
            </w:r>
          </w:p>
        </w:tc>
        <w:tc>
          <w:tcPr>
            <w:tcW w:w="866" w:type="dxa"/>
          </w:tcPr>
          <w:p w14:paraId="0B133EA4" w14:textId="056E2756" w:rsidR="00A33033" w:rsidRPr="00C56A24" w:rsidRDefault="00A33033" w:rsidP="00A33033">
            <w:pPr>
              <w:jc w:val="both"/>
              <w:rPr>
                <w:b/>
                <w:spacing w:val="2"/>
                <w:shd w:val="clear" w:color="auto" w:fill="FFFFFF"/>
                <w:lang w:val="lt-LT"/>
              </w:rPr>
            </w:pPr>
            <w:r w:rsidRPr="00C56A24">
              <w:rPr>
                <w:b/>
                <w:spacing w:val="2"/>
                <w:shd w:val="clear" w:color="auto" w:fill="FFFFFF"/>
                <w:lang w:val="lt-LT"/>
              </w:rPr>
              <w:t>2019</w:t>
            </w:r>
          </w:p>
        </w:tc>
        <w:tc>
          <w:tcPr>
            <w:tcW w:w="881" w:type="dxa"/>
          </w:tcPr>
          <w:p w14:paraId="7C56E27B" w14:textId="3DE33679" w:rsidR="00A33033" w:rsidRPr="00C56A24" w:rsidRDefault="00A33033" w:rsidP="00A33033">
            <w:pPr>
              <w:jc w:val="both"/>
              <w:rPr>
                <w:b/>
                <w:spacing w:val="2"/>
                <w:shd w:val="clear" w:color="auto" w:fill="FFFFFF"/>
                <w:lang w:val="lt-LT"/>
              </w:rPr>
            </w:pPr>
            <w:r w:rsidRPr="00C56A24">
              <w:rPr>
                <w:b/>
                <w:spacing w:val="2"/>
                <w:shd w:val="clear" w:color="auto" w:fill="FFFFFF"/>
                <w:lang w:val="lt-LT"/>
              </w:rPr>
              <w:t>2020</w:t>
            </w:r>
          </w:p>
        </w:tc>
        <w:tc>
          <w:tcPr>
            <w:tcW w:w="881" w:type="dxa"/>
          </w:tcPr>
          <w:p w14:paraId="2C3B7EC6" w14:textId="711BE933" w:rsidR="00A33033" w:rsidRPr="00C56A24" w:rsidRDefault="00A33033" w:rsidP="00A33033">
            <w:pPr>
              <w:jc w:val="both"/>
              <w:rPr>
                <w:b/>
                <w:spacing w:val="2"/>
                <w:shd w:val="clear" w:color="auto" w:fill="FFFFFF"/>
                <w:lang w:val="lt-LT"/>
              </w:rPr>
            </w:pPr>
            <w:r w:rsidRPr="00C56A24">
              <w:rPr>
                <w:b/>
                <w:spacing w:val="2"/>
                <w:shd w:val="clear" w:color="auto" w:fill="FFFFFF"/>
                <w:lang w:val="lt-LT"/>
              </w:rPr>
              <w:t>2021P</w:t>
            </w:r>
          </w:p>
        </w:tc>
        <w:tc>
          <w:tcPr>
            <w:tcW w:w="881" w:type="dxa"/>
          </w:tcPr>
          <w:p w14:paraId="017B2F9A" w14:textId="56CE41C9" w:rsidR="00A33033" w:rsidRPr="00C56A24" w:rsidRDefault="00A33033" w:rsidP="00A33033">
            <w:pPr>
              <w:jc w:val="both"/>
              <w:rPr>
                <w:b/>
                <w:spacing w:val="2"/>
                <w:shd w:val="clear" w:color="auto" w:fill="FFFFFF"/>
                <w:lang w:val="lt-LT"/>
              </w:rPr>
            </w:pPr>
            <w:r w:rsidRPr="00C56A24">
              <w:rPr>
                <w:b/>
                <w:spacing w:val="2"/>
                <w:shd w:val="clear" w:color="auto" w:fill="FFFFFF"/>
                <w:lang w:val="lt-LT"/>
              </w:rPr>
              <w:t>2022P</w:t>
            </w:r>
          </w:p>
        </w:tc>
        <w:tc>
          <w:tcPr>
            <w:tcW w:w="881" w:type="dxa"/>
          </w:tcPr>
          <w:p w14:paraId="6DDDC6DD" w14:textId="41BEAA64" w:rsidR="00A33033" w:rsidRPr="00C56A24" w:rsidRDefault="00A33033" w:rsidP="00A33033">
            <w:pPr>
              <w:jc w:val="both"/>
              <w:rPr>
                <w:b/>
                <w:spacing w:val="2"/>
                <w:shd w:val="clear" w:color="auto" w:fill="FFFFFF"/>
                <w:lang w:val="lt-LT"/>
              </w:rPr>
            </w:pPr>
            <w:r w:rsidRPr="00C56A24">
              <w:rPr>
                <w:b/>
                <w:spacing w:val="2"/>
                <w:shd w:val="clear" w:color="auto" w:fill="FFFFFF"/>
                <w:lang w:val="lt-LT"/>
              </w:rPr>
              <w:t>2023P</w:t>
            </w:r>
          </w:p>
        </w:tc>
      </w:tr>
      <w:tr w:rsidR="009C4641" w:rsidRPr="00C56A24" w14:paraId="3B7F13A7" w14:textId="77777777" w:rsidTr="00FB678D">
        <w:tc>
          <w:tcPr>
            <w:tcW w:w="5464" w:type="dxa"/>
          </w:tcPr>
          <w:p w14:paraId="0810DDAD" w14:textId="43D3DC5A" w:rsidR="009C4641" w:rsidRPr="00C56A24" w:rsidRDefault="009C4641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C56A24">
              <w:rPr>
                <w:lang w:val="lt-LT"/>
              </w:rPr>
              <w:t xml:space="preserve">BVP (to meto kainomis), mln. </w:t>
            </w:r>
            <w:proofErr w:type="spellStart"/>
            <w:r w:rsidRPr="00C56A24">
              <w:rPr>
                <w:lang w:val="lt-LT"/>
              </w:rPr>
              <w:t>eur</w:t>
            </w:r>
            <w:proofErr w:type="spellEnd"/>
          </w:p>
        </w:tc>
        <w:tc>
          <w:tcPr>
            <w:tcW w:w="866" w:type="dxa"/>
          </w:tcPr>
          <w:p w14:paraId="0A14E714" w14:textId="50ADA3B0" w:rsidR="009C4641" w:rsidRPr="00C56A24" w:rsidRDefault="009C4641" w:rsidP="009C4641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C56A24">
              <w:rPr>
                <w:lang w:val="lt-LT"/>
              </w:rPr>
              <w:t>48</w:t>
            </w:r>
            <w:r>
              <w:rPr>
                <w:lang w:val="lt-LT"/>
              </w:rPr>
              <w:t>797,4</w:t>
            </w:r>
          </w:p>
        </w:tc>
        <w:tc>
          <w:tcPr>
            <w:tcW w:w="881" w:type="dxa"/>
            <w:vAlign w:val="center"/>
          </w:tcPr>
          <w:p w14:paraId="5EF1AAB4" w14:textId="00C6E45F" w:rsidR="009C4641" w:rsidRPr="009C4641" w:rsidRDefault="009C4641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9C4641">
              <w:rPr>
                <w:spacing w:val="2"/>
              </w:rPr>
              <w:t>48491,5</w:t>
            </w:r>
          </w:p>
        </w:tc>
        <w:tc>
          <w:tcPr>
            <w:tcW w:w="881" w:type="dxa"/>
            <w:vAlign w:val="center"/>
          </w:tcPr>
          <w:p w14:paraId="782E9D52" w14:textId="7F23F2E9" w:rsidR="009C4641" w:rsidRPr="009C4641" w:rsidRDefault="009C4641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9C4641">
              <w:rPr>
                <w:spacing w:val="2"/>
              </w:rPr>
              <w:t>50578,4</w:t>
            </w:r>
          </w:p>
        </w:tc>
        <w:tc>
          <w:tcPr>
            <w:tcW w:w="881" w:type="dxa"/>
            <w:vAlign w:val="center"/>
          </w:tcPr>
          <w:p w14:paraId="2F563C24" w14:textId="04063111" w:rsidR="009C4641" w:rsidRPr="009C4641" w:rsidRDefault="009C4641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9C4641">
              <w:rPr>
                <w:spacing w:val="2"/>
              </w:rPr>
              <w:t>53084,1</w:t>
            </w:r>
          </w:p>
        </w:tc>
        <w:tc>
          <w:tcPr>
            <w:tcW w:w="881" w:type="dxa"/>
            <w:vAlign w:val="center"/>
          </w:tcPr>
          <w:p w14:paraId="1A4DF364" w14:textId="7DEACAA3" w:rsidR="009C4641" w:rsidRPr="009C4641" w:rsidRDefault="009C4641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9C4641">
              <w:rPr>
                <w:spacing w:val="2"/>
              </w:rPr>
              <w:t>55790,1</w:t>
            </w:r>
          </w:p>
        </w:tc>
      </w:tr>
      <w:tr w:rsidR="00924E87" w:rsidRPr="00C56A24" w14:paraId="31170DB3" w14:textId="77777777" w:rsidTr="00FB678D">
        <w:tc>
          <w:tcPr>
            <w:tcW w:w="5464" w:type="dxa"/>
          </w:tcPr>
          <w:p w14:paraId="1521BCB8" w14:textId="77CDE9D9" w:rsidR="00A33033" w:rsidRPr="00C56A24" w:rsidRDefault="00612931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C56A24">
              <w:rPr>
                <w:lang w:val="lt-LT"/>
              </w:rPr>
              <w:t>BVP (palyginamosiomis kainomis) pokytis, proc.</w:t>
            </w:r>
          </w:p>
        </w:tc>
        <w:tc>
          <w:tcPr>
            <w:tcW w:w="866" w:type="dxa"/>
          </w:tcPr>
          <w:p w14:paraId="4A51AA85" w14:textId="6215DCB5" w:rsidR="00A33033" w:rsidRPr="00C56A24" w:rsidRDefault="00FB678D" w:rsidP="00FB678D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>
              <w:rPr>
                <w:spacing w:val="2"/>
                <w:shd w:val="clear" w:color="auto" w:fill="FFFFFF"/>
                <w:lang w:val="lt-LT"/>
              </w:rPr>
              <w:t>4,3</w:t>
            </w:r>
          </w:p>
        </w:tc>
        <w:tc>
          <w:tcPr>
            <w:tcW w:w="881" w:type="dxa"/>
          </w:tcPr>
          <w:p w14:paraId="3A079BB0" w14:textId="399473DD" w:rsidR="00A33033" w:rsidRPr="00C56A24" w:rsidRDefault="00612931" w:rsidP="00612931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C56A24">
              <w:rPr>
                <w:spacing w:val="2"/>
                <w:shd w:val="clear" w:color="auto" w:fill="FFFFFF"/>
                <w:lang w:val="lt-LT"/>
              </w:rPr>
              <w:t>-1,5</w:t>
            </w:r>
          </w:p>
        </w:tc>
        <w:tc>
          <w:tcPr>
            <w:tcW w:w="881" w:type="dxa"/>
          </w:tcPr>
          <w:p w14:paraId="50EC93F1" w14:textId="4C557E22" w:rsidR="00A33033" w:rsidRPr="00C56A24" w:rsidRDefault="00FB678D" w:rsidP="00FB678D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>
              <w:rPr>
                <w:spacing w:val="2"/>
                <w:shd w:val="clear" w:color="auto" w:fill="FFFFFF"/>
                <w:lang w:val="lt-LT"/>
              </w:rPr>
              <w:t>2,8</w:t>
            </w:r>
          </w:p>
        </w:tc>
        <w:tc>
          <w:tcPr>
            <w:tcW w:w="881" w:type="dxa"/>
          </w:tcPr>
          <w:p w14:paraId="1EF458B3" w14:textId="34EBFC1E" w:rsidR="00A33033" w:rsidRPr="00C56A24" w:rsidRDefault="00FB678D" w:rsidP="00FB678D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>
              <w:rPr>
                <w:spacing w:val="2"/>
                <w:shd w:val="clear" w:color="auto" w:fill="FFFFFF"/>
                <w:lang w:val="lt-LT"/>
              </w:rPr>
              <w:t>3,1</w:t>
            </w:r>
          </w:p>
        </w:tc>
        <w:tc>
          <w:tcPr>
            <w:tcW w:w="881" w:type="dxa"/>
          </w:tcPr>
          <w:p w14:paraId="1EFB7DD5" w14:textId="15EE54BB" w:rsidR="00A33033" w:rsidRPr="00C56A24" w:rsidRDefault="00FB678D" w:rsidP="00FB678D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>
              <w:rPr>
                <w:spacing w:val="2"/>
                <w:shd w:val="clear" w:color="auto" w:fill="FFFFFF"/>
                <w:lang w:val="lt-LT"/>
              </w:rPr>
              <w:t>3,1</w:t>
            </w:r>
          </w:p>
        </w:tc>
      </w:tr>
      <w:tr w:rsidR="00FB678D" w:rsidRPr="00C56A24" w14:paraId="5B87175F" w14:textId="77777777" w:rsidTr="00FB678D">
        <w:tc>
          <w:tcPr>
            <w:tcW w:w="5464" w:type="dxa"/>
          </w:tcPr>
          <w:p w14:paraId="5C756424" w14:textId="27E548E6" w:rsidR="00FB678D" w:rsidRPr="00C56A24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C56A24">
              <w:rPr>
                <w:lang w:val="lt-LT"/>
              </w:rPr>
              <w:t>Suderintas vartotojų kainų indeksas (vidutinis metinis)</w:t>
            </w:r>
          </w:p>
        </w:tc>
        <w:tc>
          <w:tcPr>
            <w:tcW w:w="866" w:type="dxa"/>
            <w:vAlign w:val="center"/>
          </w:tcPr>
          <w:p w14:paraId="1E8FAA4C" w14:textId="1065F31B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2,2</w:t>
            </w:r>
          </w:p>
        </w:tc>
        <w:tc>
          <w:tcPr>
            <w:tcW w:w="881" w:type="dxa"/>
            <w:vAlign w:val="center"/>
          </w:tcPr>
          <w:p w14:paraId="0884EAB2" w14:textId="5C4DA376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1,0</w:t>
            </w:r>
          </w:p>
        </w:tc>
        <w:tc>
          <w:tcPr>
            <w:tcW w:w="881" w:type="dxa"/>
            <w:vAlign w:val="center"/>
          </w:tcPr>
          <w:p w14:paraId="6E2C7445" w14:textId="64B2B4D0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1,4</w:t>
            </w:r>
          </w:p>
        </w:tc>
        <w:tc>
          <w:tcPr>
            <w:tcW w:w="881" w:type="dxa"/>
            <w:vAlign w:val="center"/>
          </w:tcPr>
          <w:p w14:paraId="3A757174" w14:textId="4FD47187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1,8</w:t>
            </w:r>
          </w:p>
        </w:tc>
        <w:tc>
          <w:tcPr>
            <w:tcW w:w="881" w:type="dxa"/>
            <w:vAlign w:val="center"/>
          </w:tcPr>
          <w:p w14:paraId="468E48AE" w14:textId="32DD92DA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2,0</w:t>
            </w:r>
          </w:p>
        </w:tc>
      </w:tr>
      <w:tr w:rsidR="00FB678D" w:rsidRPr="00C56A24" w14:paraId="3DE9DB17" w14:textId="77777777" w:rsidTr="004C0665">
        <w:tc>
          <w:tcPr>
            <w:tcW w:w="5464" w:type="dxa"/>
          </w:tcPr>
          <w:p w14:paraId="68988162" w14:textId="621E14B4" w:rsidR="00FB678D" w:rsidRPr="00C56A24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C56A24">
              <w:rPr>
                <w:lang w:val="lt-LT"/>
              </w:rPr>
              <w:t>Nedarbo lygis (pagal gyventojų užimtumo tyrimo apibrėžtį), proc.</w:t>
            </w:r>
          </w:p>
        </w:tc>
        <w:tc>
          <w:tcPr>
            <w:tcW w:w="866" w:type="dxa"/>
            <w:vAlign w:val="center"/>
          </w:tcPr>
          <w:p w14:paraId="3DA87FB1" w14:textId="72F74743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6,3</w:t>
            </w:r>
          </w:p>
        </w:tc>
        <w:tc>
          <w:tcPr>
            <w:tcW w:w="881" w:type="dxa"/>
            <w:vAlign w:val="center"/>
          </w:tcPr>
          <w:p w14:paraId="04378325" w14:textId="29D32F93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8,8</w:t>
            </w:r>
          </w:p>
        </w:tc>
        <w:tc>
          <w:tcPr>
            <w:tcW w:w="881" w:type="dxa"/>
            <w:vAlign w:val="center"/>
          </w:tcPr>
          <w:p w14:paraId="60AECDC0" w14:textId="757FA222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8,2</w:t>
            </w:r>
          </w:p>
        </w:tc>
        <w:tc>
          <w:tcPr>
            <w:tcW w:w="881" w:type="dxa"/>
            <w:vAlign w:val="center"/>
          </w:tcPr>
          <w:p w14:paraId="2D181824" w14:textId="77C7BDC4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7,2</w:t>
            </w:r>
          </w:p>
        </w:tc>
        <w:tc>
          <w:tcPr>
            <w:tcW w:w="881" w:type="dxa"/>
            <w:vAlign w:val="center"/>
          </w:tcPr>
          <w:p w14:paraId="1062EB4E" w14:textId="4905AECE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6,6</w:t>
            </w:r>
          </w:p>
        </w:tc>
      </w:tr>
      <w:tr w:rsidR="00FB678D" w:rsidRPr="00C56A24" w14:paraId="684C21B4" w14:textId="77777777" w:rsidTr="00651515">
        <w:tc>
          <w:tcPr>
            <w:tcW w:w="5464" w:type="dxa"/>
          </w:tcPr>
          <w:p w14:paraId="4F86CD55" w14:textId="751958E8" w:rsidR="00FB678D" w:rsidRPr="00C56A24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C56A24">
              <w:rPr>
                <w:lang w:val="lt-LT"/>
              </w:rPr>
              <w:t>Vidutinio mėnesinio bruto darbo užmokesčio pokytis, proc.</w:t>
            </w:r>
          </w:p>
        </w:tc>
        <w:tc>
          <w:tcPr>
            <w:tcW w:w="866" w:type="dxa"/>
            <w:vAlign w:val="center"/>
          </w:tcPr>
          <w:p w14:paraId="018016C4" w14:textId="06DCEF48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8,8</w:t>
            </w:r>
          </w:p>
        </w:tc>
        <w:tc>
          <w:tcPr>
            <w:tcW w:w="881" w:type="dxa"/>
            <w:vAlign w:val="center"/>
          </w:tcPr>
          <w:p w14:paraId="29F60B5C" w14:textId="3DA8053C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9,3</w:t>
            </w:r>
          </w:p>
        </w:tc>
        <w:tc>
          <w:tcPr>
            <w:tcW w:w="881" w:type="dxa"/>
            <w:vAlign w:val="center"/>
          </w:tcPr>
          <w:p w14:paraId="5F1E9E11" w14:textId="5EA9D1C0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4,1</w:t>
            </w:r>
          </w:p>
        </w:tc>
        <w:tc>
          <w:tcPr>
            <w:tcW w:w="881" w:type="dxa"/>
            <w:vAlign w:val="center"/>
          </w:tcPr>
          <w:p w14:paraId="34A2C8C2" w14:textId="488F8DC0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4,5</w:t>
            </w:r>
          </w:p>
        </w:tc>
        <w:tc>
          <w:tcPr>
            <w:tcW w:w="881" w:type="dxa"/>
            <w:vAlign w:val="center"/>
          </w:tcPr>
          <w:p w14:paraId="63FC7CC9" w14:textId="4FA4D3C4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5,0</w:t>
            </w:r>
          </w:p>
        </w:tc>
      </w:tr>
      <w:tr w:rsidR="00FB678D" w:rsidRPr="00C56A24" w14:paraId="6A4266B7" w14:textId="77777777" w:rsidTr="00226EE0">
        <w:tc>
          <w:tcPr>
            <w:tcW w:w="5464" w:type="dxa"/>
          </w:tcPr>
          <w:p w14:paraId="4BB5EBCE" w14:textId="555C6451" w:rsidR="00FB678D" w:rsidRPr="00C56A24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C56A24">
              <w:rPr>
                <w:lang w:val="lt-LT"/>
              </w:rPr>
              <w:t>Užimtųjų skaičiaus pokytis, proc.</w:t>
            </w:r>
          </w:p>
        </w:tc>
        <w:tc>
          <w:tcPr>
            <w:tcW w:w="866" w:type="dxa"/>
            <w:vAlign w:val="center"/>
          </w:tcPr>
          <w:p w14:paraId="1D240984" w14:textId="3AFD37B7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0,3</w:t>
            </w:r>
          </w:p>
        </w:tc>
        <w:tc>
          <w:tcPr>
            <w:tcW w:w="881" w:type="dxa"/>
            <w:vAlign w:val="center"/>
          </w:tcPr>
          <w:p w14:paraId="0A8DD1F7" w14:textId="3F4A4FCC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-1,9</w:t>
            </w:r>
          </w:p>
        </w:tc>
        <w:tc>
          <w:tcPr>
            <w:tcW w:w="881" w:type="dxa"/>
            <w:vAlign w:val="center"/>
          </w:tcPr>
          <w:p w14:paraId="7DBCAF5E" w14:textId="69508FC9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0,7</w:t>
            </w:r>
          </w:p>
        </w:tc>
        <w:tc>
          <w:tcPr>
            <w:tcW w:w="881" w:type="dxa"/>
            <w:vAlign w:val="center"/>
          </w:tcPr>
          <w:p w14:paraId="4AA0A3A8" w14:textId="383328A7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0,9</w:t>
            </w:r>
          </w:p>
        </w:tc>
        <w:tc>
          <w:tcPr>
            <w:tcW w:w="881" w:type="dxa"/>
            <w:vAlign w:val="center"/>
          </w:tcPr>
          <w:p w14:paraId="0FB33D46" w14:textId="50B318FB" w:rsidR="00FB678D" w:rsidRPr="00FB678D" w:rsidRDefault="00FB678D" w:rsidP="00A33033">
            <w:pPr>
              <w:jc w:val="both"/>
              <w:rPr>
                <w:spacing w:val="2"/>
                <w:shd w:val="clear" w:color="auto" w:fill="FFFFFF"/>
                <w:lang w:val="lt-LT"/>
              </w:rPr>
            </w:pPr>
            <w:r w:rsidRPr="00FB678D">
              <w:rPr>
                <w:spacing w:val="2"/>
              </w:rPr>
              <w:t>-0,1</w:t>
            </w:r>
          </w:p>
        </w:tc>
      </w:tr>
    </w:tbl>
    <w:p w14:paraId="17119BAD" w14:textId="46AA007B" w:rsidR="005070F8" w:rsidRPr="00C56A24" w:rsidRDefault="00FE3A64" w:rsidP="00E23E6D">
      <w:pPr>
        <w:spacing w:before="240"/>
        <w:ind w:firstLine="851"/>
        <w:jc w:val="both"/>
        <w:rPr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>Į</w:t>
      </w:r>
      <w:r w:rsidR="00CF147C" w:rsidRPr="00C56A24">
        <w:rPr>
          <w:sz w:val="24"/>
          <w:szCs w:val="24"/>
          <w:lang w:val="lt-LT"/>
        </w:rPr>
        <w:t>statymo projekte siūloma 20</w:t>
      </w:r>
      <w:r w:rsidR="00672EE2" w:rsidRPr="00C56A24">
        <w:rPr>
          <w:sz w:val="24"/>
          <w:szCs w:val="24"/>
          <w:lang w:val="lt-LT"/>
        </w:rPr>
        <w:t>2</w:t>
      </w:r>
      <w:r w:rsidR="00850375" w:rsidRPr="00C56A24">
        <w:rPr>
          <w:sz w:val="24"/>
          <w:szCs w:val="24"/>
          <w:lang w:val="lt-LT"/>
        </w:rPr>
        <w:t>1</w:t>
      </w:r>
      <w:r w:rsidR="00CF147C" w:rsidRPr="00C56A24">
        <w:rPr>
          <w:sz w:val="24"/>
          <w:szCs w:val="24"/>
          <w:lang w:val="lt-LT"/>
        </w:rPr>
        <w:t xml:space="preserve"> metams patvirtinti </w:t>
      </w:r>
      <w:r w:rsidR="00EE199A" w:rsidRPr="00C56A24">
        <w:rPr>
          <w:sz w:val="24"/>
          <w:szCs w:val="24"/>
          <w:lang w:val="lt-LT"/>
        </w:rPr>
        <w:t>1</w:t>
      </w:r>
      <w:r w:rsidRPr="00C56A24">
        <w:rPr>
          <w:sz w:val="24"/>
          <w:szCs w:val="24"/>
          <w:lang w:val="lt-LT"/>
        </w:rPr>
        <w:t>7</w:t>
      </w:r>
      <w:r w:rsidR="00850375" w:rsidRPr="00C56A24">
        <w:rPr>
          <w:sz w:val="24"/>
          <w:szCs w:val="24"/>
          <w:lang w:val="lt-LT"/>
        </w:rPr>
        <w:t>7</w:t>
      </w:r>
      <w:r w:rsidRPr="00C56A24">
        <w:rPr>
          <w:sz w:val="24"/>
          <w:szCs w:val="24"/>
          <w:lang w:val="lt-LT"/>
        </w:rPr>
        <w:t xml:space="preserve"> eurų </w:t>
      </w:r>
      <w:r w:rsidR="00EE199A" w:rsidRPr="00C56A24">
        <w:rPr>
          <w:sz w:val="24"/>
          <w:szCs w:val="24"/>
          <w:lang w:val="lt-LT"/>
        </w:rPr>
        <w:t>bazinį dydį</w:t>
      </w:r>
      <w:r w:rsidR="00AA4AD7" w:rsidRPr="00C56A24">
        <w:rPr>
          <w:sz w:val="24"/>
          <w:szCs w:val="24"/>
          <w:lang w:val="lt-LT"/>
        </w:rPr>
        <w:t>, kuris</w:t>
      </w:r>
      <w:r w:rsidR="00B1028D" w:rsidRPr="00C56A24">
        <w:rPr>
          <w:sz w:val="24"/>
          <w:szCs w:val="24"/>
          <w:lang w:val="lt-LT"/>
        </w:rPr>
        <w:t>,</w:t>
      </w:r>
      <w:r w:rsidR="00AA4AD7" w:rsidRPr="00C56A24">
        <w:rPr>
          <w:sz w:val="24"/>
          <w:szCs w:val="24"/>
          <w:lang w:val="lt-LT"/>
        </w:rPr>
        <w:t xml:space="preserve"> palygin</w:t>
      </w:r>
      <w:r w:rsidR="00B1028D" w:rsidRPr="00C56A24">
        <w:rPr>
          <w:sz w:val="24"/>
          <w:szCs w:val="24"/>
          <w:lang w:val="lt-LT"/>
        </w:rPr>
        <w:t>ti</w:t>
      </w:r>
      <w:r w:rsidR="00AA4AD7" w:rsidRPr="00C56A24">
        <w:rPr>
          <w:sz w:val="24"/>
          <w:szCs w:val="24"/>
          <w:lang w:val="lt-LT"/>
        </w:rPr>
        <w:t xml:space="preserve"> su šiuo metu galiojančiu baziniu dydžiu, didė</w:t>
      </w:r>
      <w:r w:rsidR="00850375" w:rsidRPr="00C56A24">
        <w:rPr>
          <w:sz w:val="24"/>
          <w:szCs w:val="24"/>
          <w:lang w:val="lt-LT"/>
        </w:rPr>
        <w:t>tų 0,6</w:t>
      </w:r>
      <w:r w:rsidR="00AA4AD7" w:rsidRPr="00C56A24">
        <w:rPr>
          <w:sz w:val="24"/>
          <w:szCs w:val="24"/>
          <w:lang w:val="lt-LT"/>
        </w:rPr>
        <w:t xml:space="preserve"> proc</w:t>
      </w:r>
      <w:r w:rsidR="00F5559E" w:rsidRPr="00C56A24">
        <w:rPr>
          <w:sz w:val="24"/>
          <w:szCs w:val="24"/>
          <w:lang w:val="lt-LT"/>
        </w:rPr>
        <w:t>ento</w:t>
      </w:r>
      <w:r w:rsidR="00AA4AD7" w:rsidRPr="00C56A24">
        <w:rPr>
          <w:sz w:val="24"/>
          <w:szCs w:val="24"/>
          <w:lang w:val="lt-LT"/>
        </w:rPr>
        <w:t>.</w:t>
      </w:r>
      <w:r w:rsidR="00D30975" w:rsidRPr="00C56A24">
        <w:rPr>
          <w:sz w:val="24"/>
          <w:szCs w:val="24"/>
          <w:lang w:val="lt-LT"/>
        </w:rPr>
        <w:t xml:space="preserve"> </w:t>
      </w:r>
      <w:r w:rsidR="005070F8" w:rsidRPr="00C56A24">
        <w:rPr>
          <w:sz w:val="24"/>
          <w:szCs w:val="24"/>
          <w:lang w:val="lt-LT"/>
        </w:rPr>
        <w:t>Nustačius minėtą dydį, valstybės politikų, bendrosios kompetencijos ir specializuotų teismų teisėjų, valstybės pareigūnų, valstybės tarnautojų, valstybės ir savivaldybių biudžetinių įstaigų darbuotojų, Konstitucinio Teismo teisėjų, karių darbo užmokestis (atlyginimai)</w:t>
      </w:r>
      <w:r w:rsidR="00502545" w:rsidRPr="00C56A24">
        <w:rPr>
          <w:sz w:val="24"/>
          <w:szCs w:val="24"/>
          <w:lang w:val="lt-LT"/>
        </w:rPr>
        <w:t xml:space="preserve">, </w:t>
      </w:r>
      <w:r w:rsidR="00502545" w:rsidRPr="00C56A24">
        <w:rPr>
          <w:color w:val="000000"/>
          <w:sz w:val="24"/>
          <w:szCs w:val="24"/>
          <w:lang w:val="lt-LT"/>
        </w:rPr>
        <w:t>įstatymų pagrindais sudarytų komisijų narių atlygis</w:t>
      </w:r>
      <w:r w:rsidR="005070F8" w:rsidRPr="00C56A24">
        <w:rPr>
          <w:sz w:val="24"/>
          <w:szCs w:val="24"/>
          <w:lang w:val="lt-LT"/>
        </w:rPr>
        <w:t xml:space="preserve"> ir kitos teisės aktuose nustatytos išmokos</w:t>
      </w:r>
      <w:r w:rsidR="00616B38" w:rsidRPr="00C56A24">
        <w:rPr>
          <w:sz w:val="24"/>
          <w:szCs w:val="24"/>
          <w:lang w:val="lt-LT"/>
        </w:rPr>
        <w:t xml:space="preserve"> ir atlygiai padidėtų</w:t>
      </w:r>
      <w:r w:rsidR="00F47D95" w:rsidRPr="00C56A24">
        <w:rPr>
          <w:sz w:val="24"/>
          <w:szCs w:val="24"/>
          <w:lang w:val="lt-LT"/>
        </w:rPr>
        <w:t xml:space="preserve"> </w:t>
      </w:r>
      <w:r w:rsidR="00850375" w:rsidRPr="00C56A24">
        <w:rPr>
          <w:sz w:val="24"/>
          <w:szCs w:val="24"/>
          <w:lang w:val="lt-LT"/>
        </w:rPr>
        <w:t xml:space="preserve">apie 200 </w:t>
      </w:r>
      <w:r w:rsidR="00175C4E" w:rsidRPr="00C56A24">
        <w:rPr>
          <w:sz w:val="24"/>
          <w:szCs w:val="24"/>
          <w:lang w:val="lt-LT"/>
        </w:rPr>
        <w:t xml:space="preserve">tūkstančių darbuotojų </w:t>
      </w:r>
      <w:r w:rsidR="00D30975" w:rsidRPr="00C56A24">
        <w:rPr>
          <w:sz w:val="24"/>
          <w:szCs w:val="24"/>
          <w:lang w:val="lt-LT"/>
        </w:rPr>
        <w:t xml:space="preserve">nuo </w:t>
      </w:r>
      <w:r w:rsidR="00850375" w:rsidRPr="00C56A24">
        <w:rPr>
          <w:sz w:val="24"/>
          <w:szCs w:val="24"/>
          <w:lang w:val="lt-LT"/>
        </w:rPr>
        <w:t>4</w:t>
      </w:r>
      <w:r w:rsidR="001B1ED9" w:rsidRPr="00C56A24">
        <w:rPr>
          <w:sz w:val="24"/>
          <w:szCs w:val="24"/>
          <w:lang w:val="lt-LT"/>
        </w:rPr>
        <w:t xml:space="preserve"> </w:t>
      </w:r>
      <w:r w:rsidR="00F47D95" w:rsidRPr="00C56A24">
        <w:rPr>
          <w:sz w:val="24"/>
          <w:szCs w:val="24"/>
          <w:lang w:val="lt-LT"/>
        </w:rPr>
        <w:t xml:space="preserve">iki </w:t>
      </w:r>
      <w:r w:rsidR="009D607B" w:rsidRPr="00C56A24">
        <w:rPr>
          <w:sz w:val="24"/>
          <w:szCs w:val="24"/>
          <w:lang w:val="lt-LT"/>
        </w:rPr>
        <w:t>32</w:t>
      </w:r>
      <w:r w:rsidR="00616B38" w:rsidRPr="00C56A24">
        <w:rPr>
          <w:sz w:val="24"/>
          <w:szCs w:val="24"/>
          <w:lang w:val="lt-LT"/>
        </w:rPr>
        <w:t> </w:t>
      </w:r>
      <w:r w:rsidR="008079D9" w:rsidRPr="00C56A24">
        <w:rPr>
          <w:sz w:val="24"/>
          <w:szCs w:val="24"/>
          <w:lang w:val="lt-LT"/>
        </w:rPr>
        <w:t>eur</w:t>
      </w:r>
      <w:r w:rsidR="009D607B" w:rsidRPr="00C56A24">
        <w:rPr>
          <w:sz w:val="24"/>
          <w:szCs w:val="24"/>
          <w:lang w:val="lt-LT"/>
        </w:rPr>
        <w:t>ų (nuo mažiausiai uždirbančio darbuotojo, dirbančio pagal darbo sutartį, iki Konstitucinio Teismo pirmininko ar jį pavaduojančio teisėjo)</w:t>
      </w:r>
      <w:r w:rsidR="00F47D95" w:rsidRPr="00C56A24">
        <w:rPr>
          <w:sz w:val="24"/>
          <w:szCs w:val="24"/>
          <w:lang w:val="lt-LT"/>
        </w:rPr>
        <w:t xml:space="preserve">. </w:t>
      </w:r>
    </w:p>
    <w:p w14:paraId="3A86BFD3" w14:textId="1FFF8843" w:rsidR="00E52834" w:rsidRPr="00C56A24" w:rsidRDefault="00CF147C" w:rsidP="002774E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>Atkreiptinas dėmesys</w:t>
      </w:r>
      <w:r w:rsidR="00023BFF" w:rsidRPr="00C56A24">
        <w:rPr>
          <w:sz w:val="24"/>
          <w:szCs w:val="24"/>
          <w:lang w:val="lt-LT"/>
        </w:rPr>
        <w:t xml:space="preserve"> į tai</w:t>
      </w:r>
      <w:r w:rsidRPr="00C56A24">
        <w:rPr>
          <w:sz w:val="24"/>
          <w:szCs w:val="24"/>
          <w:lang w:val="lt-LT"/>
        </w:rPr>
        <w:t>, kad iki 2009 m</w:t>
      </w:r>
      <w:r w:rsidR="00415F28" w:rsidRPr="00C56A24">
        <w:rPr>
          <w:sz w:val="24"/>
          <w:szCs w:val="24"/>
          <w:lang w:val="lt-LT"/>
        </w:rPr>
        <w:t>etų</w:t>
      </w:r>
      <w:r w:rsidRPr="00C56A24">
        <w:rPr>
          <w:sz w:val="24"/>
          <w:szCs w:val="24"/>
          <w:lang w:val="lt-LT"/>
        </w:rPr>
        <w:t xml:space="preserve"> sausio mėnesio galiojo 141,9 euro </w:t>
      </w:r>
      <w:r w:rsidR="00523688" w:rsidRPr="00C56A24">
        <w:rPr>
          <w:sz w:val="24"/>
          <w:szCs w:val="24"/>
          <w:lang w:val="lt-LT"/>
        </w:rPr>
        <w:t xml:space="preserve">bazinis dydis </w:t>
      </w:r>
      <w:r w:rsidRPr="00C56A24">
        <w:rPr>
          <w:sz w:val="24"/>
          <w:szCs w:val="24"/>
          <w:lang w:val="lt-LT"/>
        </w:rPr>
        <w:t>(</w:t>
      </w:r>
      <w:r w:rsidRPr="009075FE">
        <w:rPr>
          <w:sz w:val="24"/>
          <w:szCs w:val="24"/>
          <w:lang w:val="lt-LT"/>
        </w:rPr>
        <w:t>490 Lt</w:t>
      </w:r>
      <w:r w:rsidR="00F93F5F" w:rsidRPr="009075FE">
        <w:rPr>
          <w:sz w:val="24"/>
          <w:szCs w:val="24"/>
          <w:lang w:val="lt-LT"/>
        </w:rPr>
        <w:t xml:space="preserve"> arba 183 </w:t>
      </w:r>
      <w:proofErr w:type="spellStart"/>
      <w:r w:rsidR="00F93F5F" w:rsidRPr="009075FE">
        <w:rPr>
          <w:sz w:val="24"/>
          <w:szCs w:val="24"/>
          <w:lang w:val="lt-LT"/>
        </w:rPr>
        <w:t>Eur</w:t>
      </w:r>
      <w:proofErr w:type="spellEnd"/>
      <w:r w:rsidR="007151D8" w:rsidRPr="009075FE">
        <w:rPr>
          <w:sz w:val="24"/>
          <w:szCs w:val="24"/>
          <w:lang w:val="lt-LT"/>
        </w:rPr>
        <w:t>,</w:t>
      </w:r>
      <w:r w:rsidR="00F93F5F" w:rsidRPr="009075FE">
        <w:rPr>
          <w:sz w:val="24"/>
          <w:szCs w:val="24"/>
          <w:lang w:val="lt-LT"/>
        </w:rPr>
        <w:t xml:space="preserve"> įvertinus mokestinę reformą</w:t>
      </w:r>
      <w:r w:rsidRPr="00C56A24">
        <w:rPr>
          <w:sz w:val="24"/>
          <w:szCs w:val="24"/>
          <w:lang w:val="lt-LT"/>
        </w:rPr>
        <w:t>), kuris dėl krizės buvo sumažintas iki 137,57 euro (475 Lt), o nuo 2009</w:t>
      </w:r>
      <w:r w:rsidR="00B159CD" w:rsidRPr="00C56A24">
        <w:rPr>
          <w:sz w:val="24"/>
          <w:szCs w:val="24"/>
          <w:lang w:val="lt-LT"/>
        </w:rPr>
        <w:t> </w:t>
      </w:r>
      <w:r w:rsidRPr="00C56A24">
        <w:rPr>
          <w:sz w:val="24"/>
          <w:szCs w:val="24"/>
          <w:lang w:val="lt-LT"/>
        </w:rPr>
        <w:t xml:space="preserve">m. rugpjūčio 1 d. – iki 130,33 euro (450 Lt). </w:t>
      </w:r>
      <w:r w:rsidR="003210A6" w:rsidRPr="00C56A24">
        <w:rPr>
          <w:sz w:val="24"/>
          <w:szCs w:val="24"/>
          <w:lang w:val="lt-LT"/>
        </w:rPr>
        <w:t>Šiuo metu</w:t>
      </w:r>
      <w:r w:rsidRPr="00C56A24">
        <w:rPr>
          <w:sz w:val="24"/>
          <w:szCs w:val="24"/>
          <w:lang w:val="lt-LT"/>
        </w:rPr>
        <w:t xml:space="preserve"> bazinis dydis</w:t>
      </w:r>
      <w:r w:rsidR="004D46FD" w:rsidRPr="00C56A24">
        <w:rPr>
          <w:sz w:val="24"/>
          <w:szCs w:val="24"/>
          <w:lang w:val="lt-LT"/>
        </w:rPr>
        <w:t xml:space="preserve"> </w:t>
      </w:r>
      <w:r w:rsidR="00EC52AE" w:rsidRPr="00C56A24">
        <w:rPr>
          <w:sz w:val="24"/>
          <w:szCs w:val="24"/>
          <w:lang w:val="lt-LT"/>
        </w:rPr>
        <w:t>5</w:t>
      </w:r>
      <w:r w:rsidR="004D46FD" w:rsidRPr="00C56A24">
        <w:rPr>
          <w:sz w:val="24"/>
          <w:szCs w:val="24"/>
          <w:lang w:val="lt-LT"/>
        </w:rPr>
        <w:t>,</w:t>
      </w:r>
      <w:r w:rsidR="00EC52AE" w:rsidRPr="00C56A24">
        <w:rPr>
          <w:sz w:val="24"/>
          <w:szCs w:val="24"/>
          <w:lang w:val="lt-LT"/>
        </w:rPr>
        <w:t>40</w:t>
      </w:r>
      <w:r w:rsidR="001B1ED9" w:rsidRPr="00C56A24">
        <w:rPr>
          <w:sz w:val="24"/>
          <w:szCs w:val="24"/>
          <w:lang w:val="lt-LT"/>
        </w:rPr>
        <w:t> </w:t>
      </w:r>
      <w:r w:rsidR="004D46FD" w:rsidRPr="00C56A24">
        <w:rPr>
          <w:sz w:val="24"/>
          <w:szCs w:val="24"/>
          <w:lang w:val="lt-LT"/>
        </w:rPr>
        <w:t>eur</w:t>
      </w:r>
      <w:r w:rsidR="00A437B0" w:rsidRPr="00C56A24">
        <w:rPr>
          <w:sz w:val="24"/>
          <w:szCs w:val="24"/>
          <w:lang w:val="lt-LT"/>
        </w:rPr>
        <w:t>o</w:t>
      </w:r>
      <w:r w:rsidRPr="00C56A24">
        <w:rPr>
          <w:sz w:val="24"/>
          <w:szCs w:val="24"/>
          <w:lang w:val="lt-LT"/>
        </w:rPr>
        <w:t xml:space="preserve"> </w:t>
      </w:r>
      <w:r w:rsidR="004D46FD" w:rsidRPr="00C56A24">
        <w:rPr>
          <w:sz w:val="24"/>
          <w:szCs w:val="24"/>
          <w:lang w:val="lt-LT"/>
        </w:rPr>
        <w:t xml:space="preserve">mažesnis nei </w:t>
      </w:r>
      <w:r w:rsidR="00415F28" w:rsidRPr="00C56A24">
        <w:rPr>
          <w:sz w:val="24"/>
          <w:szCs w:val="24"/>
          <w:lang w:val="lt-LT"/>
        </w:rPr>
        <w:t>iki 2009 metų</w:t>
      </w:r>
      <w:r w:rsidR="00A437B0" w:rsidRPr="00C56A24">
        <w:rPr>
          <w:sz w:val="24"/>
          <w:szCs w:val="24"/>
          <w:lang w:val="lt-LT"/>
        </w:rPr>
        <w:t xml:space="preserve"> </w:t>
      </w:r>
      <w:r w:rsidR="004D46FD" w:rsidRPr="00C56A24">
        <w:rPr>
          <w:sz w:val="24"/>
          <w:szCs w:val="24"/>
          <w:lang w:val="lt-LT"/>
        </w:rPr>
        <w:t xml:space="preserve">galiojęs bazinis dydis ir </w:t>
      </w:r>
      <w:r w:rsidR="00A437B0" w:rsidRPr="00C56A24">
        <w:rPr>
          <w:sz w:val="24"/>
          <w:szCs w:val="24"/>
          <w:lang w:val="lt-LT"/>
        </w:rPr>
        <w:t xml:space="preserve">yra </w:t>
      </w:r>
      <w:r w:rsidR="001B1ED9" w:rsidRPr="00C56A24">
        <w:rPr>
          <w:sz w:val="24"/>
          <w:szCs w:val="24"/>
          <w:lang w:val="lt-LT"/>
        </w:rPr>
        <w:t>17</w:t>
      </w:r>
      <w:r w:rsidR="00EC52AE" w:rsidRPr="00C56A24">
        <w:rPr>
          <w:sz w:val="24"/>
          <w:szCs w:val="24"/>
          <w:lang w:val="lt-LT"/>
        </w:rPr>
        <w:t>6</w:t>
      </w:r>
      <w:r w:rsidR="001B1ED9" w:rsidRPr="00C56A24">
        <w:rPr>
          <w:sz w:val="24"/>
          <w:szCs w:val="24"/>
          <w:lang w:val="lt-LT"/>
        </w:rPr>
        <w:t xml:space="preserve"> (arba </w:t>
      </w:r>
      <w:r w:rsidR="004D46FD" w:rsidRPr="00C56A24">
        <w:rPr>
          <w:sz w:val="24"/>
          <w:szCs w:val="24"/>
          <w:lang w:val="lt-LT"/>
        </w:rPr>
        <w:t>13</w:t>
      </w:r>
      <w:r w:rsidR="00EC52AE" w:rsidRPr="00C56A24">
        <w:rPr>
          <w:sz w:val="24"/>
          <w:szCs w:val="24"/>
          <w:lang w:val="lt-LT"/>
        </w:rPr>
        <w:t>6</w:t>
      </w:r>
      <w:r w:rsidR="004D46FD" w:rsidRPr="00C56A24">
        <w:rPr>
          <w:sz w:val="24"/>
          <w:szCs w:val="24"/>
          <w:lang w:val="lt-LT"/>
        </w:rPr>
        <w:t>,</w:t>
      </w:r>
      <w:r w:rsidR="00EC52AE" w:rsidRPr="00C56A24">
        <w:rPr>
          <w:sz w:val="24"/>
          <w:szCs w:val="24"/>
          <w:lang w:val="lt-LT"/>
        </w:rPr>
        <w:t>50</w:t>
      </w:r>
      <w:r w:rsidR="007151D8">
        <w:rPr>
          <w:sz w:val="24"/>
          <w:szCs w:val="24"/>
          <w:lang w:val="lt-LT"/>
        </w:rPr>
        <w:t xml:space="preserve"> </w:t>
      </w:r>
      <w:proofErr w:type="spellStart"/>
      <w:r w:rsidR="007151D8">
        <w:rPr>
          <w:sz w:val="24"/>
          <w:szCs w:val="24"/>
          <w:lang w:val="lt-LT"/>
        </w:rPr>
        <w:t>Eur</w:t>
      </w:r>
      <w:proofErr w:type="spellEnd"/>
      <w:r w:rsidR="001B1ED9" w:rsidRPr="00C56A24">
        <w:rPr>
          <w:sz w:val="24"/>
          <w:szCs w:val="24"/>
          <w:lang w:val="lt-LT"/>
        </w:rPr>
        <w:t xml:space="preserve"> iki </w:t>
      </w:r>
      <w:r w:rsidR="009D189E" w:rsidRPr="00C56A24">
        <w:rPr>
          <w:sz w:val="24"/>
          <w:szCs w:val="24"/>
          <w:lang w:val="lt-LT"/>
        </w:rPr>
        <w:t xml:space="preserve">mokestinės </w:t>
      </w:r>
      <w:r w:rsidR="001B1ED9" w:rsidRPr="00C56A24">
        <w:rPr>
          <w:sz w:val="24"/>
          <w:szCs w:val="24"/>
          <w:lang w:val="lt-LT"/>
        </w:rPr>
        <w:t>reformos)</w:t>
      </w:r>
      <w:r w:rsidR="00FD6589" w:rsidRPr="00C56A24">
        <w:rPr>
          <w:sz w:val="24"/>
          <w:szCs w:val="24"/>
          <w:lang w:val="lt-LT"/>
        </w:rPr>
        <w:t> </w:t>
      </w:r>
      <w:r w:rsidR="004D46FD" w:rsidRPr="00C56A24">
        <w:rPr>
          <w:sz w:val="24"/>
          <w:szCs w:val="24"/>
          <w:lang w:val="lt-LT"/>
        </w:rPr>
        <w:t>eur</w:t>
      </w:r>
      <w:r w:rsidR="00B45FB9">
        <w:rPr>
          <w:sz w:val="24"/>
          <w:szCs w:val="24"/>
          <w:lang w:val="lt-LT"/>
        </w:rPr>
        <w:t>ai</w:t>
      </w:r>
      <w:r w:rsidR="005779A9" w:rsidRPr="00C56A24">
        <w:rPr>
          <w:sz w:val="24"/>
          <w:szCs w:val="24"/>
          <w:lang w:val="lt-LT"/>
        </w:rPr>
        <w:t>.</w:t>
      </w:r>
    </w:p>
    <w:p w14:paraId="5E79D45F" w14:textId="23B7EFBF" w:rsidR="00E52834" w:rsidRPr="00C56A24" w:rsidRDefault="004114EA" w:rsidP="00E52834">
      <w:pPr>
        <w:jc w:val="both"/>
        <w:rPr>
          <w:sz w:val="24"/>
          <w:szCs w:val="24"/>
          <w:lang w:val="lt-LT"/>
        </w:rPr>
      </w:pPr>
      <w:bookmarkStart w:id="0" w:name="_GoBack"/>
      <w:r w:rsidRPr="00C56A24">
        <w:rPr>
          <w:noProof/>
          <w:sz w:val="24"/>
          <w:szCs w:val="24"/>
          <w:lang w:val="lt-LT"/>
        </w:rPr>
        <w:drawing>
          <wp:inline distT="0" distB="0" distL="0" distR="0" wp14:anchorId="62753A77" wp14:editId="4062BB3B">
            <wp:extent cx="6084277" cy="1441939"/>
            <wp:effectExtent l="0" t="0" r="12065" b="25400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9"/>
              </a:graphicData>
            </a:graphic>
          </wp:inline>
        </w:drawing>
      </w:r>
      <w:bookmarkEnd w:id="0"/>
    </w:p>
    <w:p w14:paraId="02D52EBC" w14:textId="357137D3" w:rsidR="00E52834" w:rsidRPr="00C56A24" w:rsidRDefault="00E34B2B" w:rsidP="00E34B2B">
      <w:pPr>
        <w:jc w:val="both"/>
        <w:rPr>
          <w:sz w:val="18"/>
          <w:szCs w:val="18"/>
          <w:lang w:val="lt-LT"/>
        </w:rPr>
      </w:pPr>
      <w:r w:rsidRPr="00C56A24">
        <w:rPr>
          <w:sz w:val="18"/>
          <w:szCs w:val="18"/>
          <w:lang w:val="lt-LT"/>
        </w:rPr>
        <w:t>* Iki 2019 m. pateikti duomenys, padauginti iš 1,289.</w:t>
      </w:r>
    </w:p>
    <w:p w14:paraId="6923A05C" w14:textId="77777777" w:rsidR="00184269" w:rsidRPr="00C56A24" w:rsidRDefault="00184269" w:rsidP="002774E1">
      <w:pPr>
        <w:ind w:firstLine="851"/>
        <w:jc w:val="both"/>
        <w:rPr>
          <w:sz w:val="24"/>
          <w:szCs w:val="24"/>
          <w:lang w:val="lt-LT"/>
        </w:rPr>
      </w:pPr>
    </w:p>
    <w:p w14:paraId="78B52BB2" w14:textId="60DEBEE6" w:rsidR="000F5BAD" w:rsidRPr="00C56A24" w:rsidRDefault="00EA6DD6" w:rsidP="002774E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 xml:space="preserve">Numatoma teigiama </w:t>
      </w:r>
      <w:r w:rsidR="005B5A7E" w:rsidRPr="00C56A24">
        <w:rPr>
          <w:sz w:val="24"/>
          <w:szCs w:val="24"/>
          <w:lang w:val="lt-LT"/>
        </w:rPr>
        <w:t xml:space="preserve">priimto įstatymo </w:t>
      </w:r>
      <w:r w:rsidRPr="00C56A24">
        <w:rPr>
          <w:sz w:val="24"/>
          <w:szCs w:val="24"/>
          <w:lang w:val="lt-LT"/>
        </w:rPr>
        <w:t xml:space="preserve">pasekmė – </w:t>
      </w:r>
      <w:r w:rsidR="008D4906" w:rsidRPr="00C56A24">
        <w:rPr>
          <w:sz w:val="24"/>
          <w:szCs w:val="24"/>
          <w:lang w:val="lt-LT"/>
        </w:rPr>
        <w:t xml:space="preserve">net </w:t>
      </w:r>
      <w:r w:rsidR="000F5BAD" w:rsidRPr="00C56A24">
        <w:rPr>
          <w:sz w:val="24"/>
          <w:szCs w:val="24"/>
          <w:lang w:val="lt-LT"/>
        </w:rPr>
        <w:t>ir ne</w:t>
      </w:r>
      <w:r w:rsidR="00B45FB9">
        <w:rPr>
          <w:sz w:val="24"/>
          <w:szCs w:val="24"/>
          <w:lang w:val="lt-LT"/>
        </w:rPr>
        <w:t>daug</w:t>
      </w:r>
      <w:r w:rsidR="000F5BAD" w:rsidRPr="00C56A24">
        <w:rPr>
          <w:sz w:val="24"/>
          <w:szCs w:val="24"/>
          <w:lang w:val="lt-LT"/>
        </w:rPr>
        <w:t xml:space="preserve"> </w:t>
      </w:r>
      <w:r w:rsidR="00A437B0" w:rsidRPr="00C56A24">
        <w:rPr>
          <w:sz w:val="24"/>
          <w:szCs w:val="24"/>
          <w:lang w:val="lt-LT"/>
        </w:rPr>
        <w:t xml:space="preserve">padidinus </w:t>
      </w:r>
      <w:r w:rsidR="000F5BAD" w:rsidRPr="00C56A24">
        <w:rPr>
          <w:sz w:val="24"/>
          <w:szCs w:val="24"/>
          <w:lang w:val="lt-LT"/>
        </w:rPr>
        <w:t>bazin</w:t>
      </w:r>
      <w:r w:rsidR="00A437B0" w:rsidRPr="00C56A24">
        <w:rPr>
          <w:sz w:val="24"/>
          <w:szCs w:val="24"/>
          <w:lang w:val="lt-LT"/>
        </w:rPr>
        <w:t>į</w:t>
      </w:r>
      <w:r w:rsidR="000F5BAD" w:rsidRPr="00C56A24">
        <w:rPr>
          <w:sz w:val="24"/>
          <w:szCs w:val="24"/>
          <w:lang w:val="lt-LT"/>
        </w:rPr>
        <w:t xml:space="preserve"> dyd</w:t>
      </w:r>
      <w:r w:rsidR="00A437B0" w:rsidRPr="00C56A24">
        <w:rPr>
          <w:sz w:val="24"/>
          <w:szCs w:val="24"/>
          <w:lang w:val="lt-LT"/>
        </w:rPr>
        <w:t>į,</w:t>
      </w:r>
      <w:r w:rsidR="000F5BAD" w:rsidRPr="00C56A24">
        <w:rPr>
          <w:sz w:val="24"/>
          <w:szCs w:val="24"/>
          <w:lang w:val="lt-LT"/>
        </w:rPr>
        <w:t xml:space="preserve"> </w:t>
      </w:r>
      <w:r w:rsidR="003A6503" w:rsidRPr="00C56A24">
        <w:rPr>
          <w:sz w:val="24"/>
          <w:szCs w:val="24"/>
          <w:lang w:val="lt-LT"/>
        </w:rPr>
        <w:t xml:space="preserve">padidės </w:t>
      </w:r>
      <w:r w:rsidR="000F5BAD" w:rsidRPr="00C56A24">
        <w:rPr>
          <w:sz w:val="24"/>
          <w:szCs w:val="24"/>
          <w:lang w:val="lt-LT"/>
        </w:rPr>
        <w:t>viešojo sektoriaus darbuotojų darbo užmokest</w:t>
      </w:r>
      <w:r w:rsidR="005B5A7E" w:rsidRPr="00C56A24">
        <w:rPr>
          <w:sz w:val="24"/>
          <w:szCs w:val="24"/>
          <w:lang w:val="lt-LT"/>
        </w:rPr>
        <w:t>is</w:t>
      </w:r>
      <w:r w:rsidR="000F5BAD" w:rsidRPr="00C56A24">
        <w:rPr>
          <w:sz w:val="24"/>
          <w:szCs w:val="24"/>
          <w:lang w:val="lt-LT"/>
        </w:rPr>
        <w:t xml:space="preserve">, o kartu </w:t>
      </w:r>
      <w:r w:rsidR="003A6503" w:rsidRPr="00C56A24">
        <w:rPr>
          <w:sz w:val="24"/>
          <w:szCs w:val="24"/>
          <w:lang w:val="lt-LT"/>
        </w:rPr>
        <w:t xml:space="preserve">– </w:t>
      </w:r>
      <w:r w:rsidR="00E2476D" w:rsidRPr="00C56A24">
        <w:rPr>
          <w:sz w:val="24"/>
          <w:szCs w:val="24"/>
          <w:lang w:val="lt-LT"/>
        </w:rPr>
        <w:t xml:space="preserve">ir </w:t>
      </w:r>
      <w:r w:rsidR="000F5BAD" w:rsidRPr="00C56A24">
        <w:rPr>
          <w:sz w:val="24"/>
          <w:szCs w:val="24"/>
          <w:lang w:val="lt-LT"/>
        </w:rPr>
        <w:t>jų perkam</w:t>
      </w:r>
      <w:r w:rsidR="005B5A7E" w:rsidRPr="00C56A24">
        <w:rPr>
          <w:sz w:val="24"/>
          <w:szCs w:val="24"/>
          <w:lang w:val="lt-LT"/>
        </w:rPr>
        <w:t>oji</w:t>
      </w:r>
      <w:r w:rsidR="000F5BAD" w:rsidRPr="00C56A24">
        <w:rPr>
          <w:sz w:val="24"/>
          <w:szCs w:val="24"/>
          <w:lang w:val="lt-LT"/>
        </w:rPr>
        <w:t xml:space="preserve"> gali</w:t>
      </w:r>
      <w:r w:rsidR="005B5A7E" w:rsidRPr="00C56A24">
        <w:rPr>
          <w:sz w:val="24"/>
          <w:szCs w:val="24"/>
          <w:lang w:val="lt-LT"/>
        </w:rPr>
        <w:t>a</w:t>
      </w:r>
      <w:r w:rsidR="0030743C" w:rsidRPr="00C56A24">
        <w:rPr>
          <w:sz w:val="24"/>
          <w:szCs w:val="24"/>
          <w:lang w:val="lt-LT"/>
        </w:rPr>
        <w:t>.</w:t>
      </w:r>
    </w:p>
    <w:p w14:paraId="595A4545" w14:textId="77777777" w:rsidR="00CF147C" w:rsidRPr="00C56A24" w:rsidRDefault="00CF147C" w:rsidP="002774E1">
      <w:pPr>
        <w:ind w:firstLine="851"/>
        <w:jc w:val="both"/>
        <w:rPr>
          <w:sz w:val="24"/>
          <w:szCs w:val="24"/>
          <w:lang w:val="lt-LT"/>
        </w:rPr>
      </w:pPr>
    </w:p>
    <w:p w14:paraId="772060C6" w14:textId="77777777" w:rsidR="009B6E77" w:rsidRPr="00C56A24" w:rsidRDefault="0036740D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C56A24">
        <w:rPr>
          <w:b/>
          <w:sz w:val="24"/>
          <w:szCs w:val="24"/>
          <w:lang w:val="lt-LT"/>
        </w:rPr>
        <w:t>5</w:t>
      </w:r>
      <w:r w:rsidR="00A10BFD" w:rsidRPr="00C56A24">
        <w:rPr>
          <w:b/>
          <w:sz w:val="24"/>
          <w:szCs w:val="24"/>
          <w:lang w:val="lt-LT"/>
        </w:rPr>
        <w:t xml:space="preserve">. </w:t>
      </w:r>
      <w:r w:rsidR="00290AD8" w:rsidRPr="00C56A24">
        <w:rPr>
          <w:b/>
          <w:sz w:val="24"/>
          <w:szCs w:val="24"/>
          <w:lang w:val="lt-LT"/>
        </w:rPr>
        <w:t>Numatomo teisinio reguliavimo poveikio vertinimo rezultatai (jeigu rengiant įstatymo projektą toks vertinimas turi būti atliktas ir jo rezultatai nepateikiami atskiru dokumentu)</w:t>
      </w:r>
      <w:r w:rsidR="00D64E55" w:rsidRPr="00C56A24">
        <w:rPr>
          <w:b/>
          <w:sz w:val="24"/>
          <w:szCs w:val="24"/>
          <w:lang w:val="lt-LT"/>
        </w:rPr>
        <w:t>. Galimos neigiamos priimto įst</w:t>
      </w:r>
      <w:r w:rsidR="00290AD8" w:rsidRPr="00C56A24">
        <w:rPr>
          <w:b/>
          <w:sz w:val="24"/>
          <w:szCs w:val="24"/>
          <w:lang w:val="lt-LT"/>
        </w:rPr>
        <w:t>a</w:t>
      </w:r>
      <w:r w:rsidR="00D64E55" w:rsidRPr="00C56A24">
        <w:rPr>
          <w:b/>
          <w:sz w:val="24"/>
          <w:szCs w:val="24"/>
          <w:lang w:val="lt-LT"/>
        </w:rPr>
        <w:t>t</w:t>
      </w:r>
      <w:r w:rsidR="00290AD8" w:rsidRPr="00C56A24">
        <w:rPr>
          <w:b/>
          <w:sz w:val="24"/>
          <w:szCs w:val="24"/>
          <w:lang w:val="lt-LT"/>
        </w:rPr>
        <w:t>ymo pasekmės ir kokių priemonių reikėtų imtis, kad tokių pasekmių būtų išvengta</w:t>
      </w:r>
    </w:p>
    <w:p w14:paraId="302D7DAC" w14:textId="2AA8A842" w:rsidR="00273560" w:rsidRPr="00C56A24" w:rsidRDefault="00294E80" w:rsidP="002774E1">
      <w:pPr>
        <w:pStyle w:val="Pagrindinistekstas"/>
        <w:tabs>
          <w:tab w:val="left" w:pos="644"/>
        </w:tabs>
        <w:ind w:firstLine="851"/>
      </w:pPr>
      <w:r w:rsidRPr="00C56A24">
        <w:t>Numatom</w:t>
      </w:r>
      <w:r w:rsidR="00A64F4B">
        <w:t>a</w:t>
      </w:r>
      <w:r w:rsidRPr="00C56A24">
        <w:t xml:space="preserve"> neigiam</w:t>
      </w:r>
      <w:r w:rsidR="00A64F4B">
        <w:t>a</w:t>
      </w:r>
      <w:r w:rsidR="00A52EC5" w:rsidRPr="00C56A24">
        <w:t xml:space="preserve"> </w:t>
      </w:r>
      <w:r w:rsidR="00363090" w:rsidRPr="00C56A24">
        <w:t xml:space="preserve">priimto įstatymo </w:t>
      </w:r>
      <w:r w:rsidR="00A52EC5" w:rsidRPr="00C56A24">
        <w:t>pasekmė –</w:t>
      </w:r>
      <w:r w:rsidR="00A64F4B">
        <w:t xml:space="preserve"> </w:t>
      </w:r>
      <w:r w:rsidR="000F0602" w:rsidRPr="00C56A24">
        <w:t>bazinio dydžio padidinimas</w:t>
      </w:r>
      <w:r w:rsidR="00A64F4B">
        <w:t>,</w:t>
      </w:r>
      <w:r w:rsidR="000F0602" w:rsidRPr="00C56A24">
        <w:t xml:space="preserve"> </w:t>
      </w:r>
      <w:r w:rsidR="00A64F4B" w:rsidRPr="00C56A24">
        <w:t>esant išnaudotiems fiskaliniams limitams</w:t>
      </w:r>
      <w:r w:rsidR="00A64F4B">
        <w:t>,</w:t>
      </w:r>
      <w:r w:rsidR="00A64F4B" w:rsidRPr="00C56A24">
        <w:t xml:space="preserve"> </w:t>
      </w:r>
      <w:r w:rsidR="00384C01" w:rsidRPr="00C56A24">
        <w:t>turės</w:t>
      </w:r>
      <w:r w:rsidR="00395885" w:rsidRPr="00C56A24">
        <w:t xml:space="preserve"> didel</w:t>
      </w:r>
      <w:r w:rsidR="006F7ED3" w:rsidRPr="00C56A24">
        <w:t>ę</w:t>
      </w:r>
      <w:r w:rsidR="00395885" w:rsidRPr="00C56A24">
        <w:t xml:space="preserve"> </w:t>
      </w:r>
      <w:r w:rsidR="00CC5C5B" w:rsidRPr="00C56A24">
        <w:t>įtaką</w:t>
      </w:r>
      <w:r w:rsidR="00395885" w:rsidRPr="00C56A24">
        <w:t xml:space="preserve"> valstybės biudžetui</w:t>
      </w:r>
      <w:r w:rsidR="00C8363A" w:rsidRPr="00C56A24">
        <w:t>.</w:t>
      </w:r>
    </w:p>
    <w:p w14:paraId="5C3AFF22" w14:textId="77777777" w:rsidR="00F532BC" w:rsidRPr="00C56A24" w:rsidRDefault="00F532BC" w:rsidP="002774E1">
      <w:pPr>
        <w:pStyle w:val="Pagrindinistekstas"/>
        <w:tabs>
          <w:tab w:val="left" w:pos="644"/>
        </w:tabs>
        <w:ind w:firstLine="851"/>
        <w:rPr>
          <w:color w:val="000000"/>
        </w:rPr>
      </w:pPr>
    </w:p>
    <w:p w14:paraId="5E5A9869" w14:textId="77777777" w:rsidR="00B56F64" w:rsidRPr="00C56A24" w:rsidRDefault="00E103C5" w:rsidP="002774E1">
      <w:pPr>
        <w:pStyle w:val="Pagrindinistekstas"/>
        <w:tabs>
          <w:tab w:val="left" w:pos="644"/>
        </w:tabs>
        <w:ind w:firstLine="851"/>
        <w:rPr>
          <w:b/>
        </w:rPr>
      </w:pPr>
      <w:r w:rsidRPr="00C56A24">
        <w:rPr>
          <w:b/>
        </w:rPr>
        <w:t>6</w:t>
      </w:r>
      <w:r w:rsidR="00B56F64" w:rsidRPr="00C56A24">
        <w:rPr>
          <w:b/>
        </w:rPr>
        <w:t xml:space="preserve">. </w:t>
      </w:r>
      <w:r w:rsidR="00D06CE3" w:rsidRPr="00C56A24">
        <w:rPr>
          <w:b/>
        </w:rPr>
        <w:t>Kokią įtaką įstatymas turės</w:t>
      </w:r>
      <w:r w:rsidR="00B56F64" w:rsidRPr="00C56A24">
        <w:rPr>
          <w:b/>
        </w:rPr>
        <w:t xml:space="preserve"> kriminogeninei situacijai, korupcijai</w:t>
      </w:r>
    </w:p>
    <w:p w14:paraId="5495E4E9" w14:textId="77777777" w:rsidR="00251E5E" w:rsidRPr="00C56A24" w:rsidRDefault="00251E5E" w:rsidP="002774E1">
      <w:pPr>
        <w:pStyle w:val="Pagrindinistekstas"/>
        <w:tabs>
          <w:tab w:val="left" w:pos="644"/>
        </w:tabs>
        <w:ind w:firstLine="851"/>
      </w:pPr>
      <w:r w:rsidRPr="00C56A24">
        <w:t xml:space="preserve">Priimtas įstatymas </w:t>
      </w:r>
      <w:r w:rsidR="00F414A7" w:rsidRPr="00C56A24">
        <w:t xml:space="preserve">neturės įtakos </w:t>
      </w:r>
      <w:r w:rsidRPr="00C56A24">
        <w:t>kriminogeninei situacijai ar korupcijai.</w:t>
      </w:r>
    </w:p>
    <w:p w14:paraId="157BA6A6" w14:textId="77777777" w:rsidR="004D1F64" w:rsidRPr="00C56A24" w:rsidRDefault="004D1F64" w:rsidP="002774E1">
      <w:pPr>
        <w:pStyle w:val="Pagrindinistekstas"/>
        <w:tabs>
          <w:tab w:val="left" w:pos="644"/>
        </w:tabs>
        <w:ind w:firstLine="851"/>
      </w:pPr>
    </w:p>
    <w:p w14:paraId="43B4E647" w14:textId="77777777" w:rsidR="004D1F64" w:rsidRPr="00C56A24" w:rsidRDefault="004D1F64" w:rsidP="002774E1">
      <w:pPr>
        <w:pStyle w:val="Pagrindinistekstas"/>
        <w:tabs>
          <w:tab w:val="left" w:pos="644"/>
        </w:tabs>
        <w:ind w:firstLine="851"/>
        <w:rPr>
          <w:b/>
        </w:rPr>
      </w:pPr>
      <w:r w:rsidRPr="00C56A24">
        <w:rPr>
          <w:b/>
        </w:rPr>
        <w:t>7. Kaip įstatymo įgyvendinimas atsilieps verslo sąlygoms ir jo plėtrai</w:t>
      </w:r>
    </w:p>
    <w:p w14:paraId="0DF2FF92" w14:textId="77777777" w:rsidR="009F5B17" w:rsidRPr="00C56A24" w:rsidRDefault="003200C8" w:rsidP="002774E1">
      <w:pPr>
        <w:pStyle w:val="Pagrindinistekstas"/>
        <w:tabs>
          <w:tab w:val="left" w:pos="644"/>
        </w:tabs>
        <w:ind w:firstLine="851"/>
      </w:pPr>
      <w:r w:rsidRPr="00C56A24">
        <w:t>Įstatymo įgyvendinimas neturės įtakos verslo sąlygoms ir jo plėtrai.</w:t>
      </w:r>
    </w:p>
    <w:p w14:paraId="3E434C58" w14:textId="77777777" w:rsidR="003200C8" w:rsidRPr="00C56A24" w:rsidRDefault="003200C8" w:rsidP="002774E1">
      <w:pPr>
        <w:pStyle w:val="Pagrindinistekstas"/>
        <w:tabs>
          <w:tab w:val="left" w:pos="644"/>
        </w:tabs>
        <w:ind w:firstLine="851"/>
      </w:pPr>
    </w:p>
    <w:p w14:paraId="36D4B0AC" w14:textId="77777777" w:rsidR="009F5B17" w:rsidRPr="00C56A24" w:rsidRDefault="004D1F64" w:rsidP="002774E1">
      <w:pPr>
        <w:ind w:firstLine="851"/>
        <w:jc w:val="both"/>
        <w:rPr>
          <w:b/>
          <w:bCs/>
          <w:sz w:val="24"/>
          <w:szCs w:val="24"/>
          <w:lang w:val="lt-LT"/>
        </w:rPr>
      </w:pPr>
      <w:r w:rsidRPr="00C56A24">
        <w:rPr>
          <w:b/>
          <w:bCs/>
          <w:sz w:val="24"/>
          <w:szCs w:val="24"/>
          <w:lang w:val="lt-LT"/>
        </w:rPr>
        <w:t>8</w:t>
      </w:r>
      <w:r w:rsidR="009F5B17" w:rsidRPr="00C56A24">
        <w:rPr>
          <w:b/>
          <w:bCs/>
          <w:sz w:val="24"/>
          <w:szCs w:val="24"/>
          <w:lang w:val="lt-LT"/>
        </w:rPr>
        <w:t xml:space="preserve">. Įstatymo inkorporavimas į teisinę sistemą, </w:t>
      </w:r>
      <w:r w:rsidR="00085BCF" w:rsidRPr="00C56A24">
        <w:rPr>
          <w:b/>
          <w:bCs/>
          <w:sz w:val="24"/>
          <w:szCs w:val="24"/>
          <w:lang w:val="lt-LT"/>
        </w:rPr>
        <w:t xml:space="preserve">kokius teisės aktus būtina priimti, </w:t>
      </w:r>
      <w:r w:rsidR="009F5B17" w:rsidRPr="00C56A24">
        <w:rPr>
          <w:b/>
          <w:bCs/>
          <w:sz w:val="24"/>
          <w:szCs w:val="24"/>
          <w:lang w:val="lt-LT"/>
        </w:rPr>
        <w:t xml:space="preserve">kokius galiojančius teisės aktus būtina pakeisti ar </w:t>
      </w:r>
      <w:r w:rsidR="00085BCF" w:rsidRPr="00C56A24">
        <w:rPr>
          <w:b/>
          <w:bCs/>
          <w:sz w:val="24"/>
          <w:szCs w:val="24"/>
          <w:lang w:val="lt-LT"/>
        </w:rPr>
        <w:t>pripažinti netekusiais galios</w:t>
      </w:r>
    </w:p>
    <w:p w14:paraId="188A951F" w14:textId="2F40E71A" w:rsidR="009F5B17" w:rsidRPr="00C56A24" w:rsidRDefault="009F5B17" w:rsidP="002774E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 xml:space="preserve">Priėmus </w:t>
      </w:r>
      <w:r w:rsidR="006F7C31" w:rsidRPr="00C56A24">
        <w:rPr>
          <w:sz w:val="24"/>
          <w:szCs w:val="24"/>
          <w:lang w:val="lt-LT"/>
        </w:rPr>
        <w:t>įstatymą</w:t>
      </w:r>
      <w:r w:rsidRPr="00C56A24">
        <w:rPr>
          <w:sz w:val="24"/>
          <w:szCs w:val="24"/>
          <w:lang w:val="lt-LT"/>
        </w:rPr>
        <w:t xml:space="preserve">, kitų </w:t>
      </w:r>
      <w:r w:rsidR="000069E7" w:rsidRPr="00C56A24">
        <w:rPr>
          <w:sz w:val="24"/>
          <w:szCs w:val="24"/>
          <w:lang w:val="lt-LT"/>
        </w:rPr>
        <w:t>įstatymų</w:t>
      </w:r>
      <w:r w:rsidRPr="00C56A24">
        <w:rPr>
          <w:sz w:val="24"/>
          <w:szCs w:val="24"/>
          <w:lang w:val="lt-LT"/>
        </w:rPr>
        <w:t xml:space="preserve"> </w:t>
      </w:r>
      <w:r w:rsidR="000069E7" w:rsidRPr="00C56A24">
        <w:rPr>
          <w:sz w:val="24"/>
          <w:szCs w:val="24"/>
          <w:lang w:val="lt-LT"/>
        </w:rPr>
        <w:t>priimti, pa</w:t>
      </w:r>
      <w:r w:rsidRPr="00C56A24">
        <w:rPr>
          <w:sz w:val="24"/>
          <w:szCs w:val="24"/>
          <w:lang w:val="lt-LT"/>
        </w:rPr>
        <w:t xml:space="preserve">keisti </w:t>
      </w:r>
      <w:r w:rsidR="000069E7" w:rsidRPr="00C56A24">
        <w:rPr>
          <w:sz w:val="24"/>
          <w:szCs w:val="24"/>
          <w:lang w:val="lt-LT"/>
        </w:rPr>
        <w:t xml:space="preserve">ar pripažinti netekusiais galios </w:t>
      </w:r>
      <w:r w:rsidRPr="00C56A24">
        <w:rPr>
          <w:sz w:val="24"/>
          <w:szCs w:val="24"/>
          <w:lang w:val="lt-LT"/>
        </w:rPr>
        <w:t>nereikės.</w:t>
      </w:r>
    </w:p>
    <w:p w14:paraId="1787898D" w14:textId="77777777" w:rsidR="009357EB" w:rsidRPr="00C56A24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</w:p>
    <w:p w14:paraId="45B49E0B" w14:textId="77777777" w:rsidR="007E4F19" w:rsidRPr="00C56A24" w:rsidRDefault="007E4F19" w:rsidP="002774E1">
      <w:pPr>
        <w:tabs>
          <w:tab w:val="left" w:pos="709"/>
          <w:tab w:val="left" w:pos="10260"/>
          <w:tab w:val="left" w:pos="10440"/>
        </w:tabs>
        <w:ind w:firstLine="851"/>
        <w:jc w:val="both"/>
        <w:rPr>
          <w:b/>
          <w:bCs/>
          <w:sz w:val="24"/>
          <w:szCs w:val="24"/>
          <w:lang w:val="lt-LT"/>
        </w:rPr>
      </w:pPr>
      <w:r w:rsidRPr="00C56A24">
        <w:rPr>
          <w:b/>
          <w:bCs/>
          <w:sz w:val="24"/>
          <w:szCs w:val="24"/>
          <w:lang w:val="lt-LT"/>
        </w:rPr>
        <w:t>9. Ar Įstatymo projektas yra parengtas laikantis Valstybinės kalbos ir Teisėkūros pagrindų įstatymų reikalavimų, o projekto sąvokos ir jas įvardijantys terminai įvertinti Terminų banko įstatymo ir jo įgyvendinamųjų teisės aktų nustatyta tvarka</w:t>
      </w:r>
    </w:p>
    <w:p w14:paraId="3D1FF233" w14:textId="77777777" w:rsidR="007E4F19" w:rsidRPr="00C56A24" w:rsidRDefault="007E4F19" w:rsidP="002774E1">
      <w:pPr>
        <w:tabs>
          <w:tab w:val="left" w:pos="709"/>
          <w:tab w:val="left" w:pos="10260"/>
          <w:tab w:val="left" w:pos="10440"/>
        </w:tabs>
        <w:ind w:firstLine="851"/>
        <w:jc w:val="both"/>
        <w:rPr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>Įstatymo projektas atitinka Lietuvos Respublikos valstybinės kalbos, Lietuvos Respublikos teisėkūros pagrindų įstatymų reikalavimus. Įstatymo projekte naujų sąvokų nepateikiama.</w:t>
      </w:r>
    </w:p>
    <w:p w14:paraId="1C9B3FDC" w14:textId="77777777" w:rsidR="007E4F19" w:rsidRPr="00C56A24" w:rsidRDefault="007E4F19" w:rsidP="002774E1">
      <w:pPr>
        <w:ind w:firstLine="851"/>
        <w:jc w:val="both"/>
        <w:rPr>
          <w:b/>
          <w:sz w:val="24"/>
          <w:szCs w:val="24"/>
          <w:lang w:val="lt-LT"/>
        </w:rPr>
      </w:pPr>
    </w:p>
    <w:p w14:paraId="0AED9A3D" w14:textId="77777777" w:rsidR="009357EB" w:rsidRPr="00C56A24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C56A24">
        <w:rPr>
          <w:b/>
          <w:sz w:val="24"/>
          <w:szCs w:val="24"/>
          <w:lang w:val="lt-LT"/>
        </w:rPr>
        <w:t>10. Įstatymo projekto atitik</w:t>
      </w:r>
      <w:r w:rsidR="00A93FF6" w:rsidRPr="00C56A24">
        <w:rPr>
          <w:b/>
          <w:sz w:val="24"/>
          <w:szCs w:val="24"/>
          <w:lang w:val="lt-LT"/>
        </w:rPr>
        <w:t>tis</w:t>
      </w:r>
      <w:r w:rsidRPr="00C56A24">
        <w:rPr>
          <w:b/>
          <w:sz w:val="24"/>
          <w:szCs w:val="24"/>
          <w:lang w:val="lt-LT"/>
        </w:rPr>
        <w:t xml:space="preserve"> Europos žmogaus teisių ir pagrindinių laisvių apsaugos konvencijos nuostatoms bei Europos Sąjungos dokumentams</w:t>
      </w:r>
    </w:p>
    <w:p w14:paraId="5842DC4B" w14:textId="77777777" w:rsidR="009357EB" w:rsidRPr="00C56A24" w:rsidRDefault="009357EB" w:rsidP="002774E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>Įstatymo projekto nuostatos atitinka Europos žmogaus teisių ir pagrindinių laisvių apsaugos konvencijos nuostatas</w:t>
      </w:r>
      <w:r w:rsidR="00A93FF6" w:rsidRPr="00C56A24">
        <w:rPr>
          <w:sz w:val="24"/>
          <w:szCs w:val="24"/>
          <w:lang w:val="lt-LT"/>
        </w:rPr>
        <w:t>,</w:t>
      </w:r>
      <w:r w:rsidRPr="00C56A24">
        <w:rPr>
          <w:sz w:val="24"/>
          <w:szCs w:val="24"/>
          <w:lang w:val="lt-LT"/>
        </w:rPr>
        <w:t xml:space="preserve"> Europos Sąjungos dokumentų nuostatoms neprieštarauja.</w:t>
      </w:r>
    </w:p>
    <w:p w14:paraId="180A03B0" w14:textId="77777777" w:rsidR="009F5B17" w:rsidRPr="00C56A24" w:rsidRDefault="009F5B17" w:rsidP="002774E1">
      <w:pPr>
        <w:ind w:firstLine="851"/>
        <w:jc w:val="both"/>
        <w:rPr>
          <w:sz w:val="24"/>
          <w:szCs w:val="24"/>
          <w:lang w:val="lt-LT"/>
        </w:rPr>
      </w:pPr>
    </w:p>
    <w:p w14:paraId="533C33A1" w14:textId="77777777" w:rsidR="009F5B17" w:rsidRPr="00C56A24" w:rsidRDefault="009357EB" w:rsidP="002774E1">
      <w:pPr>
        <w:ind w:firstLine="851"/>
        <w:jc w:val="both"/>
        <w:rPr>
          <w:b/>
          <w:sz w:val="24"/>
          <w:szCs w:val="24"/>
          <w:lang w:val="lt-LT"/>
        </w:rPr>
      </w:pPr>
      <w:r w:rsidRPr="00C56A24">
        <w:rPr>
          <w:b/>
          <w:sz w:val="24"/>
          <w:szCs w:val="24"/>
          <w:lang w:val="lt-LT"/>
        </w:rPr>
        <w:t>11</w:t>
      </w:r>
      <w:r w:rsidR="009F5B17" w:rsidRPr="00C56A24">
        <w:rPr>
          <w:b/>
          <w:sz w:val="24"/>
          <w:szCs w:val="24"/>
          <w:lang w:val="lt-LT"/>
        </w:rPr>
        <w:t xml:space="preserve">. Jeigu įstatymui įgyvendinti reikia </w:t>
      </w:r>
      <w:r w:rsidR="002E45AA" w:rsidRPr="00C56A24">
        <w:rPr>
          <w:b/>
          <w:sz w:val="24"/>
          <w:szCs w:val="24"/>
          <w:lang w:val="lt-LT"/>
        </w:rPr>
        <w:t>įgyvendinamųjų</w:t>
      </w:r>
      <w:r w:rsidR="009F5B17" w:rsidRPr="00C56A24">
        <w:rPr>
          <w:b/>
          <w:sz w:val="24"/>
          <w:szCs w:val="24"/>
          <w:lang w:val="lt-LT"/>
        </w:rPr>
        <w:t xml:space="preserve"> </w:t>
      </w:r>
      <w:r w:rsidR="002E45AA" w:rsidRPr="00C56A24">
        <w:rPr>
          <w:b/>
          <w:sz w:val="24"/>
          <w:szCs w:val="24"/>
          <w:lang w:val="lt-LT"/>
        </w:rPr>
        <w:t xml:space="preserve">teisės </w:t>
      </w:r>
      <w:r w:rsidR="009F5B17" w:rsidRPr="00C56A24">
        <w:rPr>
          <w:b/>
          <w:sz w:val="24"/>
          <w:szCs w:val="24"/>
          <w:lang w:val="lt-LT"/>
        </w:rPr>
        <w:t xml:space="preserve">aktų, kas ir kada juos turėtų </w:t>
      </w:r>
      <w:r w:rsidR="002E45AA" w:rsidRPr="00C56A24">
        <w:rPr>
          <w:b/>
          <w:sz w:val="24"/>
          <w:szCs w:val="24"/>
          <w:lang w:val="lt-LT"/>
        </w:rPr>
        <w:t>priimti</w:t>
      </w:r>
    </w:p>
    <w:p w14:paraId="47958646" w14:textId="67EE9321" w:rsidR="009F5B17" w:rsidRPr="00C56A24" w:rsidRDefault="009F5B17" w:rsidP="002774E1">
      <w:pPr>
        <w:ind w:firstLine="851"/>
        <w:jc w:val="both"/>
        <w:rPr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>Įstatymui</w:t>
      </w:r>
      <w:r w:rsidR="00E2098D" w:rsidRPr="00C56A24">
        <w:rPr>
          <w:sz w:val="24"/>
          <w:szCs w:val="24"/>
          <w:lang w:val="lt-LT"/>
        </w:rPr>
        <w:t xml:space="preserve"> įgyvendinti</w:t>
      </w:r>
      <w:r w:rsidRPr="00C56A24">
        <w:rPr>
          <w:sz w:val="24"/>
          <w:szCs w:val="24"/>
          <w:lang w:val="lt-LT"/>
        </w:rPr>
        <w:t xml:space="preserve"> </w:t>
      </w:r>
      <w:r w:rsidR="002E45AA" w:rsidRPr="00C56A24">
        <w:rPr>
          <w:sz w:val="24"/>
          <w:szCs w:val="24"/>
          <w:lang w:val="lt-LT"/>
        </w:rPr>
        <w:t>įgyvendinamųjų</w:t>
      </w:r>
      <w:r w:rsidRPr="00C56A24">
        <w:rPr>
          <w:sz w:val="24"/>
          <w:szCs w:val="24"/>
          <w:lang w:val="lt-LT"/>
        </w:rPr>
        <w:t xml:space="preserve"> teisės aktų </w:t>
      </w:r>
      <w:r w:rsidR="00A93FF6" w:rsidRPr="00C56A24">
        <w:rPr>
          <w:sz w:val="24"/>
          <w:szCs w:val="24"/>
          <w:lang w:val="lt-LT"/>
        </w:rPr>
        <w:t xml:space="preserve">rengti </w:t>
      </w:r>
      <w:r w:rsidR="007E4F19" w:rsidRPr="00C56A24">
        <w:rPr>
          <w:sz w:val="24"/>
          <w:szCs w:val="24"/>
          <w:lang w:val="lt-LT"/>
        </w:rPr>
        <w:t>nereikės</w:t>
      </w:r>
      <w:r w:rsidRPr="00C56A24">
        <w:rPr>
          <w:sz w:val="24"/>
          <w:szCs w:val="24"/>
          <w:lang w:val="lt-LT"/>
        </w:rPr>
        <w:t>.</w:t>
      </w:r>
    </w:p>
    <w:p w14:paraId="4E4CFCA7" w14:textId="77777777" w:rsidR="009F5B17" w:rsidRPr="00C56A24" w:rsidRDefault="009F5B17" w:rsidP="002774E1">
      <w:pPr>
        <w:ind w:firstLine="851"/>
        <w:jc w:val="both"/>
        <w:rPr>
          <w:sz w:val="24"/>
          <w:szCs w:val="24"/>
          <w:lang w:val="lt-LT"/>
        </w:rPr>
      </w:pPr>
    </w:p>
    <w:p w14:paraId="7A85689C" w14:textId="77777777" w:rsidR="009F5B17" w:rsidRPr="00C56A24" w:rsidRDefault="009357EB" w:rsidP="002774E1">
      <w:pPr>
        <w:tabs>
          <w:tab w:val="left" w:pos="567"/>
        </w:tabs>
        <w:ind w:firstLine="851"/>
        <w:jc w:val="both"/>
        <w:rPr>
          <w:b/>
          <w:bCs/>
          <w:sz w:val="24"/>
          <w:szCs w:val="24"/>
          <w:lang w:val="lt-LT"/>
        </w:rPr>
      </w:pPr>
      <w:r w:rsidRPr="00C56A24">
        <w:rPr>
          <w:b/>
          <w:sz w:val="24"/>
          <w:szCs w:val="24"/>
          <w:lang w:val="lt-LT"/>
        </w:rPr>
        <w:t>12</w:t>
      </w:r>
      <w:r w:rsidR="009F5B17" w:rsidRPr="00C56A24">
        <w:rPr>
          <w:b/>
          <w:bCs/>
          <w:sz w:val="24"/>
          <w:szCs w:val="24"/>
          <w:lang w:val="lt-LT"/>
        </w:rPr>
        <w:t xml:space="preserve">. Kiek </w:t>
      </w:r>
      <w:r w:rsidRPr="00C56A24">
        <w:rPr>
          <w:b/>
          <w:bCs/>
          <w:sz w:val="24"/>
          <w:szCs w:val="24"/>
          <w:lang w:val="lt-LT"/>
        </w:rPr>
        <w:t>valstybės ir savivaldybių biudžetų ir kitų valstybės įsteigtų fondų lėšų prireiks įstatymui įgyvendinti, ar</w:t>
      </w:r>
      <w:r w:rsidR="009F5B17" w:rsidRPr="00C56A24">
        <w:rPr>
          <w:b/>
          <w:bCs/>
          <w:sz w:val="24"/>
          <w:szCs w:val="24"/>
          <w:lang w:val="lt-LT"/>
        </w:rPr>
        <w:t xml:space="preserve"> </w:t>
      </w:r>
      <w:r w:rsidRPr="00C56A24">
        <w:rPr>
          <w:b/>
          <w:bCs/>
          <w:sz w:val="24"/>
          <w:szCs w:val="24"/>
          <w:lang w:val="lt-LT"/>
        </w:rPr>
        <w:t>bus galima</w:t>
      </w:r>
      <w:r w:rsidR="009F5B17" w:rsidRPr="00C56A24">
        <w:rPr>
          <w:b/>
          <w:bCs/>
          <w:sz w:val="24"/>
          <w:szCs w:val="24"/>
          <w:lang w:val="lt-LT"/>
        </w:rPr>
        <w:t xml:space="preserve"> sutaupyti </w:t>
      </w:r>
    </w:p>
    <w:p w14:paraId="012C3137" w14:textId="2ADED81A" w:rsidR="00815626" w:rsidRPr="00C56A24" w:rsidRDefault="00F31319" w:rsidP="002774E1">
      <w:pPr>
        <w:pStyle w:val="Pagrindinistekstas"/>
        <w:tabs>
          <w:tab w:val="left" w:pos="644"/>
        </w:tabs>
        <w:ind w:firstLine="851"/>
        <w:rPr>
          <w:bCs/>
        </w:rPr>
      </w:pPr>
      <w:r w:rsidRPr="00C56A24">
        <w:rPr>
          <w:bCs/>
        </w:rPr>
        <w:t xml:space="preserve">Pagal </w:t>
      </w:r>
      <w:r w:rsidR="00815626" w:rsidRPr="00C56A24">
        <w:rPr>
          <w:bCs/>
        </w:rPr>
        <w:t xml:space="preserve">Finansų ministerijos </w:t>
      </w:r>
      <w:r w:rsidRPr="00C56A24">
        <w:rPr>
          <w:bCs/>
        </w:rPr>
        <w:t>pateiktus duomen</w:t>
      </w:r>
      <w:r w:rsidR="00815626" w:rsidRPr="00C56A24">
        <w:rPr>
          <w:bCs/>
        </w:rPr>
        <w:t>is</w:t>
      </w:r>
      <w:r w:rsidR="00D76D2F" w:rsidRPr="00C56A24">
        <w:rPr>
          <w:bCs/>
        </w:rPr>
        <w:t>,</w:t>
      </w:r>
      <w:r w:rsidR="00815626" w:rsidRPr="00C56A24">
        <w:rPr>
          <w:bCs/>
        </w:rPr>
        <w:t xml:space="preserve"> </w:t>
      </w:r>
      <w:r w:rsidR="00815626" w:rsidRPr="00C56A24">
        <w:t>baziniam dydžiui</w:t>
      </w:r>
      <w:r w:rsidR="00815626" w:rsidRPr="00C56A24">
        <w:rPr>
          <w:bCs/>
        </w:rPr>
        <w:t xml:space="preserve"> </w:t>
      </w:r>
      <w:r w:rsidR="00815626" w:rsidRPr="00C56A24">
        <w:t>padidinti 1 euru iš valstybės biudžeto reikėtų apie 2</w:t>
      </w:r>
      <w:r w:rsidR="00F7318B" w:rsidRPr="00C56A24">
        <w:t>1</w:t>
      </w:r>
      <w:r w:rsidR="00815626" w:rsidRPr="00C56A24">
        <w:t xml:space="preserve"> mln. eurų per metus. </w:t>
      </w:r>
    </w:p>
    <w:p w14:paraId="226336C8" w14:textId="77777777" w:rsidR="009F5B17" w:rsidRPr="00C56A24" w:rsidRDefault="009F5B17" w:rsidP="002774E1">
      <w:pPr>
        <w:pStyle w:val="Pagrindinistekstas"/>
        <w:tabs>
          <w:tab w:val="left" w:pos="644"/>
        </w:tabs>
        <w:ind w:firstLine="851"/>
        <w:rPr>
          <w:bCs/>
        </w:rPr>
      </w:pPr>
    </w:p>
    <w:p w14:paraId="53395F69" w14:textId="77777777" w:rsidR="009F5B17" w:rsidRPr="00C56A24" w:rsidRDefault="001103CE" w:rsidP="002774E1">
      <w:pPr>
        <w:tabs>
          <w:tab w:val="left" w:pos="567"/>
        </w:tabs>
        <w:ind w:firstLine="851"/>
        <w:jc w:val="both"/>
        <w:rPr>
          <w:b/>
          <w:bCs/>
          <w:i/>
          <w:sz w:val="24"/>
          <w:szCs w:val="24"/>
          <w:lang w:val="lt-LT"/>
        </w:rPr>
      </w:pPr>
      <w:r w:rsidRPr="00C56A24">
        <w:rPr>
          <w:b/>
          <w:bCs/>
          <w:sz w:val="24"/>
          <w:szCs w:val="24"/>
          <w:lang w:val="lt-LT"/>
        </w:rPr>
        <w:t>13</w:t>
      </w:r>
      <w:r w:rsidR="009F5B17" w:rsidRPr="00C56A24">
        <w:rPr>
          <w:b/>
          <w:bCs/>
          <w:sz w:val="24"/>
          <w:szCs w:val="24"/>
          <w:lang w:val="lt-LT"/>
        </w:rPr>
        <w:t xml:space="preserve">. </w:t>
      </w:r>
      <w:r w:rsidR="00443B63" w:rsidRPr="00C56A24">
        <w:rPr>
          <w:b/>
          <w:bCs/>
          <w:sz w:val="24"/>
          <w:szCs w:val="24"/>
          <w:lang w:val="lt-LT"/>
        </w:rPr>
        <w:t>Rengiant į</w:t>
      </w:r>
      <w:r w:rsidRPr="00C56A24">
        <w:rPr>
          <w:b/>
          <w:bCs/>
          <w:sz w:val="24"/>
          <w:szCs w:val="24"/>
          <w:lang w:val="lt-LT"/>
        </w:rPr>
        <w:t xml:space="preserve">statymo </w:t>
      </w:r>
      <w:r w:rsidR="00443B63" w:rsidRPr="00C56A24">
        <w:rPr>
          <w:b/>
          <w:bCs/>
          <w:sz w:val="24"/>
          <w:szCs w:val="24"/>
          <w:lang w:val="lt-LT"/>
        </w:rPr>
        <w:t xml:space="preserve">projektą </w:t>
      </w:r>
      <w:r w:rsidR="009F5B17" w:rsidRPr="00C56A24">
        <w:rPr>
          <w:b/>
          <w:bCs/>
          <w:sz w:val="24"/>
          <w:szCs w:val="24"/>
          <w:lang w:val="lt-LT"/>
        </w:rPr>
        <w:t>gauti specialistų vertinimai ir išvados</w:t>
      </w:r>
      <w:r w:rsidR="009F5B17" w:rsidRPr="00C56A24">
        <w:rPr>
          <w:b/>
          <w:bCs/>
          <w:i/>
          <w:sz w:val="24"/>
          <w:szCs w:val="24"/>
          <w:lang w:val="lt-LT"/>
        </w:rPr>
        <w:t xml:space="preserve"> </w:t>
      </w:r>
    </w:p>
    <w:p w14:paraId="5B0E274B" w14:textId="77777777" w:rsidR="009F5B17" w:rsidRPr="00C56A24" w:rsidRDefault="009F5B17" w:rsidP="002774E1">
      <w:pPr>
        <w:tabs>
          <w:tab w:val="left" w:pos="567"/>
        </w:tabs>
        <w:ind w:firstLine="851"/>
        <w:jc w:val="both"/>
        <w:rPr>
          <w:bCs/>
          <w:sz w:val="24"/>
          <w:szCs w:val="24"/>
          <w:lang w:val="lt-LT"/>
        </w:rPr>
      </w:pPr>
      <w:r w:rsidRPr="00C56A24">
        <w:rPr>
          <w:bCs/>
          <w:sz w:val="24"/>
          <w:szCs w:val="24"/>
          <w:lang w:val="lt-LT"/>
        </w:rPr>
        <w:t>Rengiant įstatymo projektą</w:t>
      </w:r>
      <w:r w:rsidR="006614EB" w:rsidRPr="00C56A24">
        <w:rPr>
          <w:bCs/>
          <w:sz w:val="24"/>
          <w:szCs w:val="24"/>
          <w:lang w:val="lt-LT"/>
        </w:rPr>
        <w:t>,</w:t>
      </w:r>
      <w:r w:rsidRPr="00C56A24">
        <w:rPr>
          <w:bCs/>
          <w:sz w:val="24"/>
          <w:szCs w:val="24"/>
          <w:lang w:val="lt-LT"/>
        </w:rPr>
        <w:t xml:space="preserve"> specialistų išvadų ir vertinimų negauta.</w:t>
      </w:r>
    </w:p>
    <w:p w14:paraId="49065484" w14:textId="77777777" w:rsidR="009F5B17" w:rsidRPr="00C56A24" w:rsidRDefault="009F5B17" w:rsidP="002774E1">
      <w:pPr>
        <w:tabs>
          <w:tab w:val="left" w:pos="567"/>
        </w:tabs>
        <w:ind w:firstLine="851"/>
        <w:jc w:val="both"/>
        <w:rPr>
          <w:bCs/>
          <w:sz w:val="24"/>
          <w:szCs w:val="24"/>
          <w:lang w:val="lt-LT"/>
        </w:rPr>
      </w:pPr>
    </w:p>
    <w:p w14:paraId="12E537DA" w14:textId="77777777" w:rsidR="009F5B17" w:rsidRPr="00C56A24" w:rsidRDefault="009F5B17" w:rsidP="002774E1">
      <w:pPr>
        <w:pStyle w:val="Pagrindinistekstas"/>
        <w:tabs>
          <w:tab w:val="left" w:pos="644"/>
        </w:tabs>
        <w:ind w:firstLine="851"/>
        <w:rPr>
          <w:b/>
          <w:bCs/>
        </w:rPr>
      </w:pPr>
      <w:r w:rsidRPr="00C56A24">
        <w:rPr>
          <w:b/>
          <w:bCs/>
        </w:rPr>
        <w:t>14. Įstatymo projekto reikšminiai žodžiai</w:t>
      </w:r>
      <w:r w:rsidR="00910970" w:rsidRPr="00C56A24">
        <w:rPr>
          <w:b/>
          <w:bCs/>
        </w:rPr>
        <w:t>,</w:t>
      </w:r>
      <w:r w:rsidR="00D64E55" w:rsidRPr="00C56A24">
        <w:rPr>
          <w:bCs/>
        </w:rPr>
        <w:t xml:space="preserve"> </w:t>
      </w:r>
      <w:r w:rsidR="00A93FF6" w:rsidRPr="00C56A24">
        <w:rPr>
          <w:b/>
          <w:bCs/>
        </w:rPr>
        <w:t xml:space="preserve">kurių </w:t>
      </w:r>
      <w:r w:rsidR="00D64E55" w:rsidRPr="00C56A24">
        <w:rPr>
          <w:b/>
          <w:bCs/>
        </w:rPr>
        <w:t>reik</w:t>
      </w:r>
      <w:r w:rsidR="00A93FF6" w:rsidRPr="00C56A24">
        <w:rPr>
          <w:b/>
          <w:bCs/>
        </w:rPr>
        <w:t>ia</w:t>
      </w:r>
      <w:r w:rsidR="001C1061" w:rsidRPr="00C56A24">
        <w:rPr>
          <w:b/>
          <w:bCs/>
        </w:rPr>
        <w:t xml:space="preserve"> įstatymo </w:t>
      </w:r>
      <w:r w:rsidR="00D64E55" w:rsidRPr="00C56A24">
        <w:rPr>
          <w:b/>
          <w:bCs/>
        </w:rPr>
        <w:t>projekt</w:t>
      </w:r>
      <w:r w:rsidR="001C1061" w:rsidRPr="00C56A24">
        <w:rPr>
          <w:b/>
          <w:bCs/>
        </w:rPr>
        <w:t>ui</w:t>
      </w:r>
      <w:r w:rsidR="00D64E55" w:rsidRPr="00C56A24">
        <w:rPr>
          <w:b/>
          <w:bCs/>
        </w:rPr>
        <w:t xml:space="preserve"> įtraukt</w:t>
      </w:r>
      <w:r w:rsidR="001C1061" w:rsidRPr="00C56A24">
        <w:rPr>
          <w:b/>
          <w:bCs/>
        </w:rPr>
        <w:t>i</w:t>
      </w:r>
      <w:r w:rsidR="00D64E55" w:rsidRPr="00C56A24">
        <w:rPr>
          <w:b/>
          <w:bCs/>
        </w:rPr>
        <w:t xml:space="preserve"> į kompiuterinės paieškos sistemą, įskaitant Europos žodyno ,,</w:t>
      </w:r>
      <w:proofErr w:type="spellStart"/>
      <w:r w:rsidR="00D64E55" w:rsidRPr="00C56A24">
        <w:rPr>
          <w:b/>
          <w:bCs/>
        </w:rPr>
        <w:t>Eurovoc</w:t>
      </w:r>
      <w:proofErr w:type="spellEnd"/>
      <w:r w:rsidR="00B46085" w:rsidRPr="00C56A24">
        <w:rPr>
          <w:b/>
          <w:bCs/>
        </w:rPr>
        <w:t>“ terminus, temas bei sritis</w:t>
      </w:r>
    </w:p>
    <w:p w14:paraId="7E9C6F3F" w14:textId="77777777" w:rsidR="001103CE" w:rsidRPr="00C56A24" w:rsidRDefault="009F5B17" w:rsidP="002774E1">
      <w:pPr>
        <w:pStyle w:val="Pagrindinistekstas"/>
        <w:tabs>
          <w:tab w:val="left" w:pos="644"/>
        </w:tabs>
        <w:ind w:firstLine="851"/>
      </w:pPr>
      <w:r w:rsidRPr="00C56A24">
        <w:rPr>
          <w:bCs/>
        </w:rPr>
        <w:t xml:space="preserve">Reikšminiai žodžiai yra </w:t>
      </w:r>
      <w:r w:rsidR="006F7C31" w:rsidRPr="00C56A24">
        <w:rPr>
          <w:bCs/>
        </w:rPr>
        <w:t xml:space="preserve">„pareiginės algos bazinis dydis“, </w:t>
      </w:r>
      <w:r w:rsidR="001C1061" w:rsidRPr="00C56A24">
        <w:rPr>
          <w:bCs/>
        </w:rPr>
        <w:t>„</w:t>
      </w:r>
      <w:r w:rsidRPr="00C56A24">
        <w:rPr>
          <w:bCs/>
        </w:rPr>
        <w:t>valstybės tarnautojas</w:t>
      </w:r>
      <w:r w:rsidRPr="00C56A24">
        <w:t>“, „valstybės pareigūnas“</w:t>
      </w:r>
      <w:r w:rsidR="009F611C" w:rsidRPr="00C56A24">
        <w:t xml:space="preserve">, </w:t>
      </w:r>
      <w:r w:rsidR="001D2938" w:rsidRPr="00C56A24">
        <w:t>„</w:t>
      </w:r>
      <w:r w:rsidR="009F611C" w:rsidRPr="00C56A24">
        <w:t>darbuotojas</w:t>
      </w:r>
      <w:r w:rsidR="001D2938" w:rsidRPr="00C56A24">
        <w:t>“</w:t>
      </w:r>
      <w:r w:rsidR="00254285" w:rsidRPr="00C56A24">
        <w:t>.</w:t>
      </w:r>
    </w:p>
    <w:p w14:paraId="5264C7E9" w14:textId="77777777" w:rsidR="00A814E7" w:rsidRPr="00C56A24" w:rsidRDefault="00A814E7" w:rsidP="002774E1">
      <w:pPr>
        <w:pStyle w:val="Pagrindinistekstas"/>
        <w:tabs>
          <w:tab w:val="left" w:pos="644"/>
        </w:tabs>
        <w:ind w:firstLine="851"/>
      </w:pPr>
    </w:p>
    <w:p w14:paraId="7F561194" w14:textId="77777777" w:rsidR="001103CE" w:rsidRPr="00C56A24" w:rsidRDefault="001103CE" w:rsidP="002774E1">
      <w:pPr>
        <w:pStyle w:val="Pagrindinistekstas"/>
        <w:tabs>
          <w:tab w:val="left" w:pos="644"/>
        </w:tabs>
        <w:ind w:firstLine="851"/>
        <w:rPr>
          <w:b/>
        </w:rPr>
      </w:pPr>
      <w:r w:rsidRPr="00C56A24">
        <w:rPr>
          <w:b/>
        </w:rPr>
        <w:t>15.</w:t>
      </w:r>
      <w:r w:rsidRPr="00C56A24">
        <w:t xml:space="preserve"> </w:t>
      </w:r>
      <w:r w:rsidRPr="00C56A24">
        <w:rPr>
          <w:b/>
        </w:rPr>
        <w:t>Kiti, iniciatorių nuomone, reikalingi pagrindimai ir paaiškinimai</w:t>
      </w:r>
    </w:p>
    <w:p w14:paraId="23ED561A" w14:textId="77777777" w:rsidR="00A1503A" w:rsidRPr="00C56A24" w:rsidRDefault="001103CE" w:rsidP="002774E1">
      <w:pPr>
        <w:ind w:firstLine="851"/>
        <w:rPr>
          <w:sz w:val="24"/>
          <w:szCs w:val="24"/>
          <w:lang w:val="lt-LT"/>
        </w:rPr>
      </w:pPr>
      <w:r w:rsidRPr="00C56A24">
        <w:rPr>
          <w:sz w:val="24"/>
          <w:szCs w:val="24"/>
          <w:lang w:val="lt-LT"/>
        </w:rPr>
        <w:t>Nėra.</w:t>
      </w:r>
    </w:p>
    <w:sectPr w:rsidR="00A1503A" w:rsidRPr="00C56A24" w:rsidSect="0018426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5" w:right="567" w:bottom="993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F1E12" w14:textId="77777777" w:rsidR="00375D70" w:rsidRDefault="00375D70" w:rsidP="00F71372">
      <w:r>
        <w:separator/>
      </w:r>
    </w:p>
  </w:endnote>
  <w:endnote w:type="continuationSeparator" w:id="0">
    <w:p w14:paraId="68979D98" w14:textId="77777777" w:rsidR="00375D70" w:rsidRDefault="00375D70" w:rsidP="00F7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8E5EE" w14:textId="77777777" w:rsidR="00604FEB" w:rsidRDefault="00B060EE" w:rsidP="00F47B5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04FE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59AC03" w14:textId="77777777" w:rsidR="00604FEB" w:rsidRDefault="00604FEB" w:rsidP="00F47B5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574E4" w14:textId="77777777" w:rsidR="00604FEB" w:rsidRDefault="00604FEB" w:rsidP="00BF528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FDDC3" w14:textId="77777777" w:rsidR="00375D70" w:rsidRDefault="00375D70" w:rsidP="00F71372">
      <w:r>
        <w:separator/>
      </w:r>
    </w:p>
  </w:footnote>
  <w:footnote w:type="continuationSeparator" w:id="0">
    <w:p w14:paraId="68BB5BA0" w14:textId="77777777" w:rsidR="00375D70" w:rsidRDefault="00375D70" w:rsidP="00F71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F4D0" w14:textId="77777777" w:rsidR="00604FEB" w:rsidRDefault="00B060EE" w:rsidP="00FC37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4FE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5ED4DC" w14:textId="77777777" w:rsidR="00604FEB" w:rsidRDefault="00604FE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C6234" w14:textId="77777777" w:rsidR="00604FEB" w:rsidRDefault="00B060EE" w:rsidP="00FC37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4FE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3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70221B" w14:textId="77777777" w:rsidR="00604FEB" w:rsidRDefault="00604FE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51D6"/>
    <w:multiLevelType w:val="hybridMultilevel"/>
    <w:tmpl w:val="3B188E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3557D"/>
    <w:multiLevelType w:val="hybridMultilevel"/>
    <w:tmpl w:val="9FC8436C"/>
    <w:lvl w:ilvl="0" w:tplc="58FC284E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3546028"/>
    <w:multiLevelType w:val="hybridMultilevel"/>
    <w:tmpl w:val="AE463566"/>
    <w:lvl w:ilvl="0" w:tplc="00480C92">
      <w:start w:val="12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9FE7A0C"/>
    <w:multiLevelType w:val="multilevel"/>
    <w:tmpl w:val="FA1837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CC"/>
    <w:rsid w:val="00002B21"/>
    <w:rsid w:val="00002CED"/>
    <w:rsid w:val="000069E7"/>
    <w:rsid w:val="00015FA1"/>
    <w:rsid w:val="00016C2F"/>
    <w:rsid w:val="00020508"/>
    <w:rsid w:val="00023BFF"/>
    <w:rsid w:val="000255EF"/>
    <w:rsid w:val="000257D6"/>
    <w:rsid w:val="00026750"/>
    <w:rsid w:val="0002724C"/>
    <w:rsid w:val="000316C2"/>
    <w:rsid w:val="000325BE"/>
    <w:rsid w:val="000362A3"/>
    <w:rsid w:val="000401EB"/>
    <w:rsid w:val="000441A0"/>
    <w:rsid w:val="0004433F"/>
    <w:rsid w:val="000448F2"/>
    <w:rsid w:val="00045227"/>
    <w:rsid w:val="00056009"/>
    <w:rsid w:val="00060D1F"/>
    <w:rsid w:val="00061310"/>
    <w:rsid w:val="00062CB3"/>
    <w:rsid w:val="000639C6"/>
    <w:rsid w:val="00063A48"/>
    <w:rsid w:val="000641A2"/>
    <w:rsid w:val="00064EB3"/>
    <w:rsid w:val="00065C21"/>
    <w:rsid w:val="000676DB"/>
    <w:rsid w:val="0007024A"/>
    <w:rsid w:val="000709AE"/>
    <w:rsid w:val="00073463"/>
    <w:rsid w:val="000763D1"/>
    <w:rsid w:val="000767ED"/>
    <w:rsid w:val="00077235"/>
    <w:rsid w:val="000804AF"/>
    <w:rsid w:val="0008191D"/>
    <w:rsid w:val="0008193A"/>
    <w:rsid w:val="00081E0E"/>
    <w:rsid w:val="00085BCF"/>
    <w:rsid w:val="00097000"/>
    <w:rsid w:val="000979AB"/>
    <w:rsid w:val="00097F9C"/>
    <w:rsid w:val="000A74E2"/>
    <w:rsid w:val="000B2688"/>
    <w:rsid w:val="000B52E7"/>
    <w:rsid w:val="000B5D29"/>
    <w:rsid w:val="000B68B9"/>
    <w:rsid w:val="000B7071"/>
    <w:rsid w:val="000C1418"/>
    <w:rsid w:val="000C1689"/>
    <w:rsid w:val="000C322A"/>
    <w:rsid w:val="000C5AA9"/>
    <w:rsid w:val="000D0227"/>
    <w:rsid w:val="000D198A"/>
    <w:rsid w:val="000D29F3"/>
    <w:rsid w:val="000D3A33"/>
    <w:rsid w:val="000D401C"/>
    <w:rsid w:val="000D4175"/>
    <w:rsid w:val="000D55DE"/>
    <w:rsid w:val="000E6B5B"/>
    <w:rsid w:val="000E6DCF"/>
    <w:rsid w:val="000E7BE7"/>
    <w:rsid w:val="000F0602"/>
    <w:rsid w:val="000F0F15"/>
    <w:rsid w:val="000F1452"/>
    <w:rsid w:val="000F3505"/>
    <w:rsid w:val="000F5710"/>
    <w:rsid w:val="000F5BAD"/>
    <w:rsid w:val="000F71BB"/>
    <w:rsid w:val="000F73C5"/>
    <w:rsid w:val="000F7465"/>
    <w:rsid w:val="00100907"/>
    <w:rsid w:val="00101158"/>
    <w:rsid w:val="001015CB"/>
    <w:rsid w:val="00101963"/>
    <w:rsid w:val="001025DC"/>
    <w:rsid w:val="001045BF"/>
    <w:rsid w:val="001103CE"/>
    <w:rsid w:val="001113C1"/>
    <w:rsid w:val="00112455"/>
    <w:rsid w:val="001133C4"/>
    <w:rsid w:val="0011647B"/>
    <w:rsid w:val="00121491"/>
    <w:rsid w:val="00122158"/>
    <w:rsid w:val="0012227D"/>
    <w:rsid w:val="001246A8"/>
    <w:rsid w:val="00131745"/>
    <w:rsid w:val="00133F20"/>
    <w:rsid w:val="00135169"/>
    <w:rsid w:val="0014080D"/>
    <w:rsid w:val="00140D51"/>
    <w:rsid w:val="00141F33"/>
    <w:rsid w:val="00144F85"/>
    <w:rsid w:val="001463B9"/>
    <w:rsid w:val="00150521"/>
    <w:rsid w:val="00153DD0"/>
    <w:rsid w:val="00154264"/>
    <w:rsid w:val="00154DC2"/>
    <w:rsid w:val="00156E01"/>
    <w:rsid w:val="00161D57"/>
    <w:rsid w:val="00162832"/>
    <w:rsid w:val="00162861"/>
    <w:rsid w:val="00162DA6"/>
    <w:rsid w:val="001637A0"/>
    <w:rsid w:val="00165243"/>
    <w:rsid w:val="00166BFE"/>
    <w:rsid w:val="00167A3F"/>
    <w:rsid w:val="0017077C"/>
    <w:rsid w:val="00171AC1"/>
    <w:rsid w:val="00172989"/>
    <w:rsid w:val="00173FCE"/>
    <w:rsid w:val="00175A51"/>
    <w:rsid w:val="00175C4E"/>
    <w:rsid w:val="00175FCA"/>
    <w:rsid w:val="00182E7A"/>
    <w:rsid w:val="00184269"/>
    <w:rsid w:val="00192F63"/>
    <w:rsid w:val="00193249"/>
    <w:rsid w:val="00194378"/>
    <w:rsid w:val="001974CD"/>
    <w:rsid w:val="001A13CA"/>
    <w:rsid w:val="001A148B"/>
    <w:rsid w:val="001A6FB3"/>
    <w:rsid w:val="001B1112"/>
    <w:rsid w:val="001B111B"/>
    <w:rsid w:val="001B18CA"/>
    <w:rsid w:val="001B1ED9"/>
    <w:rsid w:val="001B4ABA"/>
    <w:rsid w:val="001B52EA"/>
    <w:rsid w:val="001B709C"/>
    <w:rsid w:val="001B7ADF"/>
    <w:rsid w:val="001C042A"/>
    <w:rsid w:val="001C1061"/>
    <w:rsid w:val="001C1DC3"/>
    <w:rsid w:val="001C24F4"/>
    <w:rsid w:val="001C6783"/>
    <w:rsid w:val="001C7914"/>
    <w:rsid w:val="001D06A8"/>
    <w:rsid w:val="001D116A"/>
    <w:rsid w:val="001D26C8"/>
    <w:rsid w:val="001D2938"/>
    <w:rsid w:val="001D600F"/>
    <w:rsid w:val="001D7B58"/>
    <w:rsid w:val="001E0DD4"/>
    <w:rsid w:val="001E142F"/>
    <w:rsid w:val="001E1D82"/>
    <w:rsid w:val="001E4584"/>
    <w:rsid w:val="001F1DC0"/>
    <w:rsid w:val="001F2559"/>
    <w:rsid w:val="001F3889"/>
    <w:rsid w:val="001F7EAB"/>
    <w:rsid w:val="00200792"/>
    <w:rsid w:val="00200997"/>
    <w:rsid w:val="00201BEF"/>
    <w:rsid w:val="002044CC"/>
    <w:rsid w:val="00204A9F"/>
    <w:rsid w:val="00207DF7"/>
    <w:rsid w:val="00212B3E"/>
    <w:rsid w:val="002160B0"/>
    <w:rsid w:val="00220117"/>
    <w:rsid w:val="00221424"/>
    <w:rsid w:val="002222CA"/>
    <w:rsid w:val="0022394C"/>
    <w:rsid w:val="0022407F"/>
    <w:rsid w:val="0022529C"/>
    <w:rsid w:val="002273AD"/>
    <w:rsid w:val="00230061"/>
    <w:rsid w:val="0023279C"/>
    <w:rsid w:val="002350F8"/>
    <w:rsid w:val="002351A9"/>
    <w:rsid w:val="00237110"/>
    <w:rsid w:val="0024192E"/>
    <w:rsid w:val="00244072"/>
    <w:rsid w:val="00244202"/>
    <w:rsid w:val="00251E5E"/>
    <w:rsid w:val="00252075"/>
    <w:rsid w:val="002524CB"/>
    <w:rsid w:val="00252809"/>
    <w:rsid w:val="00254285"/>
    <w:rsid w:val="00261C00"/>
    <w:rsid w:val="00262145"/>
    <w:rsid w:val="00262CB2"/>
    <w:rsid w:val="00264FF8"/>
    <w:rsid w:val="0026602D"/>
    <w:rsid w:val="00273560"/>
    <w:rsid w:val="002746DB"/>
    <w:rsid w:val="00275027"/>
    <w:rsid w:val="002763F9"/>
    <w:rsid w:val="00276445"/>
    <w:rsid w:val="002774E1"/>
    <w:rsid w:val="0027768E"/>
    <w:rsid w:val="002777D6"/>
    <w:rsid w:val="00280243"/>
    <w:rsid w:val="0028575F"/>
    <w:rsid w:val="00286B03"/>
    <w:rsid w:val="00287606"/>
    <w:rsid w:val="00287EC3"/>
    <w:rsid w:val="00290AD8"/>
    <w:rsid w:val="00290C6A"/>
    <w:rsid w:val="00292774"/>
    <w:rsid w:val="002936B8"/>
    <w:rsid w:val="00294E80"/>
    <w:rsid w:val="002A7650"/>
    <w:rsid w:val="002B698C"/>
    <w:rsid w:val="002C215E"/>
    <w:rsid w:val="002C3B73"/>
    <w:rsid w:val="002C4351"/>
    <w:rsid w:val="002C47C0"/>
    <w:rsid w:val="002C533C"/>
    <w:rsid w:val="002C6743"/>
    <w:rsid w:val="002D1BD3"/>
    <w:rsid w:val="002D2A0D"/>
    <w:rsid w:val="002D2D03"/>
    <w:rsid w:val="002D5849"/>
    <w:rsid w:val="002D743B"/>
    <w:rsid w:val="002D7A5E"/>
    <w:rsid w:val="002E253F"/>
    <w:rsid w:val="002E45AA"/>
    <w:rsid w:val="002E65B9"/>
    <w:rsid w:val="002E6900"/>
    <w:rsid w:val="002F306A"/>
    <w:rsid w:val="002F5BE0"/>
    <w:rsid w:val="0030743C"/>
    <w:rsid w:val="003114B8"/>
    <w:rsid w:val="00311EE0"/>
    <w:rsid w:val="003200C8"/>
    <w:rsid w:val="003210A6"/>
    <w:rsid w:val="00321279"/>
    <w:rsid w:val="00323DF1"/>
    <w:rsid w:val="003249F1"/>
    <w:rsid w:val="0032689E"/>
    <w:rsid w:val="003271EA"/>
    <w:rsid w:val="00330353"/>
    <w:rsid w:val="0033254A"/>
    <w:rsid w:val="0033443D"/>
    <w:rsid w:val="00334665"/>
    <w:rsid w:val="00335831"/>
    <w:rsid w:val="0033658B"/>
    <w:rsid w:val="00341511"/>
    <w:rsid w:val="00346359"/>
    <w:rsid w:val="00353F23"/>
    <w:rsid w:val="00356803"/>
    <w:rsid w:val="00363090"/>
    <w:rsid w:val="00363A9F"/>
    <w:rsid w:val="0036402C"/>
    <w:rsid w:val="0036409E"/>
    <w:rsid w:val="00364D4E"/>
    <w:rsid w:val="00366559"/>
    <w:rsid w:val="0036656B"/>
    <w:rsid w:val="0036740D"/>
    <w:rsid w:val="00370ACD"/>
    <w:rsid w:val="003719A3"/>
    <w:rsid w:val="003745AC"/>
    <w:rsid w:val="00375D70"/>
    <w:rsid w:val="003800AE"/>
    <w:rsid w:val="003810CB"/>
    <w:rsid w:val="00381E57"/>
    <w:rsid w:val="003835E2"/>
    <w:rsid w:val="00384C01"/>
    <w:rsid w:val="00391625"/>
    <w:rsid w:val="003923CA"/>
    <w:rsid w:val="003929E4"/>
    <w:rsid w:val="00395885"/>
    <w:rsid w:val="00395AB1"/>
    <w:rsid w:val="003A6503"/>
    <w:rsid w:val="003C6BEB"/>
    <w:rsid w:val="003D3500"/>
    <w:rsid w:val="003D3C6D"/>
    <w:rsid w:val="003D4F0E"/>
    <w:rsid w:val="003E5C47"/>
    <w:rsid w:val="003E5EAD"/>
    <w:rsid w:val="003E7143"/>
    <w:rsid w:val="003F0875"/>
    <w:rsid w:val="003F1064"/>
    <w:rsid w:val="003F1183"/>
    <w:rsid w:val="003F23BC"/>
    <w:rsid w:val="003F2FE4"/>
    <w:rsid w:val="003F52C5"/>
    <w:rsid w:val="003F7383"/>
    <w:rsid w:val="003F7A3B"/>
    <w:rsid w:val="00400094"/>
    <w:rsid w:val="004004C8"/>
    <w:rsid w:val="0040318D"/>
    <w:rsid w:val="00403F5B"/>
    <w:rsid w:val="00404A77"/>
    <w:rsid w:val="00406298"/>
    <w:rsid w:val="004070F1"/>
    <w:rsid w:val="004114EA"/>
    <w:rsid w:val="00411A94"/>
    <w:rsid w:val="00415A63"/>
    <w:rsid w:val="00415F28"/>
    <w:rsid w:val="00417E7B"/>
    <w:rsid w:val="0042179B"/>
    <w:rsid w:val="00423C54"/>
    <w:rsid w:val="0042656F"/>
    <w:rsid w:val="004268EC"/>
    <w:rsid w:val="00427172"/>
    <w:rsid w:val="00430344"/>
    <w:rsid w:val="004309DF"/>
    <w:rsid w:val="00433691"/>
    <w:rsid w:val="00433C02"/>
    <w:rsid w:val="00441229"/>
    <w:rsid w:val="004416BB"/>
    <w:rsid w:val="00443B63"/>
    <w:rsid w:val="00446B8D"/>
    <w:rsid w:val="00447BA7"/>
    <w:rsid w:val="004511A0"/>
    <w:rsid w:val="00455BB0"/>
    <w:rsid w:val="004641EF"/>
    <w:rsid w:val="0046443C"/>
    <w:rsid w:val="00465B26"/>
    <w:rsid w:val="00467863"/>
    <w:rsid w:val="00470BCF"/>
    <w:rsid w:val="00471611"/>
    <w:rsid w:val="004738AC"/>
    <w:rsid w:val="00473A76"/>
    <w:rsid w:val="004751AC"/>
    <w:rsid w:val="00475679"/>
    <w:rsid w:val="00477052"/>
    <w:rsid w:val="0048660A"/>
    <w:rsid w:val="004A3477"/>
    <w:rsid w:val="004A51A4"/>
    <w:rsid w:val="004A6386"/>
    <w:rsid w:val="004A6DEF"/>
    <w:rsid w:val="004B1DA1"/>
    <w:rsid w:val="004B29B4"/>
    <w:rsid w:val="004B5E3D"/>
    <w:rsid w:val="004B6034"/>
    <w:rsid w:val="004C0703"/>
    <w:rsid w:val="004C2696"/>
    <w:rsid w:val="004C2B03"/>
    <w:rsid w:val="004C36B8"/>
    <w:rsid w:val="004C4419"/>
    <w:rsid w:val="004D1F64"/>
    <w:rsid w:val="004D4168"/>
    <w:rsid w:val="004D46FD"/>
    <w:rsid w:val="004D59F2"/>
    <w:rsid w:val="004E1110"/>
    <w:rsid w:val="004E3AF3"/>
    <w:rsid w:val="004E4B44"/>
    <w:rsid w:val="004E63FB"/>
    <w:rsid w:val="004E6C16"/>
    <w:rsid w:val="004E72D2"/>
    <w:rsid w:val="004F16D4"/>
    <w:rsid w:val="004F5EC8"/>
    <w:rsid w:val="004F683C"/>
    <w:rsid w:val="004F761F"/>
    <w:rsid w:val="0050155A"/>
    <w:rsid w:val="00502545"/>
    <w:rsid w:val="00503E1D"/>
    <w:rsid w:val="00504B1E"/>
    <w:rsid w:val="005070F8"/>
    <w:rsid w:val="00507233"/>
    <w:rsid w:val="00510471"/>
    <w:rsid w:val="00513297"/>
    <w:rsid w:val="00515320"/>
    <w:rsid w:val="00517377"/>
    <w:rsid w:val="00517D6F"/>
    <w:rsid w:val="00520AF3"/>
    <w:rsid w:val="00523688"/>
    <w:rsid w:val="0052415E"/>
    <w:rsid w:val="00525E38"/>
    <w:rsid w:val="005268E3"/>
    <w:rsid w:val="00531392"/>
    <w:rsid w:val="005348AB"/>
    <w:rsid w:val="005355B5"/>
    <w:rsid w:val="0054267A"/>
    <w:rsid w:val="005444F9"/>
    <w:rsid w:val="005451EA"/>
    <w:rsid w:val="00546F7E"/>
    <w:rsid w:val="00547913"/>
    <w:rsid w:val="00550D48"/>
    <w:rsid w:val="005525A6"/>
    <w:rsid w:val="00554E62"/>
    <w:rsid w:val="00554EE4"/>
    <w:rsid w:val="00556F20"/>
    <w:rsid w:val="00564342"/>
    <w:rsid w:val="00564815"/>
    <w:rsid w:val="0056574F"/>
    <w:rsid w:val="005700B4"/>
    <w:rsid w:val="00572E23"/>
    <w:rsid w:val="005779A9"/>
    <w:rsid w:val="0058102B"/>
    <w:rsid w:val="00581B26"/>
    <w:rsid w:val="00582A87"/>
    <w:rsid w:val="00586278"/>
    <w:rsid w:val="0059130B"/>
    <w:rsid w:val="00593B65"/>
    <w:rsid w:val="005A233C"/>
    <w:rsid w:val="005A5678"/>
    <w:rsid w:val="005A5BC7"/>
    <w:rsid w:val="005B1CF1"/>
    <w:rsid w:val="005B2D45"/>
    <w:rsid w:val="005B40A8"/>
    <w:rsid w:val="005B58C9"/>
    <w:rsid w:val="005B5A7E"/>
    <w:rsid w:val="005C0191"/>
    <w:rsid w:val="005C0B4E"/>
    <w:rsid w:val="005C3356"/>
    <w:rsid w:val="005C5F90"/>
    <w:rsid w:val="005D1247"/>
    <w:rsid w:val="005E036F"/>
    <w:rsid w:val="005E0403"/>
    <w:rsid w:val="005E6BAC"/>
    <w:rsid w:val="005E7433"/>
    <w:rsid w:val="005E7D65"/>
    <w:rsid w:val="005F1288"/>
    <w:rsid w:val="005F19A6"/>
    <w:rsid w:val="005F1ED5"/>
    <w:rsid w:val="005F2624"/>
    <w:rsid w:val="005F317A"/>
    <w:rsid w:val="005F4266"/>
    <w:rsid w:val="005F521E"/>
    <w:rsid w:val="005F5D7B"/>
    <w:rsid w:val="005F6451"/>
    <w:rsid w:val="005F6985"/>
    <w:rsid w:val="00601314"/>
    <w:rsid w:val="00601AB9"/>
    <w:rsid w:val="006046BE"/>
    <w:rsid w:val="00604FEB"/>
    <w:rsid w:val="00605B64"/>
    <w:rsid w:val="00607E23"/>
    <w:rsid w:val="006104B1"/>
    <w:rsid w:val="006111F2"/>
    <w:rsid w:val="00612931"/>
    <w:rsid w:val="00612B31"/>
    <w:rsid w:val="00614805"/>
    <w:rsid w:val="00616B38"/>
    <w:rsid w:val="00623159"/>
    <w:rsid w:val="006239EC"/>
    <w:rsid w:val="00626FDF"/>
    <w:rsid w:val="006270AF"/>
    <w:rsid w:val="006341A9"/>
    <w:rsid w:val="00634A02"/>
    <w:rsid w:val="006407E8"/>
    <w:rsid w:val="00643359"/>
    <w:rsid w:val="00645525"/>
    <w:rsid w:val="00646032"/>
    <w:rsid w:val="006469BF"/>
    <w:rsid w:val="00646C52"/>
    <w:rsid w:val="0065044C"/>
    <w:rsid w:val="006523BE"/>
    <w:rsid w:val="00655BBF"/>
    <w:rsid w:val="0066042C"/>
    <w:rsid w:val="00660789"/>
    <w:rsid w:val="006614EB"/>
    <w:rsid w:val="006706E3"/>
    <w:rsid w:val="0067091E"/>
    <w:rsid w:val="00672EE2"/>
    <w:rsid w:val="00675E20"/>
    <w:rsid w:val="006817B6"/>
    <w:rsid w:val="00687F88"/>
    <w:rsid w:val="00695451"/>
    <w:rsid w:val="006957EF"/>
    <w:rsid w:val="006A7BB4"/>
    <w:rsid w:val="006B1E32"/>
    <w:rsid w:val="006B36C7"/>
    <w:rsid w:val="006C05C9"/>
    <w:rsid w:val="006C13BC"/>
    <w:rsid w:val="006C17E5"/>
    <w:rsid w:val="006C3F6F"/>
    <w:rsid w:val="006C5199"/>
    <w:rsid w:val="006C5E7F"/>
    <w:rsid w:val="006C62C1"/>
    <w:rsid w:val="006D4BC2"/>
    <w:rsid w:val="006D5584"/>
    <w:rsid w:val="006D60D0"/>
    <w:rsid w:val="006D6804"/>
    <w:rsid w:val="006D6CDC"/>
    <w:rsid w:val="006D7779"/>
    <w:rsid w:val="006E28E6"/>
    <w:rsid w:val="006E2A3F"/>
    <w:rsid w:val="006E35C4"/>
    <w:rsid w:val="006E571A"/>
    <w:rsid w:val="006F4C64"/>
    <w:rsid w:val="006F5353"/>
    <w:rsid w:val="006F6F5A"/>
    <w:rsid w:val="006F7C31"/>
    <w:rsid w:val="006F7ED3"/>
    <w:rsid w:val="00707D9E"/>
    <w:rsid w:val="00710B71"/>
    <w:rsid w:val="007151D8"/>
    <w:rsid w:val="0071648C"/>
    <w:rsid w:val="00721B50"/>
    <w:rsid w:val="007245C4"/>
    <w:rsid w:val="00725186"/>
    <w:rsid w:val="0072572E"/>
    <w:rsid w:val="00725CE9"/>
    <w:rsid w:val="007261D6"/>
    <w:rsid w:val="00733B11"/>
    <w:rsid w:val="00737CF6"/>
    <w:rsid w:val="00740FC9"/>
    <w:rsid w:val="00744899"/>
    <w:rsid w:val="00746759"/>
    <w:rsid w:val="00753994"/>
    <w:rsid w:val="007554C9"/>
    <w:rsid w:val="0075566E"/>
    <w:rsid w:val="00755EDE"/>
    <w:rsid w:val="007567B0"/>
    <w:rsid w:val="0076500B"/>
    <w:rsid w:val="0076685B"/>
    <w:rsid w:val="00770520"/>
    <w:rsid w:val="00771D42"/>
    <w:rsid w:val="0077206C"/>
    <w:rsid w:val="00775DC1"/>
    <w:rsid w:val="007765FD"/>
    <w:rsid w:val="00782754"/>
    <w:rsid w:val="00785978"/>
    <w:rsid w:val="0078695D"/>
    <w:rsid w:val="00786C99"/>
    <w:rsid w:val="007940E2"/>
    <w:rsid w:val="00796C88"/>
    <w:rsid w:val="007A2AF5"/>
    <w:rsid w:val="007A47C3"/>
    <w:rsid w:val="007A6123"/>
    <w:rsid w:val="007A6A38"/>
    <w:rsid w:val="007B2642"/>
    <w:rsid w:val="007B2A4F"/>
    <w:rsid w:val="007B4CA5"/>
    <w:rsid w:val="007B4F3C"/>
    <w:rsid w:val="007B63F1"/>
    <w:rsid w:val="007C0592"/>
    <w:rsid w:val="007C170B"/>
    <w:rsid w:val="007C3B11"/>
    <w:rsid w:val="007C5400"/>
    <w:rsid w:val="007C5EE6"/>
    <w:rsid w:val="007C66D0"/>
    <w:rsid w:val="007D2614"/>
    <w:rsid w:val="007E110B"/>
    <w:rsid w:val="007E1F73"/>
    <w:rsid w:val="007E41B0"/>
    <w:rsid w:val="007E4F19"/>
    <w:rsid w:val="007F0E2D"/>
    <w:rsid w:val="007F1829"/>
    <w:rsid w:val="007F184E"/>
    <w:rsid w:val="007F2392"/>
    <w:rsid w:val="007F417B"/>
    <w:rsid w:val="007F7089"/>
    <w:rsid w:val="008060A2"/>
    <w:rsid w:val="00807393"/>
    <w:rsid w:val="008079D9"/>
    <w:rsid w:val="008111B5"/>
    <w:rsid w:val="00813A21"/>
    <w:rsid w:val="00813C6E"/>
    <w:rsid w:val="00813F78"/>
    <w:rsid w:val="00815626"/>
    <w:rsid w:val="00815B8A"/>
    <w:rsid w:val="0081654F"/>
    <w:rsid w:val="008169F6"/>
    <w:rsid w:val="00823E37"/>
    <w:rsid w:val="00824622"/>
    <w:rsid w:val="0082693B"/>
    <w:rsid w:val="00827DA1"/>
    <w:rsid w:val="00827DFA"/>
    <w:rsid w:val="00833B85"/>
    <w:rsid w:val="008362DC"/>
    <w:rsid w:val="00842931"/>
    <w:rsid w:val="008447C6"/>
    <w:rsid w:val="00850375"/>
    <w:rsid w:val="0085581E"/>
    <w:rsid w:val="0085591B"/>
    <w:rsid w:val="0085613E"/>
    <w:rsid w:val="008605F7"/>
    <w:rsid w:val="00864A66"/>
    <w:rsid w:val="008661B3"/>
    <w:rsid w:val="008749B5"/>
    <w:rsid w:val="00875D78"/>
    <w:rsid w:val="008761FB"/>
    <w:rsid w:val="00877C2B"/>
    <w:rsid w:val="00881230"/>
    <w:rsid w:val="00883AAE"/>
    <w:rsid w:val="00883ADC"/>
    <w:rsid w:val="00884232"/>
    <w:rsid w:val="008863C4"/>
    <w:rsid w:val="00887249"/>
    <w:rsid w:val="00887CC7"/>
    <w:rsid w:val="00891B67"/>
    <w:rsid w:val="00892F45"/>
    <w:rsid w:val="00893ED7"/>
    <w:rsid w:val="00896302"/>
    <w:rsid w:val="00897508"/>
    <w:rsid w:val="008A119D"/>
    <w:rsid w:val="008A5117"/>
    <w:rsid w:val="008B371B"/>
    <w:rsid w:val="008B40A8"/>
    <w:rsid w:val="008B50D0"/>
    <w:rsid w:val="008B6030"/>
    <w:rsid w:val="008B7441"/>
    <w:rsid w:val="008C0897"/>
    <w:rsid w:val="008C20E3"/>
    <w:rsid w:val="008C32FD"/>
    <w:rsid w:val="008C7109"/>
    <w:rsid w:val="008C71DA"/>
    <w:rsid w:val="008C7F9D"/>
    <w:rsid w:val="008D1478"/>
    <w:rsid w:val="008D16F2"/>
    <w:rsid w:val="008D28E7"/>
    <w:rsid w:val="008D4906"/>
    <w:rsid w:val="008D5DFB"/>
    <w:rsid w:val="008D65C4"/>
    <w:rsid w:val="008E1E51"/>
    <w:rsid w:val="008E416C"/>
    <w:rsid w:val="008E4882"/>
    <w:rsid w:val="008F1B00"/>
    <w:rsid w:val="008F1EDC"/>
    <w:rsid w:val="008F5A74"/>
    <w:rsid w:val="008F6D26"/>
    <w:rsid w:val="008F7EF4"/>
    <w:rsid w:val="00900F10"/>
    <w:rsid w:val="00902B56"/>
    <w:rsid w:val="009071A8"/>
    <w:rsid w:val="009075FE"/>
    <w:rsid w:val="00910970"/>
    <w:rsid w:val="00910A36"/>
    <w:rsid w:val="0091585F"/>
    <w:rsid w:val="0091596E"/>
    <w:rsid w:val="00915B6E"/>
    <w:rsid w:val="009208AD"/>
    <w:rsid w:val="00921304"/>
    <w:rsid w:val="00924884"/>
    <w:rsid w:val="00924E87"/>
    <w:rsid w:val="00925E03"/>
    <w:rsid w:val="00926452"/>
    <w:rsid w:val="00931B29"/>
    <w:rsid w:val="009357EB"/>
    <w:rsid w:val="00937568"/>
    <w:rsid w:val="00941586"/>
    <w:rsid w:val="00941704"/>
    <w:rsid w:val="00943685"/>
    <w:rsid w:val="0095594E"/>
    <w:rsid w:val="00957340"/>
    <w:rsid w:val="0096247C"/>
    <w:rsid w:val="00962C41"/>
    <w:rsid w:val="009677FE"/>
    <w:rsid w:val="00970C52"/>
    <w:rsid w:val="0097184C"/>
    <w:rsid w:val="00971FDD"/>
    <w:rsid w:val="009728B7"/>
    <w:rsid w:val="00974010"/>
    <w:rsid w:val="0097738D"/>
    <w:rsid w:val="00977DA4"/>
    <w:rsid w:val="00982EC7"/>
    <w:rsid w:val="00983DD2"/>
    <w:rsid w:val="009846D8"/>
    <w:rsid w:val="00985B62"/>
    <w:rsid w:val="0098619E"/>
    <w:rsid w:val="00991750"/>
    <w:rsid w:val="00993806"/>
    <w:rsid w:val="00997DB2"/>
    <w:rsid w:val="009A2EDE"/>
    <w:rsid w:val="009A4414"/>
    <w:rsid w:val="009B6E77"/>
    <w:rsid w:val="009B79AF"/>
    <w:rsid w:val="009C0AE1"/>
    <w:rsid w:val="009C1E3B"/>
    <w:rsid w:val="009C338F"/>
    <w:rsid w:val="009C3BCF"/>
    <w:rsid w:val="009C3E61"/>
    <w:rsid w:val="009C425B"/>
    <w:rsid w:val="009C4641"/>
    <w:rsid w:val="009C6228"/>
    <w:rsid w:val="009D189E"/>
    <w:rsid w:val="009D3F35"/>
    <w:rsid w:val="009D607B"/>
    <w:rsid w:val="009D7F88"/>
    <w:rsid w:val="009E03DA"/>
    <w:rsid w:val="009E0F29"/>
    <w:rsid w:val="009E2FFB"/>
    <w:rsid w:val="009E3F6D"/>
    <w:rsid w:val="009F5B17"/>
    <w:rsid w:val="009F611C"/>
    <w:rsid w:val="009F726A"/>
    <w:rsid w:val="009F7D77"/>
    <w:rsid w:val="00A00E6B"/>
    <w:rsid w:val="00A01F9B"/>
    <w:rsid w:val="00A0530D"/>
    <w:rsid w:val="00A057FF"/>
    <w:rsid w:val="00A10143"/>
    <w:rsid w:val="00A1066C"/>
    <w:rsid w:val="00A10BFD"/>
    <w:rsid w:val="00A1491F"/>
    <w:rsid w:val="00A1503A"/>
    <w:rsid w:val="00A167E1"/>
    <w:rsid w:val="00A17661"/>
    <w:rsid w:val="00A20C61"/>
    <w:rsid w:val="00A21AE0"/>
    <w:rsid w:val="00A229F8"/>
    <w:rsid w:val="00A22B88"/>
    <w:rsid w:val="00A24E93"/>
    <w:rsid w:val="00A24FD2"/>
    <w:rsid w:val="00A26A6C"/>
    <w:rsid w:val="00A27C3D"/>
    <w:rsid w:val="00A309EE"/>
    <w:rsid w:val="00A31910"/>
    <w:rsid w:val="00A31F3A"/>
    <w:rsid w:val="00A33033"/>
    <w:rsid w:val="00A332DB"/>
    <w:rsid w:val="00A347D3"/>
    <w:rsid w:val="00A35C54"/>
    <w:rsid w:val="00A432EA"/>
    <w:rsid w:val="00A4367C"/>
    <w:rsid w:val="00A437B0"/>
    <w:rsid w:val="00A44C5C"/>
    <w:rsid w:val="00A50CA3"/>
    <w:rsid w:val="00A51BF1"/>
    <w:rsid w:val="00A51DD8"/>
    <w:rsid w:val="00A51FFB"/>
    <w:rsid w:val="00A52EC5"/>
    <w:rsid w:val="00A558CB"/>
    <w:rsid w:val="00A568AD"/>
    <w:rsid w:val="00A61639"/>
    <w:rsid w:val="00A64F4B"/>
    <w:rsid w:val="00A66160"/>
    <w:rsid w:val="00A67E80"/>
    <w:rsid w:val="00A70A63"/>
    <w:rsid w:val="00A70F6A"/>
    <w:rsid w:val="00A7442E"/>
    <w:rsid w:val="00A74612"/>
    <w:rsid w:val="00A80384"/>
    <w:rsid w:val="00A814E7"/>
    <w:rsid w:val="00A81E45"/>
    <w:rsid w:val="00A82DA0"/>
    <w:rsid w:val="00A8344F"/>
    <w:rsid w:val="00A8530E"/>
    <w:rsid w:val="00A8738F"/>
    <w:rsid w:val="00A874CB"/>
    <w:rsid w:val="00A93FF6"/>
    <w:rsid w:val="00A97891"/>
    <w:rsid w:val="00A97ABB"/>
    <w:rsid w:val="00AA1D3F"/>
    <w:rsid w:val="00AA3A21"/>
    <w:rsid w:val="00AA4AD7"/>
    <w:rsid w:val="00AA4F00"/>
    <w:rsid w:val="00AA525E"/>
    <w:rsid w:val="00AA6E65"/>
    <w:rsid w:val="00AB162E"/>
    <w:rsid w:val="00AB1860"/>
    <w:rsid w:val="00AB3A22"/>
    <w:rsid w:val="00AB48FE"/>
    <w:rsid w:val="00AB6E63"/>
    <w:rsid w:val="00AB7415"/>
    <w:rsid w:val="00AB78CE"/>
    <w:rsid w:val="00AC0739"/>
    <w:rsid w:val="00AC2C56"/>
    <w:rsid w:val="00AC33FC"/>
    <w:rsid w:val="00AC67ED"/>
    <w:rsid w:val="00AD0ACE"/>
    <w:rsid w:val="00AD17CC"/>
    <w:rsid w:val="00AD2E82"/>
    <w:rsid w:val="00AD54C5"/>
    <w:rsid w:val="00AE0854"/>
    <w:rsid w:val="00AE5051"/>
    <w:rsid w:val="00AE6BF2"/>
    <w:rsid w:val="00AE763E"/>
    <w:rsid w:val="00AF3C4C"/>
    <w:rsid w:val="00B01EEC"/>
    <w:rsid w:val="00B0218F"/>
    <w:rsid w:val="00B03436"/>
    <w:rsid w:val="00B060EE"/>
    <w:rsid w:val="00B06DA1"/>
    <w:rsid w:val="00B1028D"/>
    <w:rsid w:val="00B13137"/>
    <w:rsid w:val="00B159CD"/>
    <w:rsid w:val="00B15F88"/>
    <w:rsid w:val="00B16875"/>
    <w:rsid w:val="00B34A14"/>
    <w:rsid w:val="00B366D5"/>
    <w:rsid w:val="00B3679B"/>
    <w:rsid w:val="00B37318"/>
    <w:rsid w:val="00B3731E"/>
    <w:rsid w:val="00B37A06"/>
    <w:rsid w:val="00B42759"/>
    <w:rsid w:val="00B45FB9"/>
    <w:rsid w:val="00B46085"/>
    <w:rsid w:val="00B54601"/>
    <w:rsid w:val="00B55672"/>
    <w:rsid w:val="00B55ED5"/>
    <w:rsid w:val="00B56F64"/>
    <w:rsid w:val="00B63670"/>
    <w:rsid w:val="00B674B9"/>
    <w:rsid w:val="00B81DF8"/>
    <w:rsid w:val="00B831D3"/>
    <w:rsid w:val="00B843CA"/>
    <w:rsid w:val="00B91188"/>
    <w:rsid w:val="00B914C2"/>
    <w:rsid w:val="00B92107"/>
    <w:rsid w:val="00B950F0"/>
    <w:rsid w:val="00BA0309"/>
    <w:rsid w:val="00BA5FBB"/>
    <w:rsid w:val="00BA78D0"/>
    <w:rsid w:val="00BB16DB"/>
    <w:rsid w:val="00BB2618"/>
    <w:rsid w:val="00BB3A98"/>
    <w:rsid w:val="00BB4C45"/>
    <w:rsid w:val="00BB54B5"/>
    <w:rsid w:val="00BB73DF"/>
    <w:rsid w:val="00BB7CC1"/>
    <w:rsid w:val="00BC3684"/>
    <w:rsid w:val="00BC440D"/>
    <w:rsid w:val="00BC462F"/>
    <w:rsid w:val="00BD0DB6"/>
    <w:rsid w:val="00BD51E5"/>
    <w:rsid w:val="00BE3D19"/>
    <w:rsid w:val="00BE5008"/>
    <w:rsid w:val="00BE7462"/>
    <w:rsid w:val="00BF10A9"/>
    <w:rsid w:val="00BF2F35"/>
    <w:rsid w:val="00BF3333"/>
    <w:rsid w:val="00BF35AA"/>
    <w:rsid w:val="00BF3D66"/>
    <w:rsid w:val="00BF528B"/>
    <w:rsid w:val="00BF5D66"/>
    <w:rsid w:val="00BF5EFE"/>
    <w:rsid w:val="00BF6285"/>
    <w:rsid w:val="00C015D6"/>
    <w:rsid w:val="00C02111"/>
    <w:rsid w:val="00C065D4"/>
    <w:rsid w:val="00C06DE5"/>
    <w:rsid w:val="00C11225"/>
    <w:rsid w:val="00C162B1"/>
    <w:rsid w:val="00C17A23"/>
    <w:rsid w:val="00C17B29"/>
    <w:rsid w:val="00C21D35"/>
    <w:rsid w:val="00C25920"/>
    <w:rsid w:val="00C30698"/>
    <w:rsid w:val="00C31B04"/>
    <w:rsid w:val="00C33D9D"/>
    <w:rsid w:val="00C35D58"/>
    <w:rsid w:val="00C42A09"/>
    <w:rsid w:val="00C43BCB"/>
    <w:rsid w:val="00C45F2D"/>
    <w:rsid w:val="00C4625C"/>
    <w:rsid w:val="00C46A8E"/>
    <w:rsid w:val="00C50A7B"/>
    <w:rsid w:val="00C527F2"/>
    <w:rsid w:val="00C54559"/>
    <w:rsid w:val="00C545C4"/>
    <w:rsid w:val="00C54BBB"/>
    <w:rsid w:val="00C56A24"/>
    <w:rsid w:val="00C578A5"/>
    <w:rsid w:val="00C60595"/>
    <w:rsid w:val="00C66397"/>
    <w:rsid w:val="00C669AE"/>
    <w:rsid w:val="00C67AD1"/>
    <w:rsid w:val="00C72996"/>
    <w:rsid w:val="00C74394"/>
    <w:rsid w:val="00C7742E"/>
    <w:rsid w:val="00C8363A"/>
    <w:rsid w:val="00C8486B"/>
    <w:rsid w:val="00C84D57"/>
    <w:rsid w:val="00C86B2A"/>
    <w:rsid w:val="00C87726"/>
    <w:rsid w:val="00C90373"/>
    <w:rsid w:val="00C91225"/>
    <w:rsid w:val="00C91B16"/>
    <w:rsid w:val="00C923A9"/>
    <w:rsid w:val="00C954DB"/>
    <w:rsid w:val="00C95BCE"/>
    <w:rsid w:val="00C970C4"/>
    <w:rsid w:val="00C97DC1"/>
    <w:rsid w:val="00CA5867"/>
    <w:rsid w:val="00CA5D8E"/>
    <w:rsid w:val="00CA62BC"/>
    <w:rsid w:val="00CB1893"/>
    <w:rsid w:val="00CB586C"/>
    <w:rsid w:val="00CB7F9B"/>
    <w:rsid w:val="00CC2463"/>
    <w:rsid w:val="00CC40C3"/>
    <w:rsid w:val="00CC5C5B"/>
    <w:rsid w:val="00CD0F3E"/>
    <w:rsid w:val="00CD7026"/>
    <w:rsid w:val="00CE00CC"/>
    <w:rsid w:val="00CE1DD3"/>
    <w:rsid w:val="00CE2B49"/>
    <w:rsid w:val="00CE3FED"/>
    <w:rsid w:val="00CF017A"/>
    <w:rsid w:val="00CF07F4"/>
    <w:rsid w:val="00CF147C"/>
    <w:rsid w:val="00CF1623"/>
    <w:rsid w:val="00CF18E5"/>
    <w:rsid w:val="00CF6222"/>
    <w:rsid w:val="00CF6AA2"/>
    <w:rsid w:val="00CF74BA"/>
    <w:rsid w:val="00D02A3B"/>
    <w:rsid w:val="00D04BCB"/>
    <w:rsid w:val="00D06CE3"/>
    <w:rsid w:val="00D10E34"/>
    <w:rsid w:val="00D145FD"/>
    <w:rsid w:val="00D22E77"/>
    <w:rsid w:val="00D30975"/>
    <w:rsid w:val="00D30DE4"/>
    <w:rsid w:val="00D33A78"/>
    <w:rsid w:val="00D34068"/>
    <w:rsid w:val="00D37AC5"/>
    <w:rsid w:val="00D37D16"/>
    <w:rsid w:val="00D520C3"/>
    <w:rsid w:val="00D558B8"/>
    <w:rsid w:val="00D6036D"/>
    <w:rsid w:val="00D61A6C"/>
    <w:rsid w:val="00D635D3"/>
    <w:rsid w:val="00D64514"/>
    <w:rsid w:val="00D64E55"/>
    <w:rsid w:val="00D660E8"/>
    <w:rsid w:val="00D67F7F"/>
    <w:rsid w:val="00D70EAF"/>
    <w:rsid w:val="00D7193C"/>
    <w:rsid w:val="00D72307"/>
    <w:rsid w:val="00D74866"/>
    <w:rsid w:val="00D76D2F"/>
    <w:rsid w:val="00D77185"/>
    <w:rsid w:val="00D77792"/>
    <w:rsid w:val="00D80917"/>
    <w:rsid w:val="00D84685"/>
    <w:rsid w:val="00D8507B"/>
    <w:rsid w:val="00D8563C"/>
    <w:rsid w:val="00D86F3D"/>
    <w:rsid w:val="00D90028"/>
    <w:rsid w:val="00D937EF"/>
    <w:rsid w:val="00D97B02"/>
    <w:rsid w:val="00DA1360"/>
    <w:rsid w:val="00DA4F2C"/>
    <w:rsid w:val="00DA6F46"/>
    <w:rsid w:val="00DB15F1"/>
    <w:rsid w:val="00DB45B2"/>
    <w:rsid w:val="00DB5D2B"/>
    <w:rsid w:val="00DB5F84"/>
    <w:rsid w:val="00DC20AB"/>
    <w:rsid w:val="00DC4237"/>
    <w:rsid w:val="00DC459B"/>
    <w:rsid w:val="00DC534D"/>
    <w:rsid w:val="00DC556F"/>
    <w:rsid w:val="00DC5795"/>
    <w:rsid w:val="00DC7D86"/>
    <w:rsid w:val="00DD01E9"/>
    <w:rsid w:val="00DD1C44"/>
    <w:rsid w:val="00DD5B10"/>
    <w:rsid w:val="00DD5CB2"/>
    <w:rsid w:val="00DD5F6F"/>
    <w:rsid w:val="00DE1CA0"/>
    <w:rsid w:val="00DE4F58"/>
    <w:rsid w:val="00DE5EC0"/>
    <w:rsid w:val="00DE5F73"/>
    <w:rsid w:val="00DE6A9E"/>
    <w:rsid w:val="00DF148C"/>
    <w:rsid w:val="00E0253E"/>
    <w:rsid w:val="00E05B6D"/>
    <w:rsid w:val="00E064C7"/>
    <w:rsid w:val="00E103C5"/>
    <w:rsid w:val="00E1365F"/>
    <w:rsid w:val="00E14A4B"/>
    <w:rsid w:val="00E14B58"/>
    <w:rsid w:val="00E152AC"/>
    <w:rsid w:val="00E15F40"/>
    <w:rsid w:val="00E17D68"/>
    <w:rsid w:val="00E2098D"/>
    <w:rsid w:val="00E23E6D"/>
    <w:rsid w:val="00E2476D"/>
    <w:rsid w:val="00E25ED1"/>
    <w:rsid w:val="00E25EFF"/>
    <w:rsid w:val="00E25F33"/>
    <w:rsid w:val="00E25F66"/>
    <w:rsid w:val="00E27487"/>
    <w:rsid w:val="00E27523"/>
    <w:rsid w:val="00E321B3"/>
    <w:rsid w:val="00E325E7"/>
    <w:rsid w:val="00E326E2"/>
    <w:rsid w:val="00E34B2B"/>
    <w:rsid w:val="00E35356"/>
    <w:rsid w:val="00E36CFE"/>
    <w:rsid w:val="00E44762"/>
    <w:rsid w:val="00E45A62"/>
    <w:rsid w:val="00E45D6E"/>
    <w:rsid w:val="00E476DD"/>
    <w:rsid w:val="00E503EE"/>
    <w:rsid w:val="00E51AD3"/>
    <w:rsid w:val="00E52834"/>
    <w:rsid w:val="00E54399"/>
    <w:rsid w:val="00E54C06"/>
    <w:rsid w:val="00E56AEF"/>
    <w:rsid w:val="00E56E23"/>
    <w:rsid w:val="00E604BF"/>
    <w:rsid w:val="00E622E0"/>
    <w:rsid w:val="00E62771"/>
    <w:rsid w:val="00E630FE"/>
    <w:rsid w:val="00E6617F"/>
    <w:rsid w:val="00E73FF0"/>
    <w:rsid w:val="00E750C6"/>
    <w:rsid w:val="00E77C4B"/>
    <w:rsid w:val="00E812EB"/>
    <w:rsid w:val="00E847F5"/>
    <w:rsid w:val="00E84F31"/>
    <w:rsid w:val="00E85422"/>
    <w:rsid w:val="00E91FF9"/>
    <w:rsid w:val="00EA4F48"/>
    <w:rsid w:val="00EA5C6C"/>
    <w:rsid w:val="00EA5DCD"/>
    <w:rsid w:val="00EA6DD6"/>
    <w:rsid w:val="00EB31BE"/>
    <w:rsid w:val="00EB7A62"/>
    <w:rsid w:val="00EC0FB2"/>
    <w:rsid w:val="00EC1D2B"/>
    <w:rsid w:val="00EC52AE"/>
    <w:rsid w:val="00EC68C8"/>
    <w:rsid w:val="00EC7298"/>
    <w:rsid w:val="00EC7B43"/>
    <w:rsid w:val="00ED35E5"/>
    <w:rsid w:val="00EE199A"/>
    <w:rsid w:val="00EE27FE"/>
    <w:rsid w:val="00EE533A"/>
    <w:rsid w:val="00EE6CC4"/>
    <w:rsid w:val="00EF34E7"/>
    <w:rsid w:val="00EF3713"/>
    <w:rsid w:val="00EF544E"/>
    <w:rsid w:val="00EF6BB6"/>
    <w:rsid w:val="00EF7A69"/>
    <w:rsid w:val="00F00C07"/>
    <w:rsid w:val="00F0235B"/>
    <w:rsid w:val="00F1239E"/>
    <w:rsid w:val="00F150EE"/>
    <w:rsid w:val="00F157A4"/>
    <w:rsid w:val="00F2162B"/>
    <w:rsid w:val="00F2384D"/>
    <w:rsid w:val="00F25DFB"/>
    <w:rsid w:val="00F31319"/>
    <w:rsid w:val="00F3658E"/>
    <w:rsid w:val="00F36B11"/>
    <w:rsid w:val="00F37E60"/>
    <w:rsid w:val="00F414A7"/>
    <w:rsid w:val="00F44492"/>
    <w:rsid w:val="00F448BD"/>
    <w:rsid w:val="00F47B57"/>
    <w:rsid w:val="00F47D95"/>
    <w:rsid w:val="00F532BC"/>
    <w:rsid w:val="00F53C5D"/>
    <w:rsid w:val="00F54FE6"/>
    <w:rsid w:val="00F5559E"/>
    <w:rsid w:val="00F566BF"/>
    <w:rsid w:val="00F611A7"/>
    <w:rsid w:val="00F66140"/>
    <w:rsid w:val="00F674B8"/>
    <w:rsid w:val="00F710B8"/>
    <w:rsid w:val="00F71372"/>
    <w:rsid w:val="00F71C2D"/>
    <w:rsid w:val="00F7318B"/>
    <w:rsid w:val="00F752B7"/>
    <w:rsid w:val="00F759FB"/>
    <w:rsid w:val="00F776E6"/>
    <w:rsid w:val="00F84258"/>
    <w:rsid w:val="00F84FFC"/>
    <w:rsid w:val="00F91EC9"/>
    <w:rsid w:val="00F92B48"/>
    <w:rsid w:val="00F93F5F"/>
    <w:rsid w:val="00F96579"/>
    <w:rsid w:val="00FA0D29"/>
    <w:rsid w:val="00FA2317"/>
    <w:rsid w:val="00FA2A26"/>
    <w:rsid w:val="00FA2F11"/>
    <w:rsid w:val="00FA5F73"/>
    <w:rsid w:val="00FA777D"/>
    <w:rsid w:val="00FB2A19"/>
    <w:rsid w:val="00FB5FB9"/>
    <w:rsid w:val="00FB678D"/>
    <w:rsid w:val="00FC068A"/>
    <w:rsid w:val="00FC37A6"/>
    <w:rsid w:val="00FC3E1E"/>
    <w:rsid w:val="00FC7733"/>
    <w:rsid w:val="00FD3DA3"/>
    <w:rsid w:val="00FD4ED5"/>
    <w:rsid w:val="00FD6589"/>
    <w:rsid w:val="00FD675E"/>
    <w:rsid w:val="00FE2121"/>
    <w:rsid w:val="00FE2571"/>
    <w:rsid w:val="00FE3A64"/>
    <w:rsid w:val="00FF0258"/>
    <w:rsid w:val="00FF0CFD"/>
    <w:rsid w:val="00FF0D88"/>
    <w:rsid w:val="00FF2308"/>
    <w:rsid w:val="00FF24A9"/>
    <w:rsid w:val="00FF2C2D"/>
    <w:rsid w:val="00FF4811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48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218F"/>
    <w:pPr>
      <w:autoSpaceDE w:val="0"/>
      <w:autoSpaceDN w:val="0"/>
    </w:pPr>
    <w:rPr>
      <w:lang w:val="en-AU"/>
    </w:rPr>
  </w:style>
  <w:style w:type="paragraph" w:styleId="Antrat4">
    <w:name w:val="heading 4"/>
    <w:basedOn w:val="prastasis"/>
    <w:next w:val="prastasis"/>
    <w:qFormat/>
    <w:rsid w:val="00B0218F"/>
    <w:pPr>
      <w:keepNext/>
      <w:tabs>
        <w:tab w:val="left" w:pos="0"/>
      </w:tabs>
      <w:spacing w:line="360" w:lineRule="auto"/>
      <w:ind w:firstLine="720"/>
      <w:jc w:val="both"/>
      <w:outlineLvl w:val="3"/>
    </w:pPr>
    <w:rPr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B0218F"/>
    <w:pPr>
      <w:jc w:val="center"/>
    </w:pPr>
    <w:rPr>
      <w:b/>
      <w:bCs/>
      <w:sz w:val="24"/>
      <w:szCs w:val="24"/>
      <w:lang w:val="lt-LT"/>
    </w:rPr>
  </w:style>
  <w:style w:type="paragraph" w:styleId="Pagrindinistekstas">
    <w:name w:val="Body Text"/>
    <w:basedOn w:val="prastasis"/>
    <w:rsid w:val="00B0218F"/>
    <w:pPr>
      <w:jc w:val="both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rsid w:val="00B0218F"/>
    <w:pPr>
      <w:adjustRightInd w:val="0"/>
      <w:ind w:firstLine="709"/>
      <w:jc w:val="both"/>
    </w:pPr>
    <w:rPr>
      <w:sz w:val="24"/>
      <w:szCs w:val="24"/>
      <w:lang w:val="lt-LT"/>
    </w:rPr>
  </w:style>
  <w:style w:type="paragraph" w:customStyle="1" w:styleId="statymopavad">
    <w:name w:val="Įstatymo pavad."/>
    <w:basedOn w:val="prastasis"/>
    <w:rsid w:val="00B0218F"/>
    <w:pPr>
      <w:autoSpaceDE/>
      <w:autoSpaceDN/>
      <w:spacing w:line="360" w:lineRule="auto"/>
      <w:ind w:firstLine="720"/>
      <w:jc w:val="center"/>
    </w:pPr>
    <w:rPr>
      <w:rFonts w:ascii="TimesLT" w:hAnsi="TimesLT" w:cs="TimesLT"/>
      <w:caps/>
      <w:sz w:val="24"/>
      <w:szCs w:val="24"/>
      <w:lang w:val="lt-LT" w:eastAsia="en-US"/>
    </w:rPr>
  </w:style>
  <w:style w:type="paragraph" w:customStyle="1" w:styleId="BodyText21">
    <w:name w:val="Body Text 21"/>
    <w:basedOn w:val="prastasis"/>
    <w:rsid w:val="00B0218F"/>
    <w:pPr>
      <w:ind w:firstLine="720"/>
      <w:jc w:val="both"/>
    </w:pPr>
    <w:rPr>
      <w:rFonts w:ascii="TimesLT" w:hAnsi="TimesLT" w:cs="TimesLT"/>
      <w:sz w:val="24"/>
      <w:szCs w:val="24"/>
      <w:lang w:val="lt-LT"/>
    </w:rPr>
  </w:style>
  <w:style w:type="paragraph" w:styleId="Pagrindinistekstas2">
    <w:name w:val="Body Text 2"/>
    <w:basedOn w:val="prastasis"/>
    <w:rsid w:val="00B0218F"/>
    <w:pPr>
      <w:spacing w:after="120" w:line="480" w:lineRule="auto"/>
    </w:pPr>
  </w:style>
  <w:style w:type="paragraph" w:styleId="Pagrindinistekstas3">
    <w:name w:val="Body Text 3"/>
    <w:basedOn w:val="prastasis"/>
    <w:rsid w:val="00B0218F"/>
    <w:pPr>
      <w:jc w:val="center"/>
    </w:pPr>
    <w:rPr>
      <w:b/>
      <w:bCs/>
      <w:sz w:val="24"/>
      <w:szCs w:val="24"/>
      <w:lang w:val="lt-LT"/>
    </w:rPr>
  </w:style>
  <w:style w:type="paragraph" w:customStyle="1" w:styleId="CharChar">
    <w:name w:val="Char Char"/>
    <w:basedOn w:val="prastasis"/>
    <w:rsid w:val="0036656B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/>
      <w:lang w:val="en-US" w:eastAsia="en-US"/>
    </w:rPr>
  </w:style>
  <w:style w:type="paragraph" w:styleId="Antrats">
    <w:name w:val="header"/>
    <w:aliases w:val="Char,Diagrama"/>
    <w:basedOn w:val="prastasis"/>
    <w:link w:val="AntratsDiagrama"/>
    <w:rsid w:val="00E064C7"/>
    <w:pPr>
      <w:tabs>
        <w:tab w:val="center" w:pos="4153"/>
        <w:tab w:val="right" w:pos="8306"/>
      </w:tabs>
      <w:overflowPunct w:val="0"/>
      <w:adjustRightInd w:val="0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F47B5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47B57"/>
  </w:style>
  <w:style w:type="paragraph" w:customStyle="1" w:styleId="CharCharDiagramaCharChar">
    <w:name w:val="Char Char Diagrama Char Char"/>
    <w:basedOn w:val="prastasis"/>
    <w:rsid w:val="00DD01E9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/>
      <w:lang w:val="en-US" w:eastAsia="en-US"/>
    </w:rPr>
  </w:style>
  <w:style w:type="character" w:styleId="Hipersaitas">
    <w:name w:val="Hyperlink"/>
    <w:basedOn w:val="Numatytasispastraiposriftas"/>
    <w:rsid w:val="000B68B9"/>
    <w:rPr>
      <w:color w:val="0000FF"/>
      <w:u w:val="single"/>
    </w:rPr>
  </w:style>
  <w:style w:type="paragraph" w:styleId="Betarp">
    <w:name w:val="No Spacing"/>
    <w:qFormat/>
    <w:rsid w:val="000B68B9"/>
    <w:rPr>
      <w:rFonts w:ascii="Calibri" w:eastAsia="Calibri" w:hAnsi="Calibri"/>
      <w:sz w:val="22"/>
      <w:szCs w:val="22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9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931"/>
    <w:rPr>
      <w:rFonts w:ascii="Tahoma" w:hAnsi="Tahoma" w:cs="Tahoma"/>
      <w:sz w:val="16"/>
      <w:szCs w:val="16"/>
      <w:lang w:val="en-A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02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0253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0253E"/>
    <w:rPr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2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253E"/>
    <w:rPr>
      <w:b/>
      <w:bCs/>
      <w:lang w:val="en-AU"/>
    </w:rPr>
  </w:style>
  <w:style w:type="paragraph" w:styleId="Pataisymai">
    <w:name w:val="Revision"/>
    <w:hidden/>
    <w:uiPriority w:val="99"/>
    <w:semiHidden/>
    <w:rsid w:val="00E0253E"/>
    <w:rPr>
      <w:lang w:val="en-AU"/>
    </w:rPr>
  </w:style>
  <w:style w:type="paragraph" w:styleId="HTMLiankstoformatuotas">
    <w:name w:val="HTML Preformatted"/>
    <w:basedOn w:val="prastasis"/>
    <w:link w:val="HTMLiankstoformatuotasDiagrama"/>
    <w:rsid w:val="0003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362A3"/>
    <w:rPr>
      <w:rFonts w:ascii="Courier New" w:hAnsi="Courier New" w:cs="Courier New"/>
    </w:rPr>
  </w:style>
  <w:style w:type="character" w:customStyle="1" w:styleId="AntratsDiagrama">
    <w:name w:val="Antraštės Diagrama"/>
    <w:aliases w:val="Char Diagrama,Diagrama Diagrama"/>
    <w:link w:val="Antrats"/>
    <w:locked/>
    <w:rsid w:val="00D937EF"/>
    <w:rPr>
      <w:sz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6D2F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59"/>
    <w:rsid w:val="00A3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212B3E"/>
    <w:pPr>
      <w:autoSpaceDE/>
      <w:autoSpaceDN/>
      <w:spacing w:before="100" w:beforeAutospacing="1" w:after="100" w:afterAutospacing="1"/>
    </w:pPr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D60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710B8"/>
    <w:rPr>
      <w:lang w:val="en-AU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A78D0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A78D0"/>
    <w:rPr>
      <w:lang w:val="en-AU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A78D0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78D0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78D0"/>
    <w:rPr>
      <w:lang w:val="en-A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7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218F"/>
    <w:pPr>
      <w:autoSpaceDE w:val="0"/>
      <w:autoSpaceDN w:val="0"/>
    </w:pPr>
    <w:rPr>
      <w:lang w:val="en-AU"/>
    </w:rPr>
  </w:style>
  <w:style w:type="paragraph" w:styleId="Antrat4">
    <w:name w:val="heading 4"/>
    <w:basedOn w:val="prastasis"/>
    <w:next w:val="prastasis"/>
    <w:qFormat/>
    <w:rsid w:val="00B0218F"/>
    <w:pPr>
      <w:keepNext/>
      <w:tabs>
        <w:tab w:val="left" w:pos="0"/>
      </w:tabs>
      <w:spacing w:line="360" w:lineRule="auto"/>
      <w:ind w:firstLine="720"/>
      <w:jc w:val="both"/>
      <w:outlineLvl w:val="3"/>
    </w:pPr>
    <w:rPr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B0218F"/>
    <w:pPr>
      <w:jc w:val="center"/>
    </w:pPr>
    <w:rPr>
      <w:b/>
      <w:bCs/>
      <w:sz w:val="24"/>
      <w:szCs w:val="24"/>
      <w:lang w:val="lt-LT"/>
    </w:rPr>
  </w:style>
  <w:style w:type="paragraph" w:styleId="Pagrindinistekstas">
    <w:name w:val="Body Text"/>
    <w:basedOn w:val="prastasis"/>
    <w:rsid w:val="00B0218F"/>
    <w:pPr>
      <w:jc w:val="both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rsid w:val="00B0218F"/>
    <w:pPr>
      <w:adjustRightInd w:val="0"/>
      <w:ind w:firstLine="709"/>
      <w:jc w:val="both"/>
    </w:pPr>
    <w:rPr>
      <w:sz w:val="24"/>
      <w:szCs w:val="24"/>
      <w:lang w:val="lt-LT"/>
    </w:rPr>
  </w:style>
  <w:style w:type="paragraph" w:customStyle="1" w:styleId="statymopavad">
    <w:name w:val="Įstatymo pavad."/>
    <w:basedOn w:val="prastasis"/>
    <w:rsid w:val="00B0218F"/>
    <w:pPr>
      <w:autoSpaceDE/>
      <w:autoSpaceDN/>
      <w:spacing w:line="360" w:lineRule="auto"/>
      <w:ind w:firstLine="720"/>
      <w:jc w:val="center"/>
    </w:pPr>
    <w:rPr>
      <w:rFonts w:ascii="TimesLT" w:hAnsi="TimesLT" w:cs="TimesLT"/>
      <w:caps/>
      <w:sz w:val="24"/>
      <w:szCs w:val="24"/>
      <w:lang w:val="lt-LT" w:eastAsia="en-US"/>
    </w:rPr>
  </w:style>
  <w:style w:type="paragraph" w:customStyle="1" w:styleId="BodyText21">
    <w:name w:val="Body Text 21"/>
    <w:basedOn w:val="prastasis"/>
    <w:rsid w:val="00B0218F"/>
    <w:pPr>
      <w:ind w:firstLine="720"/>
      <w:jc w:val="both"/>
    </w:pPr>
    <w:rPr>
      <w:rFonts w:ascii="TimesLT" w:hAnsi="TimesLT" w:cs="TimesLT"/>
      <w:sz w:val="24"/>
      <w:szCs w:val="24"/>
      <w:lang w:val="lt-LT"/>
    </w:rPr>
  </w:style>
  <w:style w:type="paragraph" w:styleId="Pagrindinistekstas2">
    <w:name w:val="Body Text 2"/>
    <w:basedOn w:val="prastasis"/>
    <w:rsid w:val="00B0218F"/>
    <w:pPr>
      <w:spacing w:after="120" w:line="480" w:lineRule="auto"/>
    </w:pPr>
  </w:style>
  <w:style w:type="paragraph" w:styleId="Pagrindinistekstas3">
    <w:name w:val="Body Text 3"/>
    <w:basedOn w:val="prastasis"/>
    <w:rsid w:val="00B0218F"/>
    <w:pPr>
      <w:jc w:val="center"/>
    </w:pPr>
    <w:rPr>
      <w:b/>
      <w:bCs/>
      <w:sz w:val="24"/>
      <w:szCs w:val="24"/>
      <w:lang w:val="lt-LT"/>
    </w:rPr>
  </w:style>
  <w:style w:type="paragraph" w:customStyle="1" w:styleId="CharChar">
    <w:name w:val="Char Char"/>
    <w:basedOn w:val="prastasis"/>
    <w:rsid w:val="0036656B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/>
      <w:lang w:val="en-US" w:eastAsia="en-US"/>
    </w:rPr>
  </w:style>
  <w:style w:type="paragraph" w:styleId="Antrats">
    <w:name w:val="header"/>
    <w:aliases w:val="Char,Diagrama"/>
    <w:basedOn w:val="prastasis"/>
    <w:link w:val="AntratsDiagrama"/>
    <w:rsid w:val="00E064C7"/>
    <w:pPr>
      <w:tabs>
        <w:tab w:val="center" w:pos="4153"/>
        <w:tab w:val="right" w:pos="8306"/>
      </w:tabs>
      <w:overflowPunct w:val="0"/>
      <w:adjustRightInd w:val="0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F47B5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47B57"/>
  </w:style>
  <w:style w:type="paragraph" w:customStyle="1" w:styleId="CharCharDiagramaCharChar">
    <w:name w:val="Char Char Diagrama Char Char"/>
    <w:basedOn w:val="prastasis"/>
    <w:rsid w:val="00DD01E9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/>
      <w:lang w:val="en-US" w:eastAsia="en-US"/>
    </w:rPr>
  </w:style>
  <w:style w:type="character" w:styleId="Hipersaitas">
    <w:name w:val="Hyperlink"/>
    <w:basedOn w:val="Numatytasispastraiposriftas"/>
    <w:rsid w:val="000B68B9"/>
    <w:rPr>
      <w:color w:val="0000FF"/>
      <w:u w:val="single"/>
    </w:rPr>
  </w:style>
  <w:style w:type="paragraph" w:styleId="Betarp">
    <w:name w:val="No Spacing"/>
    <w:qFormat/>
    <w:rsid w:val="000B68B9"/>
    <w:rPr>
      <w:rFonts w:ascii="Calibri" w:eastAsia="Calibri" w:hAnsi="Calibri"/>
      <w:sz w:val="22"/>
      <w:szCs w:val="22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9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931"/>
    <w:rPr>
      <w:rFonts w:ascii="Tahoma" w:hAnsi="Tahoma" w:cs="Tahoma"/>
      <w:sz w:val="16"/>
      <w:szCs w:val="16"/>
      <w:lang w:val="en-A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02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0253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0253E"/>
    <w:rPr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2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253E"/>
    <w:rPr>
      <w:b/>
      <w:bCs/>
      <w:lang w:val="en-AU"/>
    </w:rPr>
  </w:style>
  <w:style w:type="paragraph" w:styleId="Pataisymai">
    <w:name w:val="Revision"/>
    <w:hidden/>
    <w:uiPriority w:val="99"/>
    <w:semiHidden/>
    <w:rsid w:val="00E0253E"/>
    <w:rPr>
      <w:lang w:val="en-AU"/>
    </w:rPr>
  </w:style>
  <w:style w:type="paragraph" w:styleId="HTMLiankstoformatuotas">
    <w:name w:val="HTML Preformatted"/>
    <w:basedOn w:val="prastasis"/>
    <w:link w:val="HTMLiankstoformatuotasDiagrama"/>
    <w:rsid w:val="0003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362A3"/>
    <w:rPr>
      <w:rFonts w:ascii="Courier New" w:hAnsi="Courier New" w:cs="Courier New"/>
    </w:rPr>
  </w:style>
  <w:style w:type="character" w:customStyle="1" w:styleId="AntratsDiagrama">
    <w:name w:val="Antraštės Diagrama"/>
    <w:aliases w:val="Char Diagrama,Diagrama Diagrama"/>
    <w:link w:val="Antrats"/>
    <w:locked/>
    <w:rsid w:val="00D937EF"/>
    <w:rPr>
      <w:sz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6D2F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59"/>
    <w:rsid w:val="00A3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212B3E"/>
    <w:pPr>
      <w:autoSpaceDE/>
      <w:autoSpaceDN/>
      <w:spacing w:before="100" w:beforeAutospacing="1" w:after="100" w:afterAutospacing="1"/>
    </w:pPr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D60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710B8"/>
    <w:rPr>
      <w:lang w:val="en-AU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A78D0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A78D0"/>
    <w:rPr>
      <w:lang w:val="en-AU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A78D0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78D0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78D0"/>
    <w:rPr>
      <w:lang w:val="en-A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7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charts/chart1.xml"
                 Type="http://schemas.openxmlformats.org/officeDocument/2006/relationships/chart"/>
</Relationships>
</file>

<file path=word/charts/_rels/chart1.xml.rels><?xml version="1.0" encoding="UTF-8" standalone="yes"?>
<Relationships xmlns="http://schemas.openxmlformats.org/package/2006/relationships">
   <Relationship Id="rId1" Target="../embeddings/Microsoft_Excel_Worksheet1.xlsx"
                 Type="http://schemas.openxmlformats.org/officeDocument/2006/relationships/package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lt-LT" sz="1000"/>
              <a:t>Bazinio</a:t>
            </a:r>
            <a:r>
              <a:rPr lang="lt-LT" sz="1000" baseline="0"/>
              <a:t> dydžio didėjimas*</a:t>
            </a:r>
            <a:endParaRPr lang="lt-LT" sz="1000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Bazinis dydis, Eur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Lapas1!$A$2:$A$8</c:f>
              <c:strCache>
                <c:ptCount val="7"/>
                <c:pt idx="0">
                  <c:v>iki 2009</c:v>
                </c:pt>
                <c:pt idx="1">
                  <c:v>...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183</c:v>
                </c:pt>
                <c:pt idx="2">
                  <c:v>168.2</c:v>
                </c:pt>
                <c:pt idx="3">
                  <c:v>170.8</c:v>
                </c:pt>
                <c:pt idx="4">
                  <c:v>173</c:v>
                </c:pt>
                <c:pt idx="5">
                  <c:v>176</c:v>
                </c:pt>
                <c:pt idx="6">
                  <c:v>177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Padidėjimas, proc.                                      (palyginus su praėjusiais metais)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Lapas1!$A$2:$A$8</c:f>
              <c:strCache>
                <c:ptCount val="7"/>
                <c:pt idx="0">
                  <c:v>iki 2009</c:v>
                </c:pt>
                <c:pt idx="1">
                  <c:v>...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strCache>
            </c:strRef>
          </c:cat>
          <c:val>
            <c:numRef>
              <c:f>Lapas1!$C$2:$C$8</c:f>
              <c:numCache>
                <c:formatCode>General</c:formatCode>
                <c:ptCount val="7"/>
                <c:pt idx="3">
                  <c:v>1.5</c:v>
                </c:pt>
                <c:pt idx="4">
                  <c:v>1.3</c:v>
                </c:pt>
                <c:pt idx="5">
                  <c:v>1.7</c:v>
                </c:pt>
                <c:pt idx="6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37281536"/>
        <c:axId val="137283072"/>
      </c:barChart>
      <c:catAx>
        <c:axId val="1372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137283072"/>
        <c:crosses val="autoZero"/>
        <c:auto val="1"/>
        <c:lblAlgn val="ctr"/>
        <c:lblOffset val="100"/>
        <c:noMultiLvlLbl val="0"/>
      </c:catAx>
      <c:valAx>
        <c:axId val="1372830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1372815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9B34F-FF92-474F-AD26-9EBC6BEF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6317</Words>
  <Characters>3601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AIKINAMASIS  RATAS</vt:lpstr>
      <vt:lpstr>AIKINAMASIS  RATAS</vt:lpstr>
    </vt:vector>
  </TitlesOfParts>
  <Company>SPG</Company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2020-10-14T09:09:00Z</dcterms:created>
  <dc:creator>Teodoras</dc:creator>
  <cp:lastModifiedBy>Agnė Nakčerienė</cp:lastModifiedBy>
  <cp:lastPrinted>2019-07-11T08:56:00Z</cp:lastPrinted>
  <dcterms:modified xsi:type="dcterms:W3CDTF">2020-12-14T10:35:00Z</dcterms:modified>
  <cp:revision>15</cp:revision>
  <dc:title>AIKINAMASIS  RATAS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1161313906</vt:i4>
  </property>
  <property fmtid="{D5CDD505-2E9C-101B-9397-08002B2CF9AE}" pid="4" name="_EmailSubject">
    <vt:lpwstr>dokumentų paketas po LRV posėdžio</vt:lpwstr>
  </property>
  <property fmtid="{D5CDD505-2E9C-101B-9397-08002B2CF9AE}" pid="5" name="_AuthorEmail">
    <vt:lpwstr>Agne.Nakceriene@socmin.lt</vt:lpwstr>
  </property>
  <property fmtid="{D5CDD505-2E9C-101B-9397-08002B2CF9AE}" pid="6" name="_AuthorEmailDisplayName">
    <vt:lpwstr>Agnė Nakčerienė</vt:lpwstr>
  </property>
  <property fmtid="{D5CDD505-2E9C-101B-9397-08002B2CF9AE}" pid="7" name="_PreviousAdHocReviewCycleID">
    <vt:i4>-1857356557</vt:i4>
  </property>
</Properties>
</file>