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453" w:rsidRDefault="00BF4442">
      <w:pPr>
        <w:pStyle w:val="BodyText"/>
        <w:jc w:val="center"/>
        <w:rPr>
          <w:rFonts w:hint="eastAsia"/>
        </w:rPr>
      </w:pPr>
      <w:r w:rsidRPr="00BF4442">
        <w:rPr>
          <w:rFonts w:ascii="Times New Roman" w:hAnsi="Times New Roman" w:cs="Times New Roman"/>
          <w:b/>
          <w:color w:val="000000"/>
          <w:sz w:val="28"/>
        </w:rPr>
        <w:t>LIETUVOS RESPUBLIKOS VYRIAUSYB</w:t>
      </w:r>
      <w:r w:rsidRPr="00BF4442">
        <w:rPr>
          <w:rFonts w:ascii="Times New Roman" w:hAnsi="Times New Roman" w:cs="Times New Roman" w:hint="cs"/>
          <w:b/>
          <w:color w:val="000000"/>
          <w:sz w:val="28"/>
        </w:rPr>
        <w:t>Ė</w:t>
      </w:r>
      <w:r w:rsidRPr="00BF4442">
        <w:rPr>
          <w:rFonts w:ascii="Times New Roman" w:hAnsi="Times New Roman" w:cs="Times New Roman"/>
          <w:b/>
          <w:color w:val="000000"/>
          <w:sz w:val="28"/>
        </w:rPr>
        <w:t xml:space="preserve">S NUTARIMO </w:t>
      </w:r>
      <w:r w:rsidRPr="00BF4442">
        <w:rPr>
          <w:rFonts w:ascii="Times New Roman" w:hAnsi="Times New Roman" w:cs="Times New Roman" w:hint="eastAsia"/>
          <w:b/>
          <w:color w:val="000000"/>
          <w:sz w:val="28"/>
        </w:rPr>
        <w:t>„</w:t>
      </w:r>
      <w:r w:rsidRPr="00BF4442">
        <w:rPr>
          <w:rFonts w:ascii="Times New Roman" w:hAnsi="Times New Roman" w:cs="Times New Roman"/>
          <w:b/>
          <w:color w:val="000000"/>
          <w:sz w:val="28"/>
        </w:rPr>
        <w:t>D</w:t>
      </w:r>
      <w:r w:rsidRPr="00BF4442">
        <w:rPr>
          <w:rFonts w:ascii="Times New Roman" w:hAnsi="Times New Roman" w:cs="Times New Roman" w:hint="cs"/>
          <w:b/>
          <w:color w:val="000000"/>
          <w:sz w:val="28"/>
        </w:rPr>
        <w:t>Ė</w:t>
      </w:r>
      <w:r w:rsidRPr="00BF4442">
        <w:rPr>
          <w:rFonts w:ascii="Times New Roman" w:hAnsi="Times New Roman" w:cs="Times New Roman"/>
          <w:b/>
          <w:color w:val="000000"/>
          <w:sz w:val="28"/>
        </w:rPr>
        <w:t>L LIETUVOS RESPUBLIKOS VYRIAUSYB</w:t>
      </w:r>
      <w:r w:rsidRPr="00BF4442">
        <w:rPr>
          <w:rFonts w:ascii="Times New Roman" w:hAnsi="Times New Roman" w:cs="Times New Roman" w:hint="cs"/>
          <w:b/>
          <w:color w:val="000000"/>
          <w:sz w:val="28"/>
        </w:rPr>
        <w:t>Ė</w:t>
      </w:r>
      <w:r w:rsidRPr="00BF4442">
        <w:rPr>
          <w:rFonts w:ascii="Times New Roman" w:hAnsi="Times New Roman" w:cs="Times New Roman"/>
          <w:b/>
          <w:color w:val="000000"/>
          <w:sz w:val="28"/>
        </w:rPr>
        <w:t>S 2019 M. GRUOD</w:t>
      </w:r>
      <w:r w:rsidRPr="00BF4442">
        <w:rPr>
          <w:rFonts w:ascii="MS Gothic" w:eastAsia="MS Gothic" w:hAnsi="MS Gothic" w:cs="MS Gothic" w:hint="eastAsia"/>
          <w:b/>
          <w:color w:val="000000"/>
          <w:sz w:val="28"/>
        </w:rPr>
        <w:t>Ž</w:t>
      </w:r>
      <w:r w:rsidRPr="00BF4442">
        <w:rPr>
          <w:rFonts w:ascii="Times New Roman" w:hAnsi="Times New Roman" w:cs="Times New Roman"/>
          <w:b/>
          <w:color w:val="000000"/>
          <w:sz w:val="28"/>
        </w:rPr>
        <w:t xml:space="preserve">IO 11 D. NUTARIMO NR. 1248 </w:t>
      </w:r>
      <w:r w:rsidRPr="00BF4442">
        <w:rPr>
          <w:rFonts w:ascii="Times New Roman" w:hAnsi="Times New Roman" w:cs="Times New Roman" w:hint="eastAsia"/>
          <w:b/>
          <w:color w:val="000000"/>
          <w:sz w:val="28"/>
        </w:rPr>
        <w:t>„</w:t>
      </w:r>
      <w:r w:rsidRPr="00BF4442">
        <w:rPr>
          <w:rFonts w:ascii="Times New Roman" w:hAnsi="Times New Roman" w:cs="Times New Roman"/>
          <w:b/>
          <w:color w:val="000000"/>
          <w:sz w:val="28"/>
        </w:rPr>
        <w:t>D</w:t>
      </w:r>
      <w:r w:rsidRPr="00BF4442">
        <w:rPr>
          <w:rFonts w:ascii="Times New Roman" w:hAnsi="Times New Roman" w:cs="Times New Roman" w:hint="cs"/>
          <w:b/>
          <w:color w:val="000000"/>
          <w:sz w:val="28"/>
        </w:rPr>
        <w:t>Ė</w:t>
      </w:r>
      <w:r w:rsidRPr="00BF4442">
        <w:rPr>
          <w:rFonts w:ascii="Times New Roman" w:hAnsi="Times New Roman" w:cs="Times New Roman"/>
          <w:b/>
          <w:color w:val="000000"/>
          <w:sz w:val="28"/>
        </w:rPr>
        <w:t>L LIETUVOS RESPUBLIKOS SPECIALI</w:t>
      </w:r>
      <w:r w:rsidRPr="00BF4442">
        <w:rPr>
          <w:rFonts w:ascii="Times New Roman" w:hAnsi="Times New Roman" w:cs="Times New Roman" w:hint="cs"/>
          <w:b/>
          <w:color w:val="000000"/>
          <w:sz w:val="28"/>
        </w:rPr>
        <w:t>Ų</w:t>
      </w:r>
      <w:r w:rsidRPr="00BF4442">
        <w:rPr>
          <w:rFonts w:ascii="Times New Roman" w:hAnsi="Times New Roman" w:cs="Times New Roman"/>
          <w:b/>
          <w:color w:val="000000"/>
          <w:sz w:val="28"/>
        </w:rPr>
        <w:t>J</w:t>
      </w:r>
      <w:r w:rsidRPr="00BF4442">
        <w:rPr>
          <w:rFonts w:ascii="Times New Roman" w:hAnsi="Times New Roman" w:cs="Times New Roman" w:hint="cs"/>
          <w:b/>
          <w:color w:val="000000"/>
          <w:sz w:val="28"/>
        </w:rPr>
        <w:t>Ų</w:t>
      </w:r>
      <w:r w:rsidRPr="00BF4442">
        <w:rPr>
          <w:rFonts w:ascii="Times New Roman" w:hAnsi="Times New Roman" w:cs="Times New Roman"/>
          <w:b/>
          <w:color w:val="000000"/>
          <w:sz w:val="28"/>
        </w:rPr>
        <w:t xml:space="preserve"> </w:t>
      </w:r>
      <w:r w:rsidRPr="00BF4442">
        <w:rPr>
          <w:rFonts w:ascii="MS Gothic" w:eastAsia="MS Gothic" w:hAnsi="MS Gothic" w:cs="MS Gothic" w:hint="eastAsia"/>
          <w:b/>
          <w:color w:val="000000"/>
          <w:sz w:val="28"/>
        </w:rPr>
        <w:t>Ž</w:t>
      </w:r>
      <w:r w:rsidRPr="00BF4442">
        <w:rPr>
          <w:rFonts w:ascii="Times New Roman" w:hAnsi="Times New Roman" w:cs="Times New Roman"/>
          <w:b/>
          <w:color w:val="000000"/>
          <w:sz w:val="28"/>
        </w:rPr>
        <w:t>EM</w:t>
      </w:r>
      <w:r w:rsidRPr="00BF4442">
        <w:rPr>
          <w:rFonts w:ascii="Times New Roman" w:hAnsi="Times New Roman" w:cs="Times New Roman" w:hint="cs"/>
          <w:b/>
          <w:color w:val="000000"/>
          <w:sz w:val="28"/>
        </w:rPr>
        <w:t>Ė</w:t>
      </w:r>
      <w:r w:rsidRPr="00BF4442">
        <w:rPr>
          <w:rFonts w:ascii="Times New Roman" w:hAnsi="Times New Roman" w:cs="Times New Roman"/>
          <w:b/>
          <w:color w:val="000000"/>
          <w:sz w:val="28"/>
        </w:rPr>
        <w:t>S NAUDOJIMO S</w:t>
      </w:r>
      <w:r w:rsidRPr="00BF4442">
        <w:rPr>
          <w:rFonts w:ascii="Times New Roman" w:hAnsi="Times New Roman" w:cs="Times New Roman" w:hint="cs"/>
          <w:b/>
          <w:color w:val="000000"/>
          <w:sz w:val="28"/>
        </w:rPr>
        <w:t>Ą</w:t>
      </w:r>
      <w:r w:rsidRPr="00BF4442">
        <w:rPr>
          <w:rFonts w:ascii="Times New Roman" w:hAnsi="Times New Roman" w:cs="Times New Roman"/>
          <w:b/>
          <w:color w:val="000000"/>
          <w:sz w:val="28"/>
        </w:rPr>
        <w:t>LYG</w:t>
      </w:r>
      <w:r w:rsidRPr="00BF4442">
        <w:rPr>
          <w:rFonts w:ascii="Times New Roman" w:hAnsi="Times New Roman" w:cs="Times New Roman" w:hint="cs"/>
          <w:b/>
          <w:color w:val="000000"/>
          <w:sz w:val="28"/>
        </w:rPr>
        <w:t>Ų</w:t>
      </w:r>
      <w:r w:rsidRPr="00BF4442">
        <w:rPr>
          <w:rFonts w:ascii="Times New Roman" w:hAnsi="Times New Roman" w:cs="Times New Roman"/>
          <w:b/>
          <w:color w:val="000000"/>
          <w:sz w:val="28"/>
        </w:rPr>
        <w:t xml:space="preserve"> </w:t>
      </w:r>
      <w:r w:rsidRPr="00BF4442">
        <w:rPr>
          <w:rFonts w:ascii="Times New Roman" w:hAnsi="Times New Roman" w:cs="Times New Roman" w:hint="cs"/>
          <w:b/>
          <w:color w:val="000000"/>
          <w:sz w:val="28"/>
        </w:rPr>
        <w:t>Į</w:t>
      </w:r>
      <w:r w:rsidRPr="00BF4442">
        <w:rPr>
          <w:rFonts w:ascii="Times New Roman" w:hAnsi="Times New Roman" w:cs="Times New Roman"/>
          <w:b/>
          <w:color w:val="000000"/>
          <w:sz w:val="28"/>
        </w:rPr>
        <w:t xml:space="preserve">STATYMO </w:t>
      </w:r>
      <w:r w:rsidRPr="00BF4442">
        <w:rPr>
          <w:rFonts w:ascii="Times New Roman" w:hAnsi="Times New Roman" w:cs="Times New Roman" w:hint="cs"/>
          <w:b/>
          <w:color w:val="000000"/>
          <w:sz w:val="28"/>
        </w:rPr>
        <w:t>Į</w:t>
      </w:r>
      <w:r w:rsidRPr="00BF4442">
        <w:rPr>
          <w:rFonts w:ascii="Times New Roman" w:hAnsi="Times New Roman" w:cs="Times New Roman"/>
          <w:b/>
          <w:color w:val="000000"/>
          <w:sz w:val="28"/>
        </w:rPr>
        <w:t>GYVENDINIMO</w:t>
      </w:r>
      <w:bookmarkStart w:id="0" w:name="_GoBack"/>
      <w:bookmarkEnd w:id="0"/>
      <w:r w:rsidRPr="00BF4442">
        <w:rPr>
          <w:rFonts w:ascii="Times New Roman" w:hAnsi="Times New Roman" w:cs="Times New Roman" w:hint="eastAsia"/>
          <w:b/>
          <w:color w:val="000000"/>
          <w:sz w:val="28"/>
        </w:rPr>
        <w:t>“</w:t>
      </w:r>
      <w:r w:rsidRPr="00BF4442">
        <w:rPr>
          <w:rFonts w:ascii="Times New Roman" w:hAnsi="Times New Roman" w:cs="Times New Roman"/>
          <w:b/>
          <w:color w:val="000000"/>
          <w:sz w:val="28"/>
        </w:rPr>
        <w:t xml:space="preserve"> PAKEITIMO</w:t>
      </w:r>
      <w:r w:rsidRPr="00BF4442">
        <w:rPr>
          <w:rFonts w:ascii="Times New Roman" w:hAnsi="Times New Roman" w:cs="Times New Roman" w:hint="eastAsia"/>
          <w:b/>
          <w:color w:val="000000"/>
          <w:sz w:val="28"/>
        </w:rPr>
        <w:t>“</w:t>
      </w:r>
      <w:r w:rsidR="00C33453">
        <w:rPr>
          <w:rFonts w:ascii="Times New Roman" w:hAnsi="Times New Roman" w:cs="Times New Roman"/>
          <w:color w:val="000000"/>
          <w:sz w:val="28"/>
        </w:rPr>
        <w:t xml:space="preserve">  </w:t>
      </w:r>
      <w:r w:rsidR="00C33453">
        <w:rPr>
          <w:rFonts w:ascii="Times New Roman" w:hAnsi="Times New Roman" w:cs="Times New Roman"/>
          <w:b/>
          <w:color w:val="000000"/>
          <w:sz w:val="28"/>
        </w:rPr>
        <w:t>PROJEKTO</w:t>
      </w:r>
    </w:p>
    <w:p w:rsidR="00C33453" w:rsidRDefault="00C33453">
      <w:pPr>
        <w:pStyle w:val="BodyText"/>
        <w:spacing w:after="0"/>
        <w:jc w:val="center"/>
        <w:rPr>
          <w:rFonts w:hint="eastAsia"/>
        </w:rPr>
      </w:pPr>
      <w:r>
        <w:rPr>
          <w:rFonts w:ascii="Times New Roman" w:hAnsi="Times New Roman" w:cs="Times New Roman"/>
          <w:b/>
          <w:color w:val="000000"/>
          <w:sz w:val="28"/>
        </w:rPr>
        <w:t>DERINIMO PAŽYMA</w:t>
      </w:r>
    </w:p>
    <w:p w:rsidR="00C33453" w:rsidRPr="00956A9C" w:rsidRDefault="00C33453">
      <w:pPr>
        <w:pStyle w:val="BodyText"/>
        <w:spacing w:after="0"/>
        <w:jc w:val="center"/>
        <w:rPr>
          <w:rFonts w:ascii="Times New Roman" w:hAnsi="Times New Roman" w:cs="Times New Roman"/>
          <w:b/>
          <w:color w:val="000000"/>
          <w:sz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90"/>
        <w:gridCol w:w="5580"/>
        <w:gridCol w:w="6225"/>
      </w:tblGrid>
      <w:tr w:rsidR="00C33453" w:rsidRPr="00956A9C" w:rsidTr="00D64BBA">
        <w:tc>
          <w:tcPr>
            <w:tcW w:w="2790" w:type="dxa"/>
            <w:tcBorders>
              <w:top w:val="single" w:sz="1" w:space="0" w:color="000000"/>
              <w:left w:val="single" w:sz="1" w:space="0" w:color="000000"/>
              <w:bottom w:val="single" w:sz="1" w:space="0" w:color="000000"/>
            </w:tcBorders>
            <w:shd w:val="clear" w:color="auto" w:fill="auto"/>
          </w:tcPr>
          <w:p w:rsidR="00C33453" w:rsidRPr="00956A9C" w:rsidRDefault="00C33453">
            <w:pPr>
              <w:pStyle w:val="TableContents"/>
              <w:jc w:val="center"/>
              <w:rPr>
                <w:rFonts w:ascii="Times New Roman" w:hAnsi="Times New Roman" w:cs="Times New Roman"/>
              </w:rPr>
            </w:pPr>
            <w:r w:rsidRPr="00956A9C">
              <w:rPr>
                <w:rFonts w:ascii="Times New Roman" w:hAnsi="Times New Roman" w:cs="Times New Roman"/>
                <w:b/>
                <w:bCs/>
              </w:rPr>
              <w:t>Institucijos pavadinimas, rašto data ir numeris</w:t>
            </w:r>
          </w:p>
        </w:tc>
        <w:tc>
          <w:tcPr>
            <w:tcW w:w="5580" w:type="dxa"/>
            <w:tcBorders>
              <w:top w:val="single" w:sz="1" w:space="0" w:color="000000"/>
              <w:left w:val="single" w:sz="1" w:space="0" w:color="000000"/>
              <w:bottom w:val="single" w:sz="1" w:space="0" w:color="000000"/>
            </w:tcBorders>
            <w:shd w:val="clear" w:color="auto" w:fill="auto"/>
          </w:tcPr>
          <w:p w:rsidR="00C33453" w:rsidRPr="00956A9C" w:rsidRDefault="00C33453">
            <w:pPr>
              <w:pStyle w:val="TableContents"/>
              <w:jc w:val="center"/>
              <w:rPr>
                <w:rFonts w:ascii="Times New Roman" w:hAnsi="Times New Roman" w:cs="Times New Roman"/>
              </w:rPr>
            </w:pPr>
            <w:r w:rsidRPr="00956A9C">
              <w:rPr>
                <w:rFonts w:ascii="Times New Roman" w:hAnsi="Times New Roman" w:cs="Times New Roman"/>
                <w:b/>
                <w:bCs/>
              </w:rPr>
              <w:t>Pastabos ir pasiūlymai</w:t>
            </w:r>
          </w:p>
        </w:tc>
        <w:tc>
          <w:tcPr>
            <w:tcW w:w="6225" w:type="dxa"/>
            <w:tcBorders>
              <w:top w:val="single" w:sz="1" w:space="0" w:color="000000"/>
              <w:left w:val="single" w:sz="1" w:space="0" w:color="000000"/>
              <w:bottom w:val="single" w:sz="1" w:space="0" w:color="000000"/>
              <w:right w:val="single" w:sz="1" w:space="0" w:color="000000"/>
            </w:tcBorders>
            <w:shd w:val="clear" w:color="auto" w:fill="auto"/>
          </w:tcPr>
          <w:p w:rsidR="00C33453" w:rsidRPr="00956A9C" w:rsidRDefault="00C33453">
            <w:pPr>
              <w:pStyle w:val="TableContents"/>
              <w:jc w:val="center"/>
              <w:rPr>
                <w:rFonts w:ascii="Times New Roman" w:hAnsi="Times New Roman" w:cs="Times New Roman"/>
              </w:rPr>
            </w:pPr>
            <w:r w:rsidRPr="00956A9C">
              <w:rPr>
                <w:rFonts w:ascii="Times New Roman" w:hAnsi="Times New Roman" w:cs="Times New Roman"/>
                <w:b/>
                <w:bCs/>
              </w:rPr>
              <w:t>Argumentai, kodėl neatsižvelgta į institucijų pastabas ir pasiūlymus</w:t>
            </w:r>
          </w:p>
          <w:p w:rsidR="00C33453" w:rsidRPr="00956A9C" w:rsidRDefault="00C33453">
            <w:pPr>
              <w:pStyle w:val="TableContents"/>
              <w:jc w:val="center"/>
              <w:rPr>
                <w:rFonts w:ascii="Times New Roman" w:hAnsi="Times New Roman" w:cs="Times New Roman"/>
                <w:b/>
                <w:bCs/>
              </w:rPr>
            </w:pPr>
          </w:p>
        </w:tc>
      </w:tr>
      <w:tr w:rsidR="00C33453" w:rsidRPr="00956A9C" w:rsidTr="00D64BBA">
        <w:tc>
          <w:tcPr>
            <w:tcW w:w="2790" w:type="dxa"/>
            <w:tcBorders>
              <w:left w:val="single" w:sz="1" w:space="0" w:color="000000"/>
              <w:bottom w:val="single" w:sz="1" w:space="0" w:color="000000"/>
            </w:tcBorders>
            <w:shd w:val="clear" w:color="auto" w:fill="auto"/>
          </w:tcPr>
          <w:p w:rsidR="00C33453" w:rsidRPr="00956A9C" w:rsidRDefault="00C33453" w:rsidP="00D64BBA">
            <w:pPr>
              <w:pStyle w:val="TableContents"/>
              <w:jc w:val="both"/>
              <w:rPr>
                <w:rFonts w:ascii="Times New Roman" w:hAnsi="Times New Roman" w:cs="Times New Roman"/>
              </w:rPr>
            </w:pPr>
            <w:r w:rsidRPr="00956A9C">
              <w:rPr>
                <w:rFonts w:ascii="Times New Roman" w:hAnsi="Times New Roman" w:cs="Times New Roman"/>
              </w:rPr>
              <w:t>Lietuvos Respublikos teisingumo ministerija,</w:t>
            </w:r>
          </w:p>
          <w:p w:rsidR="00C33453" w:rsidRPr="00956A9C" w:rsidRDefault="00C33453" w:rsidP="00D64BBA">
            <w:pPr>
              <w:pStyle w:val="TableContents"/>
              <w:jc w:val="both"/>
              <w:rPr>
                <w:rFonts w:ascii="Times New Roman" w:hAnsi="Times New Roman" w:cs="Times New Roman"/>
              </w:rPr>
            </w:pPr>
            <w:r w:rsidRPr="00956A9C">
              <w:rPr>
                <w:rFonts w:ascii="Times New Roman" w:hAnsi="Times New Roman" w:cs="Times New Roman"/>
              </w:rPr>
              <w:t>2019-12-30 raštas Nr. (1.6E) 2T-1382</w:t>
            </w:r>
          </w:p>
        </w:tc>
        <w:tc>
          <w:tcPr>
            <w:tcW w:w="5580" w:type="dxa"/>
            <w:tcBorders>
              <w:left w:val="single" w:sz="1" w:space="0" w:color="000000"/>
              <w:bottom w:val="single" w:sz="1" w:space="0" w:color="000000"/>
            </w:tcBorders>
            <w:shd w:val="clear" w:color="auto" w:fill="auto"/>
          </w:tcPr>
          <w:p w:rsidR="00C33453" w:rsidRPr="00956A9C" w:rsidRDefault="00C33453" w:rsidP="00D64BBA">
            <w:pPr>
              <w:pStyle w:val="TableContents"/>
              <w:jc w:val="both"/>
              <w:rPr>
                <w:rFonts w:ascii="Times New Roman" w:hAnsi="Times New Roman" w:cs="Times New Roman"/>
              </w:rPr>
            </w:pPr>
            <w:r w:rsidRPr="00956A9C">
              <w:rPr>
                <w:rFonts w:ascii="Times New Roman" w:hAnsi="Times New Roman" w:cs="Times New Roman"/>
              </w:rPr>
              <w:t>Siūlytina iš Nutarimo projekto antraštės ir Nutarimo projektu siūlomo patvirtinti tvarkos aprašo (toliau – tvarkos aprašas) pavadinimo ir tvarkos aprašo teksto išbraukti žodį „rašytinio“</w:t>
            </w:r>
          </w:p>
          <w:p w:rsidR="00C33453" w:rsidRPr="00956A9C" w:rsidRDefault="00C33453" w:rsidP="00D64BBA">
            <w:pPr>
              <w:pStyle w:val="TableContents"/>
              <w:jc w:val="both"/>
              <w:rPr>
                <w:rFonts w:ascii="Times New Roman" w:hAnsi="Times New Roman" w:cs="Times New Roman"/>
              </w:rPr>
            </w:pPr>
            <w:r w:rsidRPr="00956A9C">
              <w:rPr>
                <w:rFonts w:ascii="Times New Roman" w:hAnsi="Times New Roman" w:cs="Times New Roman"/>
              </w:rPr>
              <w:t>kaip perteklinį, nes derinimo forma turėtų būti nustatyta pačiame tvarkos apraše. Be to, atsižvelgiant į tai, kad Lietuvos Respublikos specialiųjų žemės naudojimo sąlygų įstatymo (toliau</w:t>
            </w:r>
            <w:r w:rsidR="00D64BBA" w:rsidRPr="00956A9C">
              <w:rPr>
                <w:rFonts w:ascii="Times New Roman" w:hAnsi="Times New Roman" w:cs="Times New Roman"/>
              </w:rPr>
              <w:t xml:space="preserve"> </w:t>
            </w:r>
            <w:r w:rsidRPr="00956A9C">
              <w:rPr>
                <w:rFonts w:ascii="Times New Roman" w:hAnsi="Times New Roman" w:cs="Times New Roman"/>
              </w:rPr>
              <w:t>–</w:t>
            </w:r>
            <w:r w:rsidRPr="00956A9C">
              <w:rPr>
                <w:rFonts w:ascii="Times New Roman" w:eastAsia="Source Sans Pro" w:hAnsi="Times New Roman" w:cs="Times New Roman"/>
              </w:rPr>
              <w:t xml:space="preserve"> </w:t>
            </w:r>
            <w:r w:rsidRPr="00956A9C">
              <w:rPr>
                <w:rFonts w:ascii="Times New Roman" w:hAnsi="Times New Roman" w:cs="Times New Roman"/>
              </w:rPr>
              <w:t>Įstatymas) 117 straipsnio 1 ir 2 dalyse vartojama sąvoka „derinimo“, todėl Nutarimo projekto pavadinime, tvarkos aprašo antraštėje ir tekste vietoj žodžio „suderinimo“ siūlytina įrašyti žodį „derinimo“. Atsižvelgiant į tai, kad Įstatymo 117 straipsnio 3 dalyje vartojama formuluotė „statinių ir įrenginių statyba, rekonstravimas ir (ar) įrengimas“, todėl siūlytina koreguoti Nutarimo projekto pavadinimo, tvarkos antraštės ir tvarkos aprašo teksto atitinkamas nuostatas (1, 3, 5, 7, 8, 10, 12 punktai ir kt.), derinant su minėta Įstatymo formuluote.</w:t>
            </w:r>
          </w:p>
        </w:tc>
        <w:tc>
          <w:tcPr>
            <w:tcW w:w="6225" w:type="dxa"/>
            <w:tcBorders>
              <w:left w:val="single" w:sz="1" w:space="0" w:color="000000"/>
              <w:bottom w:val="single" w:sz="1" w:space="0" w:color="000000"/>
              <w:right w:val="single" w:sz="1" w:space="0" w:color="000000"/>
            </w:tcBorders>
            <w:shd w:val="clear" w:color="auto" w:fill="auto"/>
          </w:tcPr>
          <w:p w:rsidR="00C33453" w:rsidRPr="00956A9C" w:rsidRDefault="00C33453" w:rsidP="00D64BBA">
            <w:pPr>
              <w:pStyle w:val="TableContents"/>
              <w:snapToGrid w:val="0"/>
              <w:jc w:val="both"/>
              <w:rPr>
                <w:rFonts w:ascii="Times New Roman" w:hAnsi="Times New Roman" w:cs="Times New Roman"/>
              </w:rPr>
            </w:pPr>
            <w:r w:rsidRPr="00956A9C">
              <w:rPr>
                <w:rFonts w:ascii="Times New Roman" w:hAnsi="Times New Roman" w:cs="Times New Roman"/>
                <w:b/>
              </w:rPr>
              <w:t>Atsižvelgta iš dalies.</w:t>
            </w:r>
            <w:r w:rsidRPr="00956A9C">
              <w:rPr>
                <w:rFonts w:ascii="Times New Roman" w:hAnsi="Times New Roman" w:cs="Times New Roman"/>
              </w:rPr>
              <w:t xml:space="preserve"> Nutarimo projekte išbrauktas žodis „rašytinio“ ir vietoj žodžio „suderinimo“ įrašytas žodis „derinimo“. Nutarimo projekto pavadinimas, tvarkos antraštės pakoreguotos pagal siūlymą atsižvelgiant į Įstatymo 117 straipsnio 3 dalyje vartojamą formuluotę „statinių ir įrenginių statyba, rekonstravimas ir (ar) įrengimas“. Siekiant aiškumo ir tikslumo Tvarkos aprašo tekste (5, 7, 8 punktai)  vartojama formuluotė pagal Įstatymo 117 straipsnio 1 ir 2 dalių formuluotę „statyti statinius, įrengti įrenginius“, „didinti statinių ar įrenginių aukštį“, „rekonstruoti statinius ar įrenginius į statinius ar įrenginius“, todėl dėl nurodytų tvarkos aprašo punktų tikslinimo į siūlymą neatsižvelgta.</w:t>
            </w:r>
          </w:p>
          <w:p w:rsidR="00C33453" w:rsidRPr="00956A9C" w:rsidRDefault="00C33453" w:rsidP="00D64BBA">
            <w:pPr>
              <w:pStyle w:val="TableContents"/>
              <w:snapToGrid w:val="0"/>
              <w:jc w:val="both"/>
              <w:rPr>
                <w:rFonts w:ascii="Times New Roman" w:hAnsi="Times New Roman" w:cs="Times New Roman"/>
              </w:rPr>
            </w:pPr>
            <w:r w:rsidRPr="00956A9C">
              <w:rPr>
                <w:rFonts w:ascii="Times New Roman" w:hAnsi="Times New Roman" w:cs="Times New Roman"/>
              </w:rPr>
              <w:t>Po papildomo derinimo su teisingumo ministerija atsisakyta nuostatų dėl reikalavimo pateikti asmens tapatybės dokumento kopiją.</w:t>
            </w:r>
          </w:p>
        </w:tc>
      </w:tr>
      <w:tr w:rsidR="00D64BBA" w:rsidRPr="00956A9C" w:rsidTr="00D64BBA">
        <w:tc>
          <w:tcPr>
            <w:tcW w:w="2790" w:type="dxa"/>
            <w:tcBorders>
              <w:left w:val="single" w:sz="1" w:space="0" w:color="000000"/>
              <w:bottom w:val="single" w:sz="1" w:space="0" w:color="000000"/>
            </w:tcBorders>
            <w:shd w:val="clear" w:color="auto" w:fill="auto"/>
          </w:tcPr>
          <w:p w:rsidR="00D64BBA" w:rsidRPr="00956A9C" w:rsidRDefault="00D64BBA" w:rsidP="00D64BBA">
            <w:pPr>
              <w:pStyle w:val="TableContents"/>
              <w:snapToGrid w:val="0"/>
              <w:jc w:val="both"/>
              <w:rPr>
                <w:rFonts w:ascii="Times New Roman" w:hAnsi="Times New Roman" w:cs="Times New Roman"/>
              </w:rPr>
            </w:pPr>
            <w:r w:rsidRPr="00956A9C">
              <w:rPr>
                <w:rFonts w:ascii="Times New Roman" w:hAnsi="Times New Roman" w:cs="Times New Roman"/>
              </w:rPr>
              <w:t>Nacionalinė žemės tarnyba prie Žemės ūkio ministerijos</w:t>
            </w:r>
          </w:p>
          <w:p w:rsidR="00D64BBA" w:rsidRPr="00956A9C" w:rsidRDefault="00D64BBA" w:rsidP="00D64BBA">
            <w:pPr>
              <w:pStyle w:val="TableContents"/>
              <w:snapToGrid w:val="0"/>
              <w:jc w:val="both"/>
              <w:rPr>
                <w:rFonts w:ascii="Times New Roman" w:hAnsi="Times New Roman" w:cs="Times New Roman"/>
              </w:rPr>
            </w:pPr>
            <w:r w:rsidRPr="00956A9C">
              <w:rPr>
                <w:rFonts w:ascii="Times New Roman" w:hAnsi="Times New Roman" w:cs="Times New Roman"/>
              </w:rPr>
              <w:t>2019-12-19 rašto Nr. 1SD-</w:t>
            </w:r>
            <w:r w:rsidRPr="00956A9C">
              <w:rPr>
                <w:rFonts w:ascii="Times New Roman" w:hAnsi="Times New Roman" w:cs="Times New Roman"/>
              </w:rPr>
              <w:lastRenderedPageBreak/>
              <w:t>3767-(3.3)</w:t>
            </w:r>
          </w:p>
        </w:tc>
        <w:tc>
          <w:tcPr>
            <w:tcW w:w="5580" w:type="dxa"/>
            <w:tcBorders>
              <w:left w:val="single" w:sz="1" w:space="0" w:color="000000"/>
              <w:bottom w:val="single" w:sz="1" w:space="0" w:color="000000"/>
            </w:tcBorders>
            <w:shd w:val="clear" w:color="auto" w:fill="auto"/>
          </w:tcPr>
          <w:p w:rsidR="00D64BBA" w:rsidRPr="00956A9C" w:rsidRDefault="00D64BBA" w:rsidP="00D64BBA">
            <w:pPr>
              <w:pStyle w:val="TableContents"/>
              <w:snapToGrid w:val="0"/>
              <w:jc w:val="both"/>
              <w:rPr>
                <w:rFonts w:ascii="Times New Roman" w:hAnsi="Times New Roman" w:cs="Times New Roman"/>
              </w:rPr>
            </w:pPr>
            <w:r w:rsidRPr="00956A9C">
              <w:rPr>
                <w:rFonts w:ascii="Times New Roman" w:hAnsi="Times New Roman" w:cs="Times New Roman"/>
              </w:rPr>
              <w:lastRenderedPageBreak/>
              <w:t xml:space="preserve">Statyba, kaip ji pabrėžiama Lietuvos Respublikos statybos įstatymo 2 straipsnio 85 dalyje, gali būti vykdoma ne tik statytojo nuosavybės teise valdomame žemės sklype.  Nacionalinės žemės tarnybos nuomone, </w:t>
            </w:r>
            <w:r w:rsidRPr="00956A9C">
              <w:rPr>
                <w:rFonts w:ascii="Times New Roman" w:hAnsi="Times New Roman" w:cs="Times New Roman"/>
              </w:rPr>
              <w:lastRenderedPageBreak/>
              <w:t>būtina užtikrinti, kad statytojas, kuris nėra žemės sklypo savininkas, nepaisant to, ar yra rengiamas statinio projektas, ar ne, būtų gavęs žemės savininko sutikimą.</w:t>
            </w:r>
          </w:p>
        </w:tc>
        <w:tc>
          <w:tcPr>
            <w:tcW w:w="6225" w:type="dxa"/>
            <w:tcBorders>
              <w:left w:val="single" w:sz="1" w:space="0" w:color="000000"/>
              <w:bottom w:val="single" w:sz="1" w:space="0" w:color="000000"/>
              <w:right w:val="single" w:sz="1" w:space="0" w:color="000000"/>
            </w:tcBorders>
            <w:shd w:val="clear" w:color="auto" w:fill="auto"/>
          </w:tcPr>
          <w:p w:rsidR="00D64BBA" w:rsidRPr="00956A9C" w:rsidRDefault="00D64BBA" w:rsidP="00D64BBA">
            <w:pPr>
              <w:pStyle w:val="TableContents"/>
              <w:snapToGrid w:val="0"/>
              <w:jc w:val="both"/>
              <w:rPr>
                <w:rFonts w:ascii="Times New Roman" w:hAnsi="Times New Roman" w:cs="Times New Roman"/>
              </w:rPr>
            </w:pPr>
            <w:r w:rsidRPr="00956A9C">
              <w:rPr>
                <w:rFonts w:ascii="Times New Roman" w:hAnsi="Times New Roman" w:cs="Times New Roman"/>
                <w:b/>
              </w:rPr>
              <w:lastRenderedPageBreak/>
              <w:t>Neatsižvelgta.</w:t>
            </w:r>
            <w:r w:rsidRPr="00956A9C">
              <w:rPr>
                <w:rFonts w:ascii="Times New Roman" w:hAnsi="Times New Roman" w:cs="Times New Roman"/>
              </w:rPr>
              <w:t xml:space="preserve"> Po papildomo derinimo Nacionalinė žemės tarnyba sutiko su pateiktais argumentais ir atsisakė šios pastabos. </w:t>
            </w:r>
          </w:p>
          <w:p w:rsidR="00D64BBA" w:rsidRPr="00956A9C" w:rsidRDefault="00D64BBA" w:rsidP="00D64BBA">
            <w:pPr>
              <w:pStyle w:val="TableContents"/>
              <w:snapToGrid w:val="0"/>
              <w:jc w:val="both"/>
              <w:rPr>
                <w:rFonts w:ascii="Times New Roman" w:hAnsi="Times New Roman" w:cs="Times New Roman"/>
              </w:rPr>
            </w:pPr>
            <w:r w:rsidRPr="00956A9C">
              <w:rPr>
                <w:rFonts w:ascii="Times New Roman" w:hAnsi="Times New Roman" w:cs="Times New Roman"/>
              </w:rPr>
              <w:t xml:space="preserve">Nacionalinei žemės tarnybai pateikti argumentai, su kuriais ji </w:t>
            </w:r>
            <w:r w:rsidRPr="00956A9C">
              <w:rPr>
                <w:rFonts w:ascii="Times New Roman" w:hAnsi="Times New Roman" w:cs="Times New Roman"/>
              </w:rPr>
              <w:lastRenderedPageBreak/>
              <w:t>sutiko: Tarnyba  įgaliota įvertinti, ar  Įstatymo 117 straipsnio 1 ir 2 dalyse nurodytų statinių ar įrenginių statyba, rekonstravimas ir (ar) įrengimas netrukdys kritulių stebėjimams ir matavimams meteorologinių radiolokatorių apsaugos zonose.  Nurodyto siūlymo įgyvendinimą turėtų atlikti įgaliotos institucijos teisės aktų nustatyta tvarka išduodančios statybą leidžiančius dokumentus.</w:t>
            </w:r>
          </w:p>
        </w:tc>
      </w:tr>
      <w:tr w:rsidR="00D64BBA" w:rsidRPr="00956A9C" w:rsidTr="00D64BBA">
        <w:tc>
          <w:tcPr>
            <w:tcW w:w="2790" w:type="dxa"/>
            <w:tcBorders>
              <w:left w:val="single" w:sz="1" w:space="0" w:color="000000"/>
              <w:bottom w:val="single" w:sz="1" w:space="0" w:color="000000"/>
            </w:tcBorders>
            <w:shd w:val="clear" w:color="auto" w:fill="auto"/>
          </w:tcPr>
          <w:p w:rsidR="00D64BBA" w:rsidRPr="00956A9C" w:rsidRDefault="00D64BBA" w:rsidP="00D64BBA">
            <w:pPr>
              <w:pStyle w:val="TableContents"/>
              <w:snapToGrid w:val="0"/>
              <w:jc w:val="both"/>
              <w:rPr>
                <w:rFonts w:ascii="Times New Roman" w:hAnsi="Times New Roman" w:cs="Times New Roman"/>
              </w:rPr>
            </w:pPr>
            <w:r w:rsidRPr="00956A9C">
              <w:rPr>
                <w:rFonts w:ascii="Times New Roman" w:hAnsi="Times New Roman" w:cs="Times New Roman"/>
              </w:rPr>
              <w:lastRenderedPageBreak/>
              <w:t>Lietuvos Respublikos žemės ūkio ministerija,</w:t>
            </w:r>
          </w:p>
          <w:p w:rsidR="00D64BBA" w:rsidRPr="00956A9C" w:rsidRDefault="00D64BBA" w:rsidP="00D64BBA">
            <w:pPr>
              <w:pStyle w:val="TableContents"/>
              <w:snapToGrid w:val="0"/>
              <w:jc w:val="both"/>
              <w:rPr>
                <w:rFonts w:ascii="Times New Roman" w:hAnsi="Times New Roman" w:cs="Times New Roman"/>
              </w:rPr>
            </w:pPr>
            <w:r w:rsidRPr="00956A9C">
              <w:rPr>
                <w:rFonts w:ascii="Times New Roman" w:hAnsi="Times New Roman" w:cs="Times New Roman"/>
              </w:rPr>
              <w:t>2019-12-13 rašto Nr. 19-14780</w:t>
            </w:r>
          </w:p>
        </w:tc>
        <w:tc>
          <w:tcPr>
            <w:tcW w:w="5580" w:type="dxa"/>
            <w:tcBorders>
              <w:left w:val="single" w:sz="1" w:space="0" w:color="000000"/>
              <w:bottom w:val="single" w:sz="1" w:space="0" w:color="000000"/>
            </w:tcBorders>
            <w:shd w:val="clear" w:color="auto" w:fill="auto"/>
          </w:tcPr>
          <w:p w:rsidR="00D64BBA" w:rsidRPr="00956A9C" w:rsidRDefault="00D64BBA" w:rsidP="00D64BBA">
            <w:pPr>
              <w:pStyle w:val="TableContents"/>
              <w:snapToGrid w:val="0"/>
              <w:jc w:val="both"/>
              <w:rPr>
                <w:rFonts w:ascii="Times New Roman" w:hAnsi="Times New Roman" w:cs="Times New Roman"/>
              </w:rPr>
            </w:pPr>
            <w:r w:rsidRPr="00956A9C">
              <w:rPr>
                <w:rFonts w:ascii="Times New Roman" w:hAnsi="Times New Roman" w:cs="Times New Roman"/>
              </w:rPr>
              <w:t>Pagal kompetenciją pastabų ir pasiūlymų šiam Nutarimo projektui savivaldybės neturi, tačiau manome, kad siekiant sumažinti administracinę naštą pareiškėjams, svarstytina galimybė statinių statybos, rekonstravimo ar įrenginių įrengimo meteorologinių radiolokatorių apsaugos zonose išdavimo tvarką integruoti į bendrą statybos leidimų išdavimo tvarką ir ją vykdyti per informacinę sistemą „</w:t>
            </w:r>
            <w:proofErr w:type="spellStart"/>
            <w:r w:rsidRPr="00956A9C">
              <w:rPr>
                <w:rFonts w:ascii="Times New Roman" w:hAnsi="Times New Roman" w:cs="Times New Roman"/>
              </w:rPr>
              <w:t>Infostatyba</w:t>
            </w:r>
            <w:proofErr w:type="spellEnd"/>
            <w:r w:rsidRPr="00956A9C">
              <w:rPr>
                <w:rFonts w:ascii="Times New Roman" w:hAnsi="Times New Roman" w:cs="Times New Roman"/>
              </w:rPr>
              <w:t>“.</w:t>
            </w:r>
          </w:p>
        </w:tc>
        <w:tc>
          <w:tcPr>
            <w:tcW w:w="6225" w:type="dxa"/>
            <w:tcBorders>
              <w:left w:val="single" w:sz="1" w:space="0" w:color="000000"/>
              <w:bottom w:val="single" w:sz="1" w:space="0" w:color="000000"/>
              <w:right w:val="single" w:sz="1" w:space="0" w:color="000000"/>
            </w:tcBorders>
            <w:shd w:val="clear" w:color="auto" w:fill="auto"/>
          </w:tcPr>
          <w:p w:rsidR="00D64BBA" w:rsidRPr="00956A9C" w:rsidRDefault="00D64BBA" w:rsidP="00D64BBA">
            <w:pPr>
              <w:jc w:val="both"/>
              <w:rPr>
                <w:rFonts w:ascii="Times New Roman" w:hAnsi="Times New Roman" w:cs="Times New Roman"/>
              </w:rPr>
            </w:pPr>
            <w:r w:rsidRPr="00956A9C">
              <w:rPr>
                <w:rFonts w:ascii="Times New Roman" w:hAnsi="Times New Roman" w:cs="Times New Roman"/>
                <w:b/>
              </w:rPr>
              <w:t>Neatsi</w:t>
            </w:r>
            <w:r w:rsidRPr="00956A9C">
              <w:rPr>
                <w:rFonts w:ascii="Times New Roman" w:eastAsia="MS Gothic" w:hAnsi="Times New Roman" w:cs="Times New Roman"/>
                <w:b/>
              </w:rPr>
              <w:t>ž</w:t>
            </w:r>
            <w:r w:rsidRPr="00956A9C">
              <w:rPr>
                <w:rFonts w:ascii="Times New Roman" w:hAnsi="Times New Roman" w:cs="Times New Roman"/>
                <w:b/>
              </w:rPr>
              <w:t>velgta.</w:t>
            </w:r>
            <w:r w:rsidRPr="00956A9C">
              <w:rPr>
                <w:rFonts w:ascii="Times New Roman" w:hAnsi="Times New Roman" w:cs="Times New Roman"/>
              </w:rPr>
              <w:t xml:space="preserve"> Įvertinus galiojančius teisės aktus ir statybos leidimo išdavimo procesą ir procedūrą, manytina, kad siūlymas dėl pritarimo statinių statybos, rekonstravimo ar įrenginių įrengimo meteorologinių radiolokatorių apsaugos zonose išdavimo integravimo į bendrą statybos leidimų išdavimo tvarką ir jos vykdymo per informacinę sistemą „</w:t>
            </w:r>
            <w:proofErr w:type="spellStart"/>
            <w:r w:rsidRPr="00956A9C">
              <w:rPr>
                <w:rFonts w:ascii="Times New Roman" w:hAnsi="Times New Roman" w:cs="Times New Roman"/>
              </w:rPr>
              <w:t>Infostatyba</w:t>
            </w:r>
            <w:proofErr w:type="spellEnd"/>
            <w:r w:rsidRPr="00956A9C">
              <w:rPr>
                <w:rFonts w:ascii="Times New Roman" w:hAnsi="Times New Roman" w:cs="Times New Roman"/>
              </w:rPr>
              <w:t xml:space="preserve">“ yra netikslingas. </w:t>
            </w:r>
          </w:p>
          <w:p w:rsidR="00D64BBA" w:rsidRPr="00956A9C" w:rsidRDefault="00D64BBA" w:rsidP="00D64BBA">
            <w:pPr>
              <w:snapToGrid w:val="0"/>
              <w:jc w:val="both"/>
              <w:rPr>
                <w:rFonts w:ascii="Times New Roman" w:hAnsi="Times New Roman" w:cs="Times New Roman"/>
              </w:rPr>
            </w:pPr>
            <w:proofErr w:type="spellStart"/>
            <w:r w:rsidRPr="00956A9C">
              <w:rPr>
                <w:rFonts w:ascii="Times New Roman" w:hAnsi="Times New Roman" w:cs="Times New Roman"/>
                <w:lang w:val="en-US"/>
              </w:rPr>
              <w:t>Pagal</w:t>
            </w:r>
            <w:proofErr w:type="spellEnd"/>
            <w:r w:rsidRPr="00956A9C">
              <w:rPr>
                <w:rFonts w:ascii="Times New Roman" w:hAnsi="Times New Roman" w:cs="Times New Roman"/>
                <w:lang w:val="en-US"/>
              </w:rPr>
              <w:t xml:space="preserve"> </w:t>
            </w:r>
            <w:proofErr w:type="spellStart"/>
            <w:r w:rsidRPr="00956A9C">
              <w:rPr>
                <w:rFonts w:ascii="Times New Roman" w:hAnsi="Times New Roman" w:cs="Times New Roman"/>
                <w:lang w:val="en-US"/>
              </w:rPr>
              <w:t>Statybos</w:t>
            </w:r>
            <w:proofErr w:type="spellEnd"/>
            <w:r w:rsidRPr="00956A9C">
              <w:rPr>
                <w:rFonts w:ascii="Times New Roman" w:hAnsi="Times New Roman" w:cs="Times New Roman"/>
                <w:lang w:val="en-US"/>
              </w:rPr>
              <w:t xml:space="preserve"> </w:t>
            </w:r>
            <w:r w:rsidRPr="00956A9C">
              <w:rPr>
                <w:rFonts w:ascii="Times New Roman" w:hAnsi="Times New Roman" w:cs="Times New Roman"/>
              </w:rPr>
              <w:t>įstatymą, Specialiųjų žemės naudojimo sąlygų įstatymą apsaugos zonų valdytojai nėra subjektai, pritariantys statinių projektams. Apsaugos zonų valdytojai nederina visos apimties statinių projektų, o tik vertina, ar apsaugos zonose planuojama veikla yra galima ar ne ir jai pritaria arba ne. Pagal galiojančius teisės aktus iki pateikiant prašymą išduoti statybą leidžiantį dokumentą, privaloma gauti apsaugos zonų valdytojų ar naudotojų rašytinius pritarimus statinio projektui. Norint įgyvendinti siūlymą, reikėtų keisti šiuos įstatymus, taip pat atlikti sisteminius pakeitimus informacinėje sistemoje „</w:t>
            </w:r>
            <w:proofErr w:type="spellStart"/>
            <w:r w:rsidRPr="00956A9C">
              <w:rPr>
                <w:rFonts w:ascii="Times New Roman" w:hAnsi="Times New Roman" w:cs="Times New Roman"/>
              </w:rPr>
              <w:t>Infostatyba</w:t>
            </w:r>
            <w:proofErr w:type="spellEnd"/>
            <w:r w:rsidRPr="00956A9C">
              <w:rPr>
                <w:rFonts w:ascii="Times New Roman" w:hAnsi="Times New Roman" w:cs="Times New Roman"/>
              </w:rPr>
              <w:t xml:space="preserve">“. Kita vertus, apsaugos zonų valdytojų yra labai platus ratas, todėl juos įtraukus būtų apsunkintas </w:t>
            </w:r>
            <w:proofErr w:type="spellStart"/>
            <w:r w:rsidRPr="00956A9C">
              <w:rPr>
                <w:rFonts w:ascii="Times New Roman" w:hAnsi="Times New Roman" w:cs="Times New Roman"/>
                <w:lang w:val="en-US"/>
              </w:rPr>
              <w:t>statybos</w:t>
            </w:r>
            <w:proofErr w:type="spellEnd"/>
            <w:r w:rsidRPr="00956A9C">
              <w:rPr>
                <w:rFonts w:ascii="Times New Roman" w:hAnsi="Times New Roman" w:cs="Times New Roman"/>
                <w:lang w:val="en-US"/>
              </w:rPr>
              <w:t xml:space="preserve"> </w:t>
            </w:r>
            <w:proofErr w:type="spellStart"/>
            <w:r w:rsidRPr="00956A9C">
              <w:rPr>
                <w:rFonts w:ascii="Times New Roman" w:hAnsi="Times New Roman" w:cs="Times New Roman"/>
                <w:lang w:val="en-US"/>
              </w:rPr>
              <w:t>leidim</w:t>
            </w:r>
            <w:proofErr w:type="spellEnd"/>
            <w:r w:rsidRPr="00956A9C">
              <w:rPr>
                <w:rFonts w:ascii="Times New Roman" w:hAnsi="Times New Roman" w:cs="Times New Roman"/>
              </w:rPr>
              <w:t>ų</w:t>
            </w:r>
            <w:r w:rsidRPr="00956A9C">
              <w:rPr>
                <w:rFonts w:ascii="Times New Roman" w:hAnsi="Times New Roman" w:cs="Times New Roman"/>
                <w:lang w:val="en-US"/>
              </w:rPr>
              <w:t xml:space="preserve"> </w:t>
            </w:r>
            <w:r w:rsidRPr="00956A9C">
              <w:rPr>
                <w:rFonts w:ascii="Times New Roman" w:hAnsi="Times New Roman" w:cs="Times New Roman"/>
              </w:rPr>
              <w:t xml:space="preserve">išdavimo procesas, jis taptų ilgesnis, sudėtingesnis ir brangesnis. </w:t>
            </w:r>
          </w:p>
          <w:p w:rsidR="00D64BBA" w:rsidRPr="00956A9C" w:rsidRDefault="00D64BBA" w:rsidP="00D64BBA">
            <w:pPr>
              <w:pStyle w:val="TableContents"/>
              <w:snapToGrid w:val="0"/>
              <w:jc w:val="both"/>
              <w:rPr>
                <w:rFonts w:ascii="Times New Roman" w:hAnsi="Times New Roman" w:cs="Times New Roman"/>
              </w:rPr>
            </w:pPr>
          </w:p>
          <w:p w:rsidR="00D64BBA" w:rsidRPr="00956A9C" w:rsidRDefault="00D64BBA" w:rsidP="00D64BBA">
            <w:pPr>
              <w:pStyle w:val="TableContents"/>
              <w:snapToGrid w:val="0"/>
              <w:jc w:val="both"/>
              <w:rPr>
                <w:rFonts w:ascii="Times New Roman" w:hAnsi="Times New Roman" w:cs="Times New Roman"/>
              </w:rPr>
            </w:pPr>
            <w:r w:rsidRPr="00956A9C">
              <w:rPr>
                <w:rFonts w:ascii="Times New Roman" w:hAnsi="Times New Roman" w:cs="Times New Roman"/>
              </w:rPr>
              <w:t>Galiojančio reglamentavimo pagrindinės nuostatos:</w:t>
            </w:r>
          </w:p>
          <w:p w:rsidR="00D64BBA" w:rsidRPr="00956A9C" w:rsidRDefault="00D64BBA" w:rsidP="00D64BBA">
            <w:pPr>
              <w:pStyle w:val="TableContents"/>
              <w:snapToGrid w:val="0"/>
              <w:jc w:val="both"/>
              <w:rPr>
                <w:rFonts w:ascii="Times New Roman" w:hAnsi="Times New Roman" w:cs="Times New Roman"/>
              </w:rPr>
            </w:pPr>
            <w:r w:rsidRPr="00956A9C">
              <w:rPr>
                <w:rFonts w:ascii="Times New Roman" w:hAnsi="Times New Roman" w:cs="Times New Roman"/>
              </w:rPr>
              <w:t xml:space="preserve">Statybos techninio reglamento STR 1.05.01:2017 „Statybą leidžiantys dokumentai. Statybos užbaigimas. Statybos sustabdymas. Savavališkos statybos padarinių šalinimas. Statybos pagal neteisėtai išduotą statybą leidžiantį dokumentą </w:t>
            </w:r>
            <w:r w:rsidRPr="00956A9C">
              <w:rPr>
                <w:rFonts w:ascii="Times New Roman" w:hAnsi="Times New Roman" w:cs="Times New Roman"/>
              </w:rPr>
              <w:lastRenderedPageBreak/>
              <w:t>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STR 1.05.01:2017 ) 5 punkte nustatyta, kad 5. Viešojo administravimo subjektai Reglamente nurodytas statybą leidžiančių dokumentų išdavimo, statybos užbaigimo, statybos sustabdymo, savavališkos statybos ir statybos pagal neteisėtai išduotą statybą leidžiantį dokumentą padarinių šalinimo procedūras atlieka naudodamiesi Lietuvos Respublikos statybos leidimų ir statybos valstybinės priežiūros informacine sistema „</w:t>
            </w:r>
            <w:proofErr w:type="spellStart"/>
            <w:r w:rsidRPr="00956A9C">
              <w:rPr>
                <w:rFonts w:ascii="Times New Roman" w:hAnsi="Times New Roman" w:cs="Times New Roman"/>
              </w:rPr>
              <w:t>Infostatyba</w:t>
            </w:r>
            <w:proofErr w:type="spellEnd"/>
            <w:r w:rsidRPr="00956A9C">
              <w:rPr>
                <w:rFonts w:ascii="Times New Roman" w:hAnsi="Times New Roman" w:cs="Times New Roman"/>
              </w:rPr>
              <w:t>“ (toliau – IS „</w:t>
            </w:r>
            <w:proofErr w:type="spellStart"/>
            <w:r w:rsidRPr="00956A9C">
              <w:rPr>
                <w:rFonts w:ascii="Times New Roman" w:hAnsi="Times New Roman" w:cs="Times New Roman"/>
              </w:rPr>
              <w:t>Infostatyba</w:t>
            </w:r>
            <w:proofErr w:type="spellEnd"/>
            <w:r w:rsidRPr="00956A9C">
              <w:rPr>
                <w:rFonts w:ascii="Times New Roman" w:hAnsi="Times New Roman" w:cs="Times New Roman"/>
              </w:rPr>
              <w:t>“) [8.36]. Kai nėra techninių galimybių naudotis IS „</w:t>
            </w:r>
            <w:proofErr w:type="spellStart"/>
            <w:r w:rsidRPr="00956A9C">
              <w:rPr>
                <w:rFonts w:ascii="Times New Roman" w:hAnsi="Times New Roman" w:cs="Times New Roman"/>
              </w:rPr>
              <w:t>Infostatyba</w:t>
            </w:r>
            <w:proofErr w:type="spellEnd"/>
            <w:r w:rsidRPr="00956A9C">
              <w:rPr>
                <w:rFonts w:ascii="Times New Roman" w:hAnsi="Times New Roman" w:cs="Times New Roman"/>
              </w:rPr>
              <w:t>“, dokumentai, susiję su statybos sustabdymu, savavališkos statybos ir statybos pagal neteisėtai išduotą statybą leidžiantį dokumentą padarinių šalinimu, registruojami Valstybinės teritorijų planavimo ir statybos inspekcijos prie Aplinkos ministerijos (toliau – Inspekcija) dokumentų valdymo informacinėje sistemoje (toliau – DVIS).</w:t>
            </w:r>
          </w:p>
          <w:p w:rsidR="00D64BBA" w:rsidRPr="00956A9C" w:rsidRDefault="00D64BBA" w:rsidP="00D64BBA">
            <w:pPr>
              <w:pStyle w:val="TableContents"/>
              <w:snapToGrid w:val="0"/>
              <w:jc w:val="both"/>
              <w:rPr>
                <w:rFonts w:ascii="Times New Roman" w:hAnsi="Times New Roman" w:cs="Times New Roman"/>
              </w:rPr>
            </w:pPr>
            <w:r w:rsidRPr="00956A9C">
              <w:rPr>
                <w:rFonts w:ascii="Times New Roman" w:hAnsi="Times New Roman" w:cs="Times New Roman"/>
              </w:rPr>
              <w:t>STR 1.05.01:2017 6 priede nustatyta, kad „Iki pateikiant prašymą išduoti statybą leidžiantį dokumentą, privaloma gauti šių subjektų rašytinius pritarimus statinio projektui:</w:t>
            </w:r>
          </w:p>
          <w:p w:rsidR="00D64BBA" w:rsidRPr="00956A9C" w:rsidRDefault="00D64BBA" w:rsidP="00D64BBA">
            <w:pPr>
              <w:pStyle w:val="TableContents"/>
              <w:snapToGrid w:val="0"/>
              <w:jc w:val="both"/>
              <w:rPr>
                <w:rFonts w:ascii="Times New Roman" w:hAnsi="Times New Roman" w:cs="Times New Roman"/>
              </w:rPr>
            </w:pPr>
            <w:r w:rsidRPr="00956A9C">
              <w:rPr>
                <w:rFonts w:ascii="Times New Roman" w:hAnsi="Times New Roman" w:cs="Times New Roman"/>
              </w:rPr>
              <w:t>1. Jei statinio projekte suprojektuoti statiniai patenka į kitų statinių apsaugos zonas [8.22] arba numatomi statyti mažesniais nei nurodyti norminiai atstumai iki kitų statinių – tų statinių savininkų, o, esant atitinkamam savininko įgaliojimui, – tų statinių valdytojų ar naudotojų.“.</w:t>
            </w:r>
          </w:p>
        </w:tc>
      </w:tr>
    </w:tbl>
    <w:p w:rsidR="00C33453" w:rsidRPr="00956A9C" w:rsidRDefault="00C33453">
      <w:pPr>
        <w:rPr>
          <w:rFonts w:ascii="Times New Roman" w:hAnsi="Times New Roman" w:cs="Times New Roman"/>
        </w:rPr>
      </w:pPr>
    </w:p>
    <w:p w:rsidR="00C33453" w:rsidRPr="00956A9C" w:rsidRDefault="00C33453">
      <w:pPr>
        <w:rPr>
          <w:rFonts w:ascii="Times New Roman" w:hAnsi="Times New Roman" w:cs="Times New Roman"/>
        </w:rPr>
      </w:pPr>
    </w:p>
    <w:p w:rsidR="00C33453" w:rsidRPr="00956A9C" w:rsidRDefault="00C33453">
      <w:pPr>
        <w:rPr>
          <w:rFonts w:ascii="Times New Roman" w:hAnsi="Times New Roman" w:cs="Times New Roman"/>
        </w:rPr>
      </w:pPr>
    </w:p>
    <w:p w:rsidR="00C33453" w:rsidRPr="00956A9C" w:rsidRDefault="00C33453">
      <w:pPr>
        <w:jc w:val="center"/>
        <w:rPr>
          <w:rFonts w:ascii="Times New Roman" w:hAnsi="Times New Roman" w:cs="Times New Roman"/>
        </w:rPr>
      </w:pPr>
      <w:r w:rsidRPr="00956A9C">
        <w:rPr>
          <w:rFonts w:ascii="Times New Roman" w:hAnsi="Times New Roman" w:cs="Times New Roman"/>
        </w:rPr>
        <w:t>____________________</w:t>
      </w:r>
    </w:p>
    <w:sectPr w:rsidR="00C33453" w:rsidRPr="00956A9C">
      <w:pgSz w:w="16838" w:h="11906" w:orient="landscape"/>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ource Sans Pro">
    <w:altName w:val="Arial"/>
    <w:charset w:val="01"/>
    <w:family w:val="swiss"/>
    <w:pitch w:val="default"/>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BBA"/>
    <w:rsid w:val="002729EF"/>
    <w:rsid w:val="007D2C52"/>
    <w:rsid w:val="00956A9C"/>
    <w:rsid w:val="00BF4442"/>
    <w:rsid w:val="00C33453"/>
    <w:rsid w:val="00D64B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Source Sans Pro" w:eastAsia="NSimSun" w:hAnsi="Source Sans Pro" w:cs="Arial"/>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Source Sans Pro" w:eastAsia="NSimSun" w:hAnsi="Source Sans Pro" w:cs="Arial"/>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4424</Words>
  <Characters>2523</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Vesta Burdenkovaitė</dc:creator>
  <cp:lastModifiedBy>Judita Liukaitytė - Kukienė</cp:lastModifiedBy>
  <cp:revision>4</cp:revision>
  <cp:lastPrinted>2020-02-19T08:18:00Z</cp:lastPrinted>
  <dcterms:created xsi:type="dcterms:W3CDTF">2020-10-29T14:08:00Z</dcterms:created>
  <dcterms:modified xsi:type="dcterms:W3CDTF">2021-05-21T10:27:00Z</dcterms:modified>
</cp:coreProperties>
</file>