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DBC8" w14:textId="77777777" w:rsidR="0021794B" w:rsidRPr="0021794B" w:rsidRDefault="0021794B" w:rsidP="0021794B">
      <w:pPr>
        <w:jc w:val="right"/>
        <w:rPr>
          <w:rFonts w:eastAsia="Calibri"/>
          <w:b/>
          <w:szCs w:val="24"/>
        </w:rPr>
      </w:pPr>
      <w:r w:rsidRPr="0021794B">
        <w:rPr>
          <w:rFonts w:eastAsia="Calibri"/>
          <w:b/>
          <w:i/>
          <w:szCs w:val="24"/>
        </w:rPr>
        <w:t>Projektas</w:t>
      </w:r>
    </w:p>
    <w:p w14:paraId="2F9C1854" w14:textId="77777777" w:rsidR="0021794B" w:rsidRDefault="0021794B" w:rsidP="0021794B">
      <w:pPr>
        <w:jc w:val="center"/>
        <w:rPr>
          <w:rFonts w:eastAsia="Calibri"/>
          <w:b/>
          <w:szCs w:val="24"/>
          <w:lang w:eastAsia="lt-LT"/>
        </w:rPr>
      </w:pPr>
    </w:p>
    <w:p w14:paraId="3E9E5AFE" w14:textId="77777777" w:rsidR="0021794B" w:rsidRDefault="0021794B" w:rsidP="0021794B">
      <w:pPr>
        <w:jc w:val="center"/>
        <w:rPr>
          <w:rFonts w:eastAsia="Calibri"/>
          <w:b/>
          <w:szCs w:val="24"/>
          <w:lang w:eastAsia="lt-LT"/>
        </w:rPr>
      </w:pPr>
    </w:p>
    <w:p w14:paraId="799B8E35" w14:textId="05DAD54A" w:rsidR="006213C6" w:rsidRDefault="0021794B" w:rsidP="0021794B">
      <w:pPr>
        <w:jc w:val="center"/>
        <w:rPr>
          <w:rFonts w:eastAsia="Calibri"/>
          <w:b/>
          <w:szCs w:val="24"/>
        </w:rPr>
      </w:pPr>
      <w:r w:rsidRPr="0021794B">
        <w:rPr>
          <w:rFonts w:eastAsia="Calibri"/>
          <w:b/>
          <w:szCs w:val="24"/>
          <w:lang w:eastAsia="lt-LT"/>
        </w:rPr>
        <w:t>LIETUVOS RESPUBLIKOS</w:t>
      </w:r>
    </w:p>
    <w:p w14:paraId="210A6133" w14:textId="3A340B20" w:rsidR="0021794B" w:rsidRPr="0021794B" w:rsidRDefault="0021794B" w:rsidP="0021794B">
      <w:pPr>
        <w:jc w:val="center"/>
        <w:rPr>
          <w:rFonts w:eastAsia="Calibri"/>
          <w:b/>
          <w:szCs w:val="24"/>
          <w:lang w:eastAsia="lt-LT"/>
        </w:rPr>
      </w:pPr>
      <w:r w:rsidRPr="0021794B">
        <w:rPr>
          <w:rFonts w:eastAsia="Calibri"/>
          <w:b/>
          <w:szCs w:val="24"/>
        </w:rPr>
        <w:t>VALSTYBĖS IR SAVIVALDYBIŲ TURTO VALDYMO, NAUDOJIMO IR DISPONAVIMO JUO</w:t>
      </w:r>
      <w:r w:rsidRPr="0021794B">
        <w:rPr>
          <w:rFonts w:eastAsia="Calibri"/>
          <w:b/>
          <w:bCs/>
          <w:szCs w:val="24"/>
          <w:lang w:eastAsia="lt-LT"/>
        </w:rPr>
        <w:t xml:space="preserve"> ĮSTATYMO </w:t>
      </w:r>
      <w:r w:rsidRPr="0021794B">
        <w:rPr>
          <w:rFonts w:eastAsia="Calibri"/>
          <w:b/>
          <w:szCs w:val="24"/>
        </w:rPr>
        <w:t>NR. VIII-729 7, 10 IR 11 STRAIPSNIŲ</w:t>
      </w:r>
      <w:r w:rsidRPr="0021794B">
        <w:rPr>
          <w:rFonts w:eastAsia="Calibri"/>
          <w:b/>
          <w:bCs/>
          <w:szCs w:val="24"/>
          <w:lang w:eastAsia="lt-LT"/>
        </w:rPr>
        <w:t xml:space="preserve"> PAKEITIMO</w:t>
      </w:r>
    </w:p>
    <w:p w14:paraId="263F9754" w14:textId="77777777" w:rsidR="0021794B" w:rsidRPr="0021794B" w:rsidRDefault="0021794B" w:rsidP="0021794B">
      <w:pPr>
        <w:jc w:val="center"/>
        <w:rPr>
          <w:rFonts w:eastAsia="Calibri"/>
          <w:b/>
          <w:szCs w:val="24"/>
          <w:lang w:eastAsia="lt-LT"/>
        </w:rPr>
      </w:pPr>
      <w:r w:rsidRPr="0021794B">
        <w:rPr>
          <w:rFonts w:eastAsia="Calibri"/>
          <w:b/>
          <w:szCs w:val="24"/>
          <w:lang w:eastAsia="lt-LT"/>
        </w:rPr>
        <w:t>ĮSTATYMAS</w:t>
      </w:r>
    </w:p>
    <w:p w14:paraId="5A081A45" w14:textId="77777777" w:rsidR="0021794B" w:rsidRPr="0021794B" w:rsidRDefault="0021794B" w:rsidP="0021794B">
      <w:pPr>
        <w:rPr>
          <w:rFonts w:eastAsia="Calibri"/>
          <w:szCs w:val="24"/>
        </w:rPr>
      </w:pPr>
    </w:p>
    <w:p w14:paraId="03E4A2E9" w14:textId="77777777" w:rsidR="0021794B" w:rsidRPr="0021794B" w:rsidRDefault="0021794B" w:rsidP="0021794B">
      <w:pPr>
        <w:tabs>
          <w:tab w:val="left" w:pos="2835"/>
          <w:tab w:val="left" w:pos="6096"/>
        </w:tabs>
        <w:jc w:val="center"/>
        <w:rPr>
          <w:rFonts w:eastAsia="Calibri"/>
          <w:bCs/>
          <w:color w:val="000000"/>
          <w:szCs w:val="24"/>
        </w:rPr>
      </w:pPr>
      <w:r w:rsidRPr="0021794B">
        <w:rPr>
          <w:rFonts w:eastAsia="Calibri"/>
          <w:bCs/>
          <w:color w:val="000000"/>
          <w:szCs w:val="24"/>
        </w:rPr>
        <w:t xml:space="preserve">2021 m. </w:t>
      </w:r>
      <w:r w:rsidRPr="0021794B">
        <w:rPr>
          <w:rFonts w:eastAsia="Calibri"/>
          <w:bCs/>
          <w:color w:val="000000"/>
          <w:szCs w:val="24"/>
        </w:rPr>
        <w:tab/>
        <w:t>d.  Nr.</w:t>
      </w:r>
    </w:p>
    <w:p w14:paraId="754A6FF3" w14:textId="77777777" w:rsidR="0021794B" w:rsidRPr="0021794B" w:rsidRDefault="0021794B" w:rsidP="0021794B">
      <w:pPr>
        <w:tabs>
          <w:tab w:val="left" w:pos="2835"/>
          <w:tab w:val="left" w:pos="6096"/>
        </w:tabs>
        <w:jc w:val="center"/>
        <w:rPr>
          <w:rFonts w:eastAsia="Calibri"/>
          <w:bCs/>
          <w:color w:val="000000"/>
          <w:szCs w:val="24"/>
        </w:rPr>
      </w:pPr>
      <w:r w:rsidRPr="0021794B">
        <w:rPr>
          <w:rFonts w:eastAsia="Calibri"/>
          <w:bCs/>
          <w:color w:val="000000"/>
          <w:szCs w:val="24"/>
        </w:rPr>
        <w:t>Vilnius</w:t>
      </w:r>
    </w:p>
    <w:p w14:paraId="2E21AA35" w14:textId="77777777" w:rsidR="0021794B" w:rsidRPr="0021794B" w:rsidRDefault="0021794B" w:rsidP="0021794B">
      <w:pPr>
        <w:tabs>
          <w:tab w:val="left" w:pos="2835"/>
          <w:tab w:val="left" w:pos="6096"/>
        </w:tabs>
        <w:jc w:val="center"/>
        <w:rPr>
          <w:rFonts w:eastAsia="Calibri"/>
          <w:szCs w:val="24"/>
        </w:rPr>
      </w:pPr>
    </w:p>
    <w:p w14:paraId="5C8B85F9" w14:textId="77777777" w:rsidR="0021794B" w:rsidRPr="0021794B" w:rsidRDefault="0021794B" w:rsidP="001A76A6">
      <w:pPr>
        <w:tabs>
          <w:tab w:val="left" w:pos="2835"/>
          <w:tab w:val="left" w:pos="7230"/>
        </w:tabs>
        <w:ind w:firstLine="720"/>
        <w:jc w:val="both"/>
        <w:rPr>
          <w:rFonts w:eastAsia="Calibri"/>
          <w:b/>
          <w:szCs w:val="24"/>
        </w:rPr>
      </w:pPr>
      <w:r w:rsidRPr="0021794B">
        <w:rPr>
          <w:rFonts w:eastAsia="Calibri"/>
          <w:b/>
          <w:szCs w:val="24"/>
        </w:rPr>
        <w:t>1 straipsnis. 7 straipsnio pakeitimas</w:t>
      </w:r>
    </w:p>
    <w:p w14:paraId="6F9F8FAD" w14:textId="77777777" w:rsidR="0021794B" w:rsidRPr="0021794B" w:rsidRDefault="0021794B" w:rsidP="001A76A6">
      <w:pPr>
        <w:tabs>
          <w:tab w:val="left" w:pos="2835"/>
          <w:tab w:val="left" w:pos="7230"/>
        </w:tabs>
        <w:ind w:firstLine="720"/>
        <w:jc w:val="both"/>
        <w:rPr>
          <w:rFonts w:eastAsia="Calibri"/>
          <w:szCs w:val="24"/>
        </w:rPr>
      </w:pPr>
      <w:r w:rsidRPr="0021794B">
        <w:rPr>
          <w:rFonts w:eastAsia="Calibri"/>
          <w:szCs w:val="24"/>
        </w:rPr>
        <w:t>Pakeisti 7 straipsnio 2 dalies 3 punktą ir jį išdėstyti taip:</w:t>
      </w:r>
    </w:p>
    <w:p w14:paraId="5C97F9F4" w14:textId="56557BCA" w:rsidR="0021794B" w:rsidRDefault="0021794B" w:rsidP="001A76A6">
      <w:pPr>
        <w:tabs>
          <w:tab w:val="left" w:pos="2835"/>
          <w:tab w:val="left" w:pos="7230"/>
        </w:tabs>
        <w:ind w:firstLine="720"/>
        <w:jc w:val="both"/>
        <w:rPr>
          <w:rFonts w:eastAsia="Calibri"/>
          <w:szCs w:val="24"/>
        </w:rPr>
      </w:pPr>
      <w:r w:rsidRPr="0021794B">
        <w:rPr>
          <w:rFonts w:eastAsia="Calibri"/>
          <w:szCs w:val="24"/>
        </w:rPr>
        <w:t xml:space="preserve">„3) savivaldybės </w:t>
      </w:r>
      <w:r w:rsidRPr="0021794B">
        <w:rPr>
          <w:rFonts w:eastAsia="Calibri"/>
          <w:b/>
          <w:bCs/>
          <w:szCs w:val="24"/>
        </w:rPr>
        <w:t>ir savivaldybės įmonės</w:t>
      </w:r>
      <w:r w:rsidRPr="0021794B">
        <w:rPr>
          <w:rFonts w:eastAsia="Calibri"/>
          <w:szCs w:val="24"/>
        </w:rPr>
        <w:t xml:space="preserve"> – šio įstatymo 11 straipsnyje nustatytais atvejais</w:t>
      </w:r>
      <w:r w:rsidR="00076BCB">
        <w:rPr>
          <w:rFonts w:eastAsia="Calibri"/>
          <w:szCs w:val="24"/>
        </w:rPr>
        <w:t>;</w:t>
      </w:r>
      <w:r w:rsidRPr="0021794B">
        <w:rPr>
          <w:rFonts w:eastAsia="Calibri"/>
          <w:szCs w:val="24"/>
        </w:rPr>
        <w:t>“.</w:t>
      </w:r>
    </w:p>
    <w:p w14:paraId="22273CD5" w14:textId="77777777" w:rsidR="00076BCB" w:rsidRPr="0021794B" w:rsidRDefault="00076BCB" w:rsidP="001A76A6">
      <w:pPr>
        <w:tabs>
          <w:tab w:val="left" w:pos="2835"/>
          <w:tab w:val="left" w:pos="7230"/>
        </w:tabs>
        <w:ind w:firstLine="720"/>
        <w:jc w:val="both"/>
        <w:rPr>
          <w:rFonts w:eastAsia="Calibri"/>
          <w:szCs w:val="24"/>
        </w:rPr>
      </w:pPr>
    </w:p>
    <w:p w14:paraId="4D5CFAFA" w14:textId="77777777" w:rsidR="0021794B" w:rsidRPr="0021794B" w:rsidRDefault="0021794B" w:rsidP="001A76A6">
      <w:pPr>
        <w:tabs>
          <w:tab w:val="left" w:pos="2835"/>
          <w:tab w:val="left" w:pos="7230"/>
        </w:tabs>
        <w:ind w:firstLine="720"/>
        <w:jc w:val="both"/>
        <w:rPr>
          <w:rFonts w:eastAsia="Calibri"/>
          <w:b/>
          <w:szCs w:val="24"/>
        </w:rPr>
      </w:pPr>
      <w:r w:rsidRPr="0021794B">
        <w:rPr>
          <w:rFonts w:eastAsia="Calibri"/>
          <w:b/>
          <w:szCs w:val="24"/>
        </w:rPr>
        <w:t>2 straipsnis. 10 straipsnio pakeitimas</w:t>
      </w:r>
    </w:p>
    <w:p w14:paraId="031533E6" w14:textId="77777777" w:rsidR="0021794B" w:rsidRPr="0021794B" w:rsidRDefault="0021794B" w:rsidP="001A76A6">
      <w:pPr>
        <w:tabs>
          <w:tab w:val="left" w:pos="2835"/>
          <w:tab w:val="left" w:pos="7230"/>
        </w:tabs>
        <w:ind w:firstLine="720"/>
        <w:jc w:val="both"/>
        <w:rPr>
          <w:rFonts w:eastAsia="Calibri"/>
          <w:szCs w:val="24"/>
        </w:rPr>
      </w:pPr>
      <w:r w:rsidRPr="0021794B">
        <w:rPr>
          <w:rFonts w:eastAsia="Calibri"/>
          <w:szCs w:val="24"/>
        </w:rPr>
        <w:t>Pakeisti 10 straipsnio 2 dalį ir ją išdėstyti taip:</w:t>
      </w:r>
    </w:p>
    <w:p w14:paraId="185DAB6C" w14:textId="37353B65" w:rsidR="0021794B" w:rsidRDefault="0021794B" w:rsidP="001A76A6">
      <w:pPr>
        <w:tabs>
          <w:tab w:val="left" w:pos="2835"/>
          <w:tab w:val="left" w:pos="7230"/>
        </w:tabs>
        <w:ind w:firstLine="720"/>
        <w:jc w:val="both"/>
        <w:rPr>
          <w:rFonts w:eastAsia="Calibri"/>
          <w:szCs w:val="24"/>
        </w:rPr>
      </w:pPr>
      <w:r w:rsidRPr="0021794B">
        <w:rPr>
          <w:rFonts w:eastAsia="Calibri"/>
          <w:szCs w:val="24"/>
        </w:rPr>
        <w:t xml:space="preserve">„2. Valstybės turtą patikėjimo teise valdo, naudoja ir disponuoja juo centralizuotai valdomo valstybės turto valdytojas, valstybės institucijos, Lietuvos bankas, valstybės įmonės, įstaigos ir organizacijos, taip pat savivaldybės </w:t>
      </w:r>
      <w:r w:rsidRPr="0021794B">
        <w:rPr>
          <w:rFonts w:eastAsia="Calibri"/>
          <w:b/>
          <w:bCs/>
          <w:szCs w:val="24"/>
        </w:rPr>
        <w:t>ir savivaldybės įmonės</w:t>
      </w:r>
      <w:r w:rsidRPr="0021794B">
        <w:rPr>
          <w:rFonts w:eastAsia="Calibri"/>
          <w:szCs w:val="24"/>
        </w:rPr>
        <w:t xml:space="preserve"> – šio įstatymo 11</w:t>
      </w:r>
      <w:r w:rsidR="006213C6">
        <w:rPr>
          <w:rFonts w:eastAsia="Calibri"/>
          <w:szCs w:val="24"/>
        </w:rPr>
        <w:t> </w:t>
      </w:r>
      <w:r w:rsidRPr="0021794B">
        <w:rPr>
          <w:rFonts w:eastAsia="Calibri"/>
          <w:szCs w:val="24"/>
        </w:rPr>
        <w:t>straipsnyje nustatytais atvejais“.</w:t>
      </w:r>
    </w:p>
    <w:p w14:paraId="6A1DABC9" w14:textId="77777777" w:rsidR="0021794B" w:rsidRPr="0021794B" w:rsidRDefault="0021794B" w:rsidP="001A76A6">
      <w:pPr>
        <w:tabs>
          <w:tab w:val="left" w:pos="2835"/>
          <w:tab w:val="left" w:pos="7230"/>
        </w:tabs>
        <w:ind w:firstLine="720"/>
        <w:jc w:val="both"/>
        <w:rPr>
          <w:rFonts w:eastAsia="Calibri"/>
          <w:b/>
          <w:szCs w:val="24"/>
        </w:rPr>
      </w:pPr>
    </w:p>
    <w:p w14:paraId="5C86168A" w14:textId="77777777" w:rsidR="0021794B" w:rsidRPr="0021794B" w:rsidRDefault="0021794B" w:rsidP="001A76A6">
      <w:pPr>
        <w:tabs>
          <w:tab w:val="left" w:pos="2835"/>
          <w:tab w:val="left" w:pos="7230"/>
        </w:tabs>
        <w:ind w:firstLine="720"/>
        <w:jc w:val="both"/>
        <w:rPr>
          <w:rFonts w:eastAsia="Calibri"/>
          <w:b/>
          <w:szCs w:val="24"/>
        </w:rPr>
      </w:pPr>
      <w:r w:rsidRPr="0021794B">
        <w:rPr>
          <w:rFonts w:eastAsia="Calibri"/>
          <w:b/>
          <w:szCs w:val="24"/>
        </w:rPr>
        <w:t>3 straipsnis. 11 straipsnio pakeitimas</w:t>
      </w:r>
    </w:p>
    <w:p w14:paraId="1F1B90D7" w14:textId="77777777" w:rsidR="0021794B" w:rsidRPr="0021794B" w:rsidRDefault="0021794B" w:rsidP="001A76A6">
      <w:pPr>
        <w:tabs>
          <w:tab w:val="left" w:pos="2835"/>
          <w:tab w:val="left" w:pos="7230"/>
        </w:tabs>
        <w:ind w:firstLine="720"/>
        <w:jc w:val="both"/>
        <w:rPr>
          <w:rFonts w:eastAsia="Calibri"/>
          <w:szCs w:val="24"/>
        </w:rPr>
      </w:pPr>
      <w:r w:rsidRPr="0021794B">
        <w:rPr>
          <w:rFonts w:eastAsia="Calibri"/>
          <w:szCs w:val="24"/>
        </w:rPr>
        <w:t>Pakeisti 11 straipsnį ir jį išdėstyti taip:</w:t>
      </w:r>
    </w:p>
    <w:p w14:paraId="1DB6828A" w14:textId="77777777" w:rsidR="001A76A6" w:rsidRDefault="0021794B" w:rsidP="001A76A6">
      <w:pPr>
        <w:shd w:val="clear" w:color="auto" w:fill="FFFFFF"/>
        <w:ind w:left="2268" w:hanging="1548"/>
        <w:jc w:val="both"/>
        <w:rPr>
          <w:bCs/>
          <w:color w:val="000000"/>
          <w:szCs w:val="24"/>
          <w:lang w:eastAsia="lt-LT"/>
        </w:rPr>
      </w:pPr>
      <w:r w:rsidRPr="0021794B">
        <w:rPr>
          <w:szCs w:val="24"/>
          <w:lang w:eastAsia="lt-LT"/>
        </w:rPr>
        <w:t>„</w:t>
      </w:r>
      <w:r w:rsidRPr="0021794B">
        <w:rPr>
          <w:b/>
          <w:bCs/>
          <w:color w:val="000000"/>
          <w:szCs w:val="24"/>
          <w:lang w:eastAsia="lt-LT"/>
        </w:rPr>
        <w:t xml:space="preserve">11 straipsnis. </w:t>
      </w:r>
      <w:r w:rsidRPr="001A76A6">
        <w:rPr>
          <w:bCs/>
          <w:color w:val="000000"/>
          <w:szCs w:val="24"/>
          <w:lang w:eastAsia="lt-LT"/>
        </w:rPr>
        <w:t>Savivaldybėms ir</w:t>
      </w:r>
      <w:r w:rsidRPr="0021794B">
        <w:rPr>
          <w:b/>
          <w:bCs/>
          <w:color w:val="000000"/>
          <w:szCs w:val="24"/>
          <w:lang w:eastAsia="lt-LT"/>
        </w:rPr>
        <w:t xml:space="preserve"> savivaldybės įmonėms </w:t>
      </w:r>
      <w:r w:rsidRPr="001A76A6">
        <w:rPr>
          <w:bCs/>
          <w:color w:val="000000"/>
          <w:szCs w:val="24"/>
          <w:lang w:eastAsia="lt-LT"/>
        </w:rPr>
        <w:t xml:space="preserve">perduodamo valstybės turto </w:t>
      </w:r>
    </w:p>
    <w:p w14:paraId="7F904060" w14:textId="7DBAAFD6" w:rsidR="0021794B" w:rsidRDefault="0021794B" w:rsidP="001A76A6">
      <w:pPr>
        <w:shd w:val="clear" w:color="auto" w:fill="FFFFFF"/>
        <w:ind w:left="2268" w:hanging="1548"/>
        <w:jc w:val="both"/>
        <w:rPr>
          <w:bCs/>
          <w:color w:val="000000"/>
          <w:szCs w:val="24"/>
          <w:lang w:eastAsia="lt-LT"/>
        </w:rPr>
      </w:pPr>
      <w:r w:rsidRPr="001A76A6">
        <w:rPr>
          <w:bCs/>
          <w:color w:val="000000"/>
          <w:szCs w:val="24"/>
          <w:lang w:eastAsia="lt-LT"/>
        </w:rPr>
        <w:t>valdymas, naudojimas ir disponavimas juo patikėjimo teise</w:t>
      </w:r>
    </w:p>
    <w:p w14:paraId="7DF89E6C" w14:textId="77777777" w:rsidR="001A76A6" w:rsidRPr="0021794B" w:rsidRDefault="001A76A6" w:rsidP="001A76A6">
      <w:pPr>
        <w:shd w:val="clear" w:color="auto" w:fill="FFFFFF"/>
        <w:ind w:left="2268" w:hanging="1548"/>
        <w:jc w:val="both"/>
        <w:rPr>
          <w:b/>
          <w:bCs/>
          <w:color w:val="000000"/>
          <w:szCs w:val="24"/>
          <w:lang w:eastAsia="lt-LT"/>
        </w:rPr>
      </w:pPr>
    </w:p>
    <w:p w14:paraId="5C028C86" w14:textId="77777777" w:rsidR="0021794B" w:rsidRPr="0021794B" w:rsidRDefault="0021794B" w:rsidP="001A76A6">
      <w:pPr>
        <w:shd w:val="clear" w:color="auto" w:fill="FFFFFF"/>
        <w:ind w:firstLine="720"/>
        <w:jc w:val="both"/>
        <w:rPr>
          <w:color w:val="000000"/>
          <w:szCs w:val="24"/>
          <w:lang w:eastAsia="lt-LT"/>
        </w:rPr>
      </w:pPr>
      <w:r w:rsidRPr="0021794B">
        <w:rPr>
          <w:color w:val="000000"/>
          <w:szCs w:val="24"/>
          <w:lang w:eastAsia="lt-LT"/>
        </w:rPr>
        <w:t xml:space="preserve">1. Savivaldybės </w:t>
      </w:r>
      <w:r w:rsidRPr="0021794B">
        <w:rPr>
          <w:b/>
          <w:bCs/>
          <w:color w:val="000000"/>
          <w:szCs w:val="24"/>
          <w:lang w:eastAsia="lt-LT"/>
        </w:rPr>
        <w:t>ir savivaldybės įmonės</w:t>
      </w:r>
      <w:r w:rsidRPr="0021794B">
        <w:rPr>
          <w:color w:val="000000"/>
          <w:szCs w:val="24"/>
          <w:lang w:eastAsia="lt-LT"/>
        </w:rPr>
        <w:t xml:space="preserve"> patikėjimo teise valdo, naudoja ir disponuoja:</w:t>
      </w:r>
    </w:p>
    <w:p w14:paraId="68D5CF03" w14:textId="77777777" w:rsidR="0021794B" w:rsidRPr="0021794B" w:rsidRDefault="0021794B" w:rsidP="001A76A6">
      <w:pPr>
        <w:shd w:val="clear" w:color="auto" w:fill="FFFFFF"/>
        <w:ind w:firstLine="720"/>
        <w:jc w:val="both"/>
        <w:rPr>
          <w:color w:val="000000"/>
          <w:szCs w:val="24"/>
          <w:lang w:eastAsia="lt-LT"/>
        </w:rPr>
      </w:pPr>
      <w:r w:rsidRPr="0021794B">
        <w:rPr>
          <w:color w:val="000000"/>
          <w:szCs w:val="24"/>
          <w:lang w:eastAsia="lt-LT"/>
        </w:rPr>
        <w:t>1) valstybės turtu, kuris pagal Lietuvos Respublikos valstybės turto perdavimo savivaldybių nuosavybėn įstatymą priskirtas savivaldybių nuosavybei, bet dar neperduotas jų nuosavybėn. Jeigu savivaldybės atsisako perimti nuosavybėn joms perduodamą valstybės turtą, Vyriausybės nutarimu šis turtas gali būti perduotas valstybės institucijoms, valstybės įmonėms, įstaigoms ir organizacijoms;</w:t>
      </w:r>
    </w:p>
    <w:p w14:paraId="6D739A3A" w14:textId="77777777" w:rsidR="0021794B" w:rsidRPr="0021794B" w:rsidRDefault="0021794B" w:rsidP="001A76A6">
      <w:pPr>
        <w:shd w:val="clear" w:color="auto" w:fill="FFFFFF"/>
        <w:ind w:firstLine="720"/>
        <w:jc w:val="both"/>
        <w:rPr>
          <w:color w:val="000000"/>
          <w:szCs w:val="24"/>
          <w:lang w:eastAsia="lt-LT"/>
        </w:rPr>
      </w:pPr>
      <w:r w:rsidRPr="0021794B">
        <w:rPr>
          <w:color w:val="000000"/>
          <w:szCs w:val="24"/>
          <w:lang w:eastAsia="lt-LT"/>
        </w:rPr>
        <w:t xml:space="preserve">2) valstybės turtu, kuris Vyriausybės nutarimais savivaldybėms </w:t>
      </w:r>
      <w:r w:rsidRPr="0021794B">
        <w:rPr>
          <w:b/>
          <w:bCs/>
          <w:color w:val="000000"/>
          <w:szCs w:val="24"/>
          <w:lang w:eastAsia="lt-LT"/>
        </w:rPr>
        <w:t>ar savivaldybės įmonėms</w:t>
      </w:r>
      <w:r w:rsidRPr="0021794B">
        <w:rPr>
          <w:color w:val="000000"/>
          <w:szCs w:val="24"/>
          <w:lang w:eastAsia="lt-LT"/>
        </w:rPr>
        <w:t xml:space="preserve"> perduodamas valstybinėms (valstybės perduotoms savivaldybėms) funkcijoms įgyvendinti.</w:t>
      </w:r>
    </w:p>
    <w:p w14:paraId="06F091BE" w14:textId="441708B6" w:rsidR="0021794B" w:rsidRPr="0021794B" w:rsidRDefault="0021794B" w:rsidP="001A76A6">
      <w:pPr>
        <w:shd w:val="clear" w:color="auto" w:fill="FFFFFF"/>
        <w:ind w:firstLine="720"/>
        <w:jc w:val="both"/>
        <w:rPr>
          <w:color w:val="000000"/>
          <w:szCs w:val="24"/>
          <w:lang w:eastAsia="lt-LT"/>
        </w:rPr>
      </w:pPr>
      <w:r w:rsidRPr="0021794B">
        <w:rPr>
          <w:color w:val="000000"/>
          <w:szCs w:val="24"/>
          <w:lang w:eastAsia="lt-LT"/>
        </w:rPr>
        <w:t>2. Jeigu pasikeičia savivaldybių valstybinės (valstybės perduotos savivaldybėms) funkcijos ar jų subjektai arba perduotas valstybės turtas tapo nereikalingas šioms funkcijoms įgyvendinti, Vyriausybės nutarimu šis turtas patikėjimo teise gali būti perduotas kitiems šio įstatymo 10</w:t>
      </w:r>
      <w:r w:rsidR="001410FB">
        <w:rPr>
          <w:color w:val="000000"/>
          <w:szCs w:val="24"/>
          <w:lang w:eastAsia="lt-LT"/>
        </w:rPr>
        <w:t> </w:t>
      </w:r>
      <w:r w:rsidRPr="0021794B">
        <w:rPr>
          <w:color w:val="000000"/>
          <w:szCs w:val="24"/>
          <w:lang w:eastAsia="lt-LT"/>
        </w:rPr>
        <w:t>straipsnio 2 dalyje nurodytiems subjektams, o valstybės nekilnojamasis turtas turi būti perduotas patikėjimo teise valdyti centralizuotai valdomo valstybės turto valdytojui</w:t>
      </w:r>
      <w:r w:rsidR="00076BCB">
        <w:rPr>
          <w:color w:val="000000"/>
          <w:szCs w:val="24"/>
          <w:lang w:eastAsia="lt-LT"/>
        </w:rPr>
        <w:t>.</w:t>
      </w:r>
      <w:r w:rsidRPr="0021794B">
        <w:rPr>
          <w:color w:val="000000"/>
          <w:szCs w:val="24"/>
          <w:lang w:eastAsia="lt-LT"/>
        </w:rPr>
        <w:t>“</w:t>
      </w:r>
    </w:p>
    <w:p w14:paraId="122034F4" w14:textId="3881C529" w:rsidR="0016634B" w:rsidRDefault="0016634B" w:rsidP="001A76A6">
      <w:pPr>
        <w:ind w:firstLine="720"/>
      </w:pPr>
    </w:p>
    <w:p w14:paraId="10670517" w14:textId="77777777" w:rsidR="001410FB" w:rsidRDefault="001410FB" w:rsidP="001A76A6">
      <w:pPr>
        <w:ind w:firstLine="720"/>
        <w:rPr>
          <w:i/>
          <w:iCs/>
        </w:rPr>
      </w:pPr>
    </w:p>
    <w:p w14:paraId="518284B2" w14:textId="7E22997B" w:rsidR="0021794B" w:rsidRPr="0021794B" w:rsidRDefault="0021794B" w:rsidP="001A76A6">
      <w:pPr>
        <w:ind w:firstLine="720"/>
      </w:pPr>
      <w:r w:rsidRPr="0021794B">
        <w:rPr>
          <w:i/>
          <w:iCs/>
        </w:rPr>
        <w:t>Skelbiu šį Lietuvos Respublikos Seimo priimtą įstatymą.</w:t>
      </w:r>
    </w:p>
    <w:p w14:paraId="17297FAD" w14:textId="77777777" w:rsidR="0021794B" w:rsidRPr="0021794B" w:rsidRDefault="0021794B" w:rsidP="0021794B"/>
    <w:p w14:paraId="2E13CF9D" w14:textId="77777777" w:rsidR="0021794B" w:rsidRPr="0021794B" w:rsidRDefault="0021794B" w:rsidP="0021794B">
      <w:r w:rsidRPr="0021794B">
        <w:t>Respublikos Prezidentas</w:t>
      </w:r>
    </w:p>
    <w:p w14:paraId="1996061D" w14:textId="77777777" w:rsidR="0021794B" w:rsidRPr="0021794B" w:rsidRDefault="0021794B" w:rsidP="0021794B"/>
    <w:p w14:paraId="23C6B63A" w14:textId="77777777" w:rsidR="00660E88" w:rsidRDefault="00660E88" w:rsidP="00660E88">
      <w:r>
        <w:t>Teikia</w:t>
      </w:r>
    </w:p>
    <w:p w14:paraId="1A8BA4E2" w14:textId="194992A9" w:rsidR="0021794B" w:rsidRPr="0021794B" w:rsidRDefault="00660E88" w:rsidP="00660E88">
      <w:r>
        <w:t xml:space="preserve">Seimo narys                                                                                            Mindaugas </w:t>
      </w:r>
      <w:proofErr w:type="spellStart"/>
      <w:r>
        <w:t>Skritulskas</w:t>
      </w:r>
      <w:proofErr w:type="spellEnd"/>
    </w:p>
    <w:p w14:paraId="0A2D433A" w14:textId="77777777" w:rsidR="0021794B" w:rsidRPr="00E62E66" w:rsidRDefault="0021794B" w:rsidP="00E62E66"/>
    <w:sectPr w:rsidR="0021794B" w:rsidRPr="00E62E66" w:rsidSect="001A76A6">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B2C"/>
    <w:multiLevelType w:val="hybridMultilevel"/>
    <w:tmpl w:val="EBD60CDE"/>
    <w:lvl w:ilvl="0" w:tplc="98EC0D3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2C"/>
    <w:rsid w:val="00076BCB"/>
    <w:rsid w:val="001410FB"/>
    <w:rsid w:val="0016634B"/>
    <w:rsid w:val="001A76A6"/>
    <w:rsid w:val="001E1AD8"/>
    <w:rsid w:val="0021794B"/>
    <w:rsid w:val="002B1663"/>
    <w:rsid w:val="002F6D9C"/>
    <w:rsid w:val="005C1349"/>
    <w:rsid w:val="0060072C"/>
    <w:rsid w:val="006213C6"/>
    <w:rsid w:val="00660E88"/>
    <w:rsid w:val="00737F27"/>
    <w:rsid w:val="00977825"/>
    <w:rsid w:val="00DD42EB"/>
    <w:rsid w:val="00E62E66"/>
    <w:rsid w:val="00F12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D2C9A"/>
  <w15:docId w15:val="{8CDD8E86-6373-4C93-8657-B9EDE12D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E1AD8"/>
    <w:rPr>
      <w:sz w:val="16"/>
      <w:szCs w:val="16"/>
    </w:rPr>
  </w:style>
  <w:style w:type="paragraph" w:styleId="Komentarotekstas">
    <w:name w:val="annotation text"/>
    <w:basedOn w:val="prastasis"/>
    <w:link w:val="KomentarotekstasDiagrama"/>
    <w:semiHidden/>
    <w:unhideWhenUsed/>
    <w:rsid w:val="001E1AD8"/>
    <w:rPr>
      <w:sz w:val="20"/>
    </w:rPr>
  </w:style>
  <w:style w:type="character" w:customStyle="1" w:styleId="KomentarotekstasDiagrama">
    <w:name w:val="Komentaro tekstas Diagrama"/>
    <w:basedOn w:val="Numatytasispastraiposriftas"/>
    <w:link w:val="Komentarotekstas"/>
    <w:semiHidden/>
    <w:rsid w:val="001E1AD8"/>
    <w:rPr>
      <w:sz w:val="20"/>
    </w:rPr>
  </w:style>
  <w:style w:type="paragraph" w:styleId="Komentarotema">
    <w:name w:val="annotation subject"/>
    <w:basedOn w:val="Komentarotekstas"/>
    <w:next w:val="Komentarotekstas"/>
    <w:link w:val="KomentarotemaDiagrama"/>
    <w:semiHidden/>
    <w:unhideWhenUsed/>
    <w:rsid w:val="001E1AD8"/>
    <w:rPr>
      <w:b/>
      <w:bCs/>
    </w:rPr>
  </w:style>
  <w:style w:type="character" w:customStyle="1" w:styleId="KomentarotemaDiagrama">
    <w:name w:val="Komentaro tema Diagrama"/>
    <w:basedOn w:val="KomentarotekstasDiagrama"/>
    <w:link w:val="Komentarotema"/>
    <w:semiHidden/>
    <w:rsid w:val="001E1AD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45647">
      <w:bodyDiv w:val="1"/>
      <w:marLeft w:val="0"/>
      <w:marRight w:val="0"/>
      <w:marTop w:val="0"/>
      <w:marBottom w:val="0"/>
      <w:divBdr>
        <w:top w:val="none" w:sz="0" w:space="0" w:color="auto"/>
        <w:left w:val="none" w:sz="0" w:space="0" w:color="auto"/>
        <w:bottom w:val="none" w:sz="0" w:space="0" w:color="auto"/>
        <w:right w:val="none" w:sz="0" w:space="0" w:color="auto"/>
      </w:divBdr>
    </w:div>
    <w:div w:id="1045368021">
      <w:bodyDiv w:val="1"/>
      <w:marLeft w:val="0"/>
      <w:marRight w:val="0"/>
      <w:marTop w:val="0"/>
      <w:marBottom w:val="0"/>
      <w:divBdr>
        <w:top w:val="none" w:sz="0" w:space="0" w:color="auto"/>
        <w:left w:val="none" w:sz="0" w:space="0" w:color="auto"/>
        <w:bottom w:val="none" w:sz="0" w:space="0" w:color="auto"/>
        <w:right w:val="none" w:sz="0" w:space="0" w:color="auto"/>
      </w:divBdr>
    </w:div>
    <w:div w:id="1394039114">
      <w:bodyDiv w:val="1"/>
      <w:marLeft w:val="0"/>
      <w:marRight w:val="0"/>
      <w:marTop w:val="0"/>
      <w:marBottom w:val="0"/>
      <w:divBdr>
        <w:top w:val="none" w:sz="0" w:space="0" w:color="auto"/>
        <w:left w:val="none" w:sz="0" w:space="0" w:color="auto"/>
        <w:bottom w:val="none" w:sz="0" w:space="0" w:color="auto"/>
        <w:right w:val="none" w:sz="0" w:space="0" w:color="auto"/>
      </w:divBdr>
      <w:divsChild>
        <w:div w:id="12612293">
          <w:marLeft w:val="0"/>
          <w:marRight w:val="0"/>
          <w:marTop w:val="0"/>
          <w:marBottom w:val="0"/>
          <w:divBdr>
            <w:top w:val="none" w:sz="0" w:space="0" w:color="auto"/>
            <w:left w:val="none" w:sz="0" w:space="0" w:color="auto"/>
            <w:bottom w:val="none" w:sz="0" w:space="0" w:color="auto"/>
            <w:right w:val="none" w:sz="0" w:space="0" w:color="auto"/>
          </w:divBdr>
        </w:div>
      </w:divsChild>
    </w:div>
    <w:div w:id="1433817220">
      <w:marLeft w:val="0"/>
      <w:marRight w:val="0"/>
      <w:marTop w:val="0"/>
      <w:marBottom w:val="0"/>
      <w:divBdr>
        <w:top w:val="none" w:sz="0" w:space="0" w:color="auto"/>
        <w:left w:val="none" w:sz="0" w:space="0" w:color="auto"/>
        <w:bottom w:val="none" w:sz="0" w:space="0" w:color="auto"/>
        <w:right w:val="none" w:sz="0" w:space="0" w:color="auto"/>
      </w:divBdr>
    </w:div>
    <w:div w:id="1433817221">
      <w:marLeft w:val="0"/>
      <w:marRight w:val="0"/>
      <w:marTop w:val="0"/>
      <w:marBottom w:val="0"/>
      <w:divBdr>
        <w:top w:val="none" w:sz="0" w:space="0" w:color="auto"/>
        <w:left w:val="none" w:sz="0" w:space="0" w:color="auto"/>
        <w:bottom w:val="none" w:sz="0" w:space="0" w:color="auto"/>
        <w:right w:val="none" w:sz="0" w:space="0" w:color="auto"/>
      </w:divBdr>
    </w:div>
    <w:div w:id="1873178972">
      <w:bodyDiv w:val="1"/>
      <w:marLeft w:val="0"/>
      <w:marRight w:val="0"/>
      <w:marTop w:val="0"/>
      <w:marBottom w:val="0"/>
      <w:divBdr>
        <w:top w:val="none" w:sz="0" w:space="0" w:color="auto"/>
        <w:left w:val="none" w:sz="0" w:space="0" w:color="auto"/>
        <w:bottom w:val="none" w:sz="0" w:space="0" w:color="auto"/>
        <w:right w:val="none" w:sz="0" w:space="0" w:color="auto"/>
      </w:divBdr>
      <w:divsChild>
        <w:div w:id="1337808872">
          <w:marLeft w:val="0"/>
          <w:marRight w:val="0"/>
          <w:marTop w:val="0"/>
          <w:marBottom w:val="0"/>
          <w:divBdr>
            <w:top w:val="none" w:sz="0" w:space="0" w:color="auto"/>
            <w:left w:val="none" w:sz="0" w:space="0" w:color="auto"/>
            <w:bottom w:val="none" w:sz="0" w:space="0" w:color="auto"/>
            <w:right w:val="none" w:sz="0" w:space="0" w:color="auto"/>
          </w:divBdr>
        </w:div>
      </w:divsChild>
    </w:div>
    <w:div w:id="209566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F7A41-B8BD-43C3-8E46-E93A7A29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2059</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Sveikatos apsaugos ministras tvirtina bazines ir didžiausias mažmenines kompensuojamųjų vaistinių preparatų ir kompensuojamųjų medicinos pagalbos priemonių kainas</vt:lpstr>
      <vt:lpstr>Sveikatos apsaugos ministras tvirtina bazines ir didžiausias mažmenines kompensuojamųjų vaistinių preparatų ir kompensuojamųjų medicinos pagalbos priemonių kainas</vt:lpstr>
    </vt:vector>
  </TitlesOfParts>
  <Company>Farmacijos departamentas prie SAM</Company>
  <LinksUpToDate>false</LinksUpToDate>
  <CharactersWithSpaces>2327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Sveikatos apsaugos ministras tvirtina bazines ir didžiausias mažmenines kompensuojamųjų vaistinių preparatų ir kompensuojamųjų medicinos pagalbos priemonių kainas</dc:title>
  <dc:creator>EITUTIENĖ Rasa</dc:creator>
  <cp:lastModifiedBy>Edita Karaliūtė</cp:lastModifiedBy>
  <cp:revision>2</cp:revision>
  <cp:lastPrinted>2014-06-19T06:59:00Z</cp:lastPrinted>
  <dcterms:created xsi:type="dcterms:W3CDTF">2021-12-14T07:55:00Z</dcterms:created>
  <dcterms:modified xsi:type="dcterms:W3CDTF">2021-12-14T07:55:00Z</dcterms:modified>
</cp:coreProperties>
</file>