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A74C8" w14:textId="77777777" w:rsidR="00443B11" w:rsidRPr="00DF0E99" w:rsidRDefault="00443B11" w:rsidP="00443B11">
      <w:pPr>
        <w:ind w:firstLine="0"/>
        <w:jc w:val="center"/>
        <w:rPr>
          <w:rFonts w:ascii="Times New Roman" w:hAnsi="Times New Roman" w:cs="Times New Roman"/>
          <w:b/>
          <w:sz w:val="22"/>
          <w:szCs w:val="24"/>
        </w:rPr>
      </w:pPr>
      <w:r w:rsidRPr="00DF0E99">
        <w:rPr>
          <w:rFonts w:ascii="Times New Roman" w:hAnsi="Times New Roman" w:cs="Times New Roman"/>
          <w:b/>
          <w:sz w:val="22"/>
          <w:szCs w:val="24"/>
        </w:rPr>
        <w:t>TEISĖS AKTŲ PROJEKTŲ ANTIKORUPCINIO VERTINIMO PAŽYMA</w:t>
      </w:r>
    </w:p>
    <w:p w14:paraId="3ADF26AD" w14:textId="77777777" w:rsidR="00443B11" w:rsidRPr="00DF0E99" w:rsidRDefault="00443B11" w:rsidP="00435768">
      <w:pPr>
        <w:ind w:firstLine="0"/>
        <w:jc w:val="center"/>
        <w:rPr>
          <w:rFonts w:ascii="Times New Roman" w:hAnsi="Times New Roman" w:cs="Times New Roman"/>
          <w:sz w:val="22"/>
          <w:szCs w:val="24"/>
        </w:rPr>
      </w:pPr>
    </w:p>
    <w:p w14:paraId="1DDB84CE" w14:textId="77777777" w:rsidR="00050517" w:rsidRPr="00DF0E99" w:rsidRDefault="00050517" w:rsidP="00435768">
      <w:pPr>
        <w:ind w:firstLine="0"/>
        <w:jc w:val="center"/>
        <w:rPr>
          <w:rFonts w:ascii="Times New Roman" w:hAnsi="Times New Roman" w:cs="Times New Roman"/>
          <w:sz w:val="22"/>
          <w:szCs w:val="24"/>
        </w:rPr>
      </w:pPr>
    </w:p>
    <w:p w14:paraId="09829108" w14:textId="33980278" w:rsidR="000C05C6" w:rsidRDefault="00443B11" w:rsidP="00531313">
      <w:pPr>
        <w:jc w:val="both"/>
        <w:rPr>
          <w:rFonts w:ascii="Times New Roman" w:hAnsi="Times New Roman" w:cs="Times New Roman"/>
          <w:sz w:val="22"/>
          <w:szCs w:val="24"/>
        </w:rPr>
      </w:pPr>
      <w:r w:rsidRPr="00DF0E99">
        <w:rPr>
          <w:rFonts w:ascii="Times New Roman" w:hAnsi="Times New Roman" w:cs="Times New Roman"/>
          <w:sz w:val="22"/>
          <w:szCs w:val="24"/>
        </w:rPr>
        <w:t>Teisės akto projekto pavadinimas:</w:t>
      </w:r>
      <w:r w:rsidR="001D11CA" w:rsidRPr="00DF0E99">
        <w:rPr>
          <w:rFonts w:ascii="Times New Roman" w:hAnsi="Times New Roman" w:cs="Times New Roman"/>
          <w:sz w:val="22"/>
          <w:szCs w:val="24"/>
        </w:rPr>
        <w:t xml:space="preserve"> </w:t>
      </w:r>
      <w:r w:rsidR="00542817">
        <w:rPr>
          <w:rFonts w:ascii="Times New Roman" w:hAnsi="Times New Roman" w:cs="Times New Roman"/>
          <w:sz w:val="22"/>
          <w:szCs w:val="24"/>
        </w:rPr>
        <w:t>L</w:t>
      </w:r>
      <w:r w:rsidR="00542817" w:rsidRPr="00542817">
        <w:rPr>
          <w:rFonts w:ascii="Times New Roman" w:hAnsi="Times New Roman" w:cs="Times New Roman"/>
          <w:sz w:val="22"/>
          <w:szCs w:val="24"/>
        </w:rPr>
        <w:t xml:space="preserve">ietuvos </w:t>
      </w:r>
      <w:r w:rsidR="00542817">
        <w:rPr>
          <w:rFonts w:ascii="Times New Roman" w:hAnsi="Times New Roman" w:cs="Times New Roman"/>
          <w:sz w:val="22"/>
          <w:szCs w:val="24"/>
        </w:rPr>
        <w:t>R</w:t>
      </w:r>
      <w:r w:rsidR="00542817" w:rsidRPr="00542817">
        <w:rPr>
          <w:rFonts w:ascii="Times New Roman" w:hAnsi="Times New Roman" w:cs="Times New Roman"/>
          <w:sz w:val="22"/>
          <w:szCs w:val="24"/>
        </w:rPr>
        <w:t>espublikos</w:t>
      </w:r>
      <w:r w:rsidR="00531313" w:rsidRPr="00531313">
        <w:t xml:space="preserve"> </w:t>
      </w:r>
      <w:r w:rsidR="00531313" w:rsidRPr="00531313">
        <w:rPr>
          <w:rFonts w:ascii="Times New Roman" w:hAnsi="Times New Roman" w:cs="Times New Roman"/>
          <w:sz w:val="22"/>
          <w:szCs w:val="24"/>
        </w:rPr>
        <w:t>administracinių nusižengimų kodekso</w:t>
      </w:r>
      <w:r w:rsidR="00DA34D7">
        <w:rPr>
          <w:rFonts w:ascii="Times New Roman" w:hAnsi="Times New Roman" w:cs="Times New Roman"/>
          <w:sz w:val="22"/>
          <w:szCs w:val="24"/>
        </w:rPr>
        <w:t xml:space="preserve"> 178,</w:t>
      </w:r>
      <w:r w:rsidR="00531313" w:rsidRPr="00531313">
        <w:rPr>
          <w:rFonts w:ascii="Times New Roman" w:hAnsi="Times New Roman" w:cs="Times New Roman"/>
          <w:sz w:val="22"/>
          <w:szCs w:val="24"/>
        </w:rPr>
        <w:t xml:space="preserve"> </w:t>
      </w:r>
      <w:r w:rsidR="00DA34D7">
        <w:rPr>
          <w:rFonts w:ascii="Times New Roman" w:hAnsi="Times New Roman" w:cs="Times New Roman"/>
          <w:sz w:val="22"/>
          <w:szCs w:val="24"/>
        </w:rPr>
        <w:t>589 straipsnių</w:t>
      </w:r>
      <w:r w:rsidR="00531313" w:rsidRPr="00531313">
        <w:rPr>
          <w:rFonts w:ascii="Times New Roman" w:hAnsi="Times New Roman" w:cs="Times New Roman"/>
          <w:sz w:val="22"/>
          <w:szCs w:val="24"/>
        </w:rPr>
        <w:t xml:space="preserve"> </w:t>
      </w:r>
      <w:r w:rsidR="00DA34D7">
        <w:rPr>
          <w:rFonts w:ascii="Times New Roman" w:hAnsi="Times New Roman" w:cs="Times New Roman"/>
          <w:sz w:val="22"/>
          <w:szCs w:val="24"/>
        </w:rPr>
        <w:t xml:space="preserve">pakeitimo </w:t>
      </w:r>
      <w:r w:rsidR="00531313" w:rsidRPr="00531313">
        <w:rPr>
          <w:rFonts w:ascii="Times New Roman" w:hAnsi="Times New Roman" w:cs="Times New Roman"/>
          <w:sz w:val="22"/>
          <w:szCs w:val="24"/>
        </w:rPr>
        <w:t xml:space="preserve">ir </w:t>
      </w:r>
      <w:r w:rsidR="00DA34D7">
        <w:rPr>
          <w:rFonts w:ascii="Times New Roman" w:hAnsi="Times New Roman" w:cs="Times New Roman"/>
          <w:sz w:val="22"/>
          <w:szCs w:val="24"/>
        </w:rPr>
        <w:t>179</w:t>
      </w:r>
      <w:r w:rsidR="00531313" w:rsidRPr="00531313">
        <w:rPr>
          <w:rFonts w:ascii="Times New Roman" w:hAnsi="Times New Roman" w:cs="Times New Roman"/>
          <w:sz w:val="22"/>
          <w:szCs w:val="24"/>
        </w:rPr>
        <w:t xml:space="preserve"> straipsni</w:t>
      </w:r>
      <w:r w:rsidR="00DA34D7">
        <w:rPr>
          <w:rFonts w:ascii="Times New Roman" w:hAnsi="Times New Roman" w:cs="Times New Roman"/>
          <w:sz w:val="22"/>
          <w:szCs w:val="24"/>
        </w:rPr>
        <w:t>o pripažinimo netekusiu galios</w:t>
      </w:r>
      <w:r w:rsidR="00531313" w:rsidRPr="00531313">
        <w:rPr>
          <w:rFonts w:ascii="Times New Roman" w:hAnsi="Times New Roman" w:cs="Times New Roman"/>
          <w:sz w:val="22"/>
          <w:szCs w:val="24"/>
        </w:rPr>
        <w:t xml:space="preserve"> įstatym</w:t>
      </w:r>
      <w:r w:rsidR="00531313">
        <w:rPr>
          <w:rFonts w:ascii="Times New Roman" w:hAnsi="Times New Roman" w:cs="Times New Roman"/>
          <w:sz w:val="22"/>
          <w:szCs w:val="24"/>
        </w:rPr>
        <w:t>o projektas</w:t>
      </w:r>
      <w:r w:rsidR="00542817" w:rsidRPr="00542817">
        <w:rPr>
          <w:rFonts w:ascii="Times New Roman" w:hAnsi="Times New Roman" w:cs="Times New Roman"/>
          <w:sz w:val="22"/>
          <w:szCs w:val="24"/>
        </w:rPr>
        <w:t xml:space="preserve"> </w:t>
      </w:r>
      <w:r w:rsidR="000C05C6" w:rsidRPr="000C05C6">
        <w:rPr>
          <w:rFonts w:ascii="Times New Roman" w:hAnsi="Times New Roman" w:cs="Times New Roman"/>
          <w:sz w:val="22"/>
          <w:szCs w:val="24"/>
        </w:rPr>
        <w:t xml:space="preserve">(toliau – </w:t>
      </w:r>
      <w:r w:rsidR="000C05C6">
        <w:rPr>
          <w:rFonts w:ascii="Times New Roman" w:hAnsi="Times New Roman" w:cs="Times New Roman"/>
          <w:sz w:val="22"/>
          <w:szCs w:val="24"/>
        </w:rPr>
        <w:t>Projektas</w:t>
      </w:r>
      <w:r w:rsidR="000C05C6" w:rsidRPr="000C05C6">
        <w:rPr>
          <w:rFonts w:ascii="Times New Roman" w:hAnsi="Times New Roman" w:cs="Times New Roman"/>
          <w:sz w:val="22"/>
          <w:szCs w:val="24"/>
        </w:rPr>
        <w:t>).</w:t>
      </w:r>
    </w:p>
    <w:p w14:paraId="3B2451E3" w14:textId="4618A490" w:rsidR="00D02438" w:rsidRDefault="002656E7" w:rsidP="00C42463">
      <w:pPr>
        <w:jc w:val="both"/>
        <w:rPr>
          <w:rFonts w:ascii="Times New Roman" w:hAnsi="Times New Roman" w:cs="Times New Roman"/>
          <w:sz w:val="22"/>
          <w:szCs w:val="24"/>
        </w:rPr>
      </w:pPr>
      <w:r>
        <w:rPr>
          <w:rFonts w:ascii="Times New Roman" w:hAnsi="Times New Roman" w:cs="Times New Roman"/>
          <w:sz w:val="22"/>
          <w:szCs w:val="24"/>
        </w:rPr>
        <w:t xml:space="preserve">Teisės akto projektą </w:t>
      </w:r>
      <w:r w:rsidRPr="00A0151F">
        <w:rPr>
          <w:rFonts w:ascii="Times New Roman" w:hAnsi="Times New Roman" w:cs="Times New Roman"/>
          <w:sz w:val="22"/>
          <w:szCs w:val="24"/>
        </w:rPr>
        <w:t>parengė Lietuvos Respublikos žemės ūkio ministro 2019 m. birželio 13 d. įsakymu Nr. 3D-368 sudaryta tarpinstitucinė darbo grupė dėl direktyvos 2019/633/ES nuostatų perkėlimo į nacionalinę teisę</w:t>
      </w:r>
      <w:r>
        <w:rPr>
          <w:rFonts w:ascii="Times New Roman" w:hAnsi="Times New Roman" w:cs="Times New Roman"/>
          <w:sz w:val="22"/>
          <w:szCs w:val="24"/>
        </w:rPr>
        <w:t xml:space="preserve"> </w:t>
      </w:r>
      <w:r w:rsidRPr="00A0151F">
        <w:rPr>
          <w:rFonts w:ascii="Times New Roman" w:hAnsi="Times New Roman" w:cs="Times New Roman"/>
          <w:sz w:val="22"/>
          <w:szCs w:val="24"/>
        </w:rPr>
        <w:t>(toliau – Tarpinstitucinė darbo grupė)</w:t>
      </w:r>
      <w:r>
        <w:t xml:space="preserve">, </w:t>
      </w:r>
      <w:r w:rsidR="00D02438" w:rsidRPr="00D02438">
        <w:rPr>
          <w:rFonts w:ascii="Times New Roman" w:hAnsi="Times New Roman" w:cs="Times New Roman"/>
          <w:sz w:val="22"/>
          <w:szCs w:val="24"/>
        </w:rPr>
        <w:t xml:space="preserve">darbo grupės pirmininkas – Valdas Aleknavičius, Žemės ūkio ministerijos kancleris, tel. 8 698 42415, el. p. </w:t>
      </w:r>
      <w:hyperlink r:id="rId8" w:history="1">
        <w:r w:rsidR="00D02438" w:rsidRPr="00652021">
          <w:rPr>
            <w:rStyle w:val="Hipersaitas"/>
            <w:rFonts w:ascii="Times New Roman" w:hAnsi="Times New Roman" w:cs="Times New Roman"/>
            <w:sz w:val="22"/>
            <w:szCs w:val="24"/>
          </w:rPr>
          <w:t>valdas.aleknavicius@zum.lt</w:t>
        </w:r>
      </w:hyperlink>
      <w:r w:rsidR="00D02438" w:rsidRPr="00D02438">
        <w:rPr>
          <w:rFonts w:ascii="Times New Roman" w:hAnsi="Times New Roman" w:cs="Times New Roman"/>
          <w:sz w:val="22"/>
          <w:szCs w:val="24"/>
        </w:rPr>
        <w:t>.</w:t>
      </w:r>
    </w:p>
    <w:p w14:paraId="097E380E" w14:textId="22E4B5EF" w:rsidR="00E94D6F" w:rsidRDefault="00443B11" w:rsidP="00C42463">
      <w:pPr>
        <w:jc w:val="both"/>
        <w:rPr>
          <w:rFonts w:ascii="Times New Roman" w:hAnsi="Times New Roman" w:cs="Times New Roman"/>
          <w:sz w:val="22"/>
          <w:szCs w:val="24"/>
        </w:rPr>
      </w:pPr>
      <w:r w:rsidRPr="00DF0E99">
        <w:rPr>
          <w:rFonts w:ascii="Times New Roman" w:hAnsi="Times New Roman" w:cs="Times New Roman"/>
          <w:sz w:val="22"/>
          <w:szCs w:val="24"/>
        </w:rPr>
        <w:t>Teisės akto projekto tiesioginis rengėjas:</w:t>
      </w:r>
      <w:r w:rsidR="009B08C1" w:rsidRPr="00DF0E99">
        <w:rPr>
          <w:rFonts w:ascii="Times New Roman" w:hAnsi="Times New Roman" w:cs="Times New Roman"/>
          <w:sz w:val="22"/>
          <w:szCs w:val="24"/>
        </w:rPr>
        <w:t xml:space="preserve"> </w:t>
      </w:r>
      <w:r w:rsidR="00160C23" w:rsidRPr="00160C23">
        <w:rPr>
          <w:rFonts w:ascii="Times New Roman" w:hAnsi="Times New Roman" w:cs="Times New Roman"/>
          <w:sz w:val="22"/>
          <w:szCs w:val="24"/>
        </w:rPr>
        <w:t xml:space="preserve">Programinio, projektinio valdymo ir analizės skyriaus </w:t>
      </w:r>
      <w:r w:rsidR="00C42463" w:rsidRPr="00C42463">
        <w:rPr>
          <w:rFonts w:ascii="Times New Roman" w:hAnsi="Times New Roman" w:cs="Times New Roman"/>
          <w:sz w:val="22"/>
          <w:szCs w:val="24"/>
        </w:rPr>
        <w:t xml:space="preserve">vyr. specialistė </w:t>
      </w:r>
      <w:r w:rsidR="00C42463">
        <w:rPr>
          <w:rFonts w:ascii="Times New Roman" w:hAnsi="Times New Roman" w:cs="Times New Roman"/>
          <w:sz w:val="22"/>
          <w:szCs w:val="24"/>
        </w:rPr>
        <w:t>Kristina Šimkutė</w:t>
      </w:r>
      <w:r w:rsidR="00BC2DA8">
        <w:rPr>
          <w:rFonts w:ascii="Times New Roman" w:hAnsi="Times New Roman" w:cs="Times New Roman"/>
          <w:sz w:val="22"/>
          <w:szCs w:val="24"/>
        </w:rPr>
        <w:t>, tel.</w:t>
      </w:r>
      <w:r w:rsidR="0088249A">
        <w:rPr>
          <w:rFonts w:ascii="Times New Roman" w:hAnsi="Times New Roman" w:cs="Times New Roman"/>
          <w:sz w:val="22"/>
          <w:szCs w:val="24"/>
        </w:rPr>
        <w:t xml:space="preserve"> </w:t>
      </w:r>
      <w:r w:rsidR="00C42463" w:rsidRPr="00C42463">
        <w:rPr>
          <w:rFonts w:ascii="Times New Roman" w:hAnsi="Times New Roman" w:cs="Times New Roman"/>
          <w:sz w:val="22"/>
          <w:szCs w:val="24"/>
        </w:rPr>
        <w:t>8 680 44306</w:t>
      </w:r>
      <w:r w:rsidR="0088249A">
        <w:rPr>
          <w:rFonts w:ascii="Times New Roman" w:hAnsi="Times New Roman" w:cs="Times New Roman"/>
          <w:sz w:val="22"/>
          <w:szCs w:val="24"/>
        </w:rPr>
        <w:t>,</w:t>
      </w:r>
      <w:r w:rsidR="00C42463">
        <w:rPr>
          <w:rFonts w:ascii="Times New Roman" w:hAnsi="Times New Roman" w:cs="Times New Roman"/>
          <w:sz w:val="22"/>
          <w:szCs w:val="24"/>
        </w:rPr>
        <w:t xml:space="preserve"> e</w:t>
      </w:r>
      <w:r w:rsidR="00BC2DA8">
        <w:rPr>
          <w:rFonts w:ascii="Times New Roman" w:hAnsi="Times New Roman" w:cs="Times New Roman"/>
          <w:sz w:val="22"/>
          <w:szCs w:val="24"/>
        </w:rPr>
        <w:t xml:space="preserve">l. p. </w:t>
      </w:r>
      <w:hyperlink r:id="rId9" w:history="1">
        <w:r w:rsidR="00C42463" w:rsidRPr="00B76F08">
          <w:rPr>
            <w:rStyle w:val="Hipersaitas"/>
            <w:rFonts w:ascii="Times New Roman" w:hAnsi="Times New Roman" w:cs="Times New Roman"/>
            <w:sz w:val="22"/>
            <w:szCs w:val="22"/>
          </w:rPr>
          <w:t>kristina.simkute@zum.lt</w:t>
        </w:r>
      </w:hyperlink>
      <w:r w:rsidR="00F86C03" w:rsidRPr="00F86C03">
        <w:rPr>
          <w:rFonts w:ascii="Times New Roman" w:hAnsi="Times New Roman" w:cs="Times New Roman"/>
          <w:sz w:val="22"/>
          <w:szCs w:val="22"/>
        </w:rPr>
        <w:t xml:space="preserve">. </w:t>
      </w:r>
    </w:p>
    <w:p w14:paraId="4A392828" w14:textId="77777777" w:rsidR="00443B11" w:rsidRPr="00DF0E99" w:rsidRDefault="00443B11" w:rsidP="00435768">
      <w:pPr>
        <w:spacing w:before="40"/>
        <w:jc w:val="both"/>
        <w:rPr>
          <w:rFonts w:ascii="Times New Roman" w:hAnsi="Times New Roman" w:cs="Times New Roman"/>
          <w:sz w:val="22"/>
          <w:szCs w:val="24"/>
        </w:rPr>
      </w:pPr>
      <w:r w:rsidRPr="00DF0E99">
        <w:rPr>
          <w:rFonts w:ascii="Times New Roman" w:hAnsi="Times New Roman" w:cs="Times New Roman"/>
          <w:sz w:val="22"/>
          <w:szCs w:val="24"/>
        </w:rPr>
        <w:t xml:space="preserve">Antikorupciniu požiūriu rizikingos teisės akto projekto nuostatos: </w:t>
      </w:r>
      <w:r w:rsidR="00DF0E99" w:rsidRPr="00DF0E99">
        <w:rPr>
          <w:rFonts w:ascii="Times New Roman" w:hAnsi="Times New Roman" w:cs="Times New Roman"/>
          <w:sz w:val="22"/>
          <w:szCs w:val="24"/>
        </w:rPr>
        <w:t>nėra</w:t>
      </w:r>
    </w:p>
    <w:p w14:paraId="0DC673C8" w14:textId="77777777" w:rsidR="00050517" w:rsidRPr="00DF0E99" w:rsidRDefault="00050517" w:rsidP="00443B11">
      <w:pPr>
        <w:jc w:val="both"/>
        <w:rPr>
          <w:rFonts w:ascii="Times New Roman" w:hAnsi="Times New Roman" w:cs="Times New Roman"/>
          <w:sz w:val="22"/>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4827"/>
        <w:gridCol w:w="3827"/>
        <w:gridCol w:w="2693"/>
        <w:gridCol w:w="2835"/>
      </w:tblGrid>
      <w:tr w:rsidR="00443B11" w:rsidRPr="00DF0E99" w14:paraId="6C1F736A" w14:textId="77777777" w:rsidTr="00435768">
        <w:trPr>
          <w:trHeight w:val="23"/>
        </w:trPr>
        <w:tc>
          <w:tcPr>
            <w:tcW w:w="565" w:type="dxa"/>
            <w:tcBorders>
              <w:top w:val="single" w:sz="4" w:space="0" w:color="auto"/>
              <w:left w:val="single" w:sz="4" w:space="0" w:color="auto"/>
              <w:bottom w:val="single" w:sz="4" w:space="0" w:color="auto"/>
              <w:right w:val="single" w:sz="4" w:space="0" w:color="auto"/>
            </w:tcBorders>
            <w:vAlign w:val="center"/>
          </w:tcPr>
          <w:p w14:paraId="11546CB1"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Eil. Nr.</w:t>
            </w:r>
          </w:p>
        </w:tc>
        <w:tc>
          <w:tcPr>
            <w:tcW w:w="4827" w:type="dxa"/>
            <w:tcBorders>
              <w:top w:val="single" w:sz="4" w:space="0" w:color="auto"/>
              <w:left w:val="single" w:sz="4" w:space="0" w:color="auto"/>
              <w:bottom w:val="single" w:sz="4" w:space="0" w:color="auto"/>
              <w:right w:val="single" w:sz="4" w:space="0" w:color="auto"/>
            </w:tcBorders>
            <w:vAlign w:val="center"/>
          </w:tcPr>
          <w:p w14:paraId="6EDA7C2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Kriterijus</w:t>
            </w:r>
          </w:p>
        </w:tc>
        <w:tc>
          <w:tcPr>
            <w:tcW w:w="3827" w:type="dxa"/>
            <w:tcBorders>
              <w:top w:val="single" w:sz="4" w:space="0" w:color="auto"/>
              <w:left w:val="single" w:sz="4" w:space="0" w:color="auto"/>
              <w:bottom w:val="single" w:sz="4" w:space="0" w:color="auto"/>
              <w:right w:val="single" w:sz="4" w:space="0" w:color="auto"/>
            </w:tcBorders>
          </w:tcPr>
          <w:p w14:paraId="4ED979F9" w14:textId="77777777" w:rsidR="00443B11" w:rsidRPr="00DF0E99" w:rsidRDefault="00443B11" w:rsidP="00435768">
            <w:pPr>
              <w:ind w:left="72" w:firstLine="0"/>
              <w:rPr>
                <w:rFonts w:ascii="Times New Roman" w:hAnsi="Times New Roman" w:cs="Times New Roman"/>
                <w:b/>
                <w:sz w:val="22"/>
                <w:szCs w:val="22"/>
              </w:rPr>
            </w:pPr>
            <w:r w:rsidRPr="00DF0E99">
              <w:rPr>
                <w:rFonts w:ascii="Times New Roman" w:hAnsi="Times New Roman" w:cs="Times New Roman"/>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tcPr>
          <w:p w14:paraId="082919E8" w14:textId="77777777" w:rsidR="00443B11" w:rsidRPr="00DF0E99" w:rsidRDefault="00443B11" w:rsidP="00435768">
            <w:pPr>
              <w:ind w:left="72" w:firstLine="0"/>
              <w:rPr>
                <w:rFonts w:ascii="Times New Roman" w:hAnsi="Times New Roman" w:cs="Times New Roman"/>
                <w:sz w:val="22"/>
                <w:szCs w:val="22"/>
              </w:rPr>
            </w:pPr>
            <w:r w:rsidRPr="00DF0E99">
              <w:rPr>
                <w:rFonts w:ascii="Times New Roman" w:hAnsi="Times New Roman" w:cs="Times New Roman"/>
                <w:sz w:val="22"/>
                <w:szCs w:val="22"/>
              </w:rPr>
              <w:t>Teisės akto projekto pakeitimas, mažinantis korupcijos riziką, arba teisės akto projekto tiesioginio rengėjo argumentai, kodėl neatsižvelgta į pastabą</w:t>
            </w:r>
          </w:p>
        </w:tc>
        <w:tc>
          <w:tcPr>
            <w:tcW w:w="2835" w:type="dxa"/>
            <w:tcBorders>
              <w:top w:val="single" w:sz="4" w:space="0" w:color="auto"/>
              <w:left w:val="single" w:sz="4" w:space="0" w:color="auto"/>
              <w:bottom w:val="single" w:sz="4" w:space="0" w:color="auto"/>
              <w:right w:val="single" w:sz="4" w:space="0" w:color="auto"/>
            </w:tcBorders>
          </w:tcPr>
          <w:p w14:paraId="2BD38198" w14:textId="77777777" w:rsidR="00443B11" w:rsidRPr="00DF0E99" w:rsidRDefault="00443B11" w:rsidP="00435768">
            <w:pPr>
              <w:ind w:left="72" w:firstLine="0"/>
              <w:rPr>
                <w:rFonts w:ascii="Times New Roman" w:hAnsi="Times New Roman" w:cs="Times New Roman"/>
                <w:sz w:val="22"/>
                <w:szCs w:val="22"/>
              </w:rPr>
            </w:pPr>
            <w:r w:rsidRPr="00DF0E99">
              <w:rPr>
                <w:rFonts w:ascii="Times New Roman" w:hAnsi="Times New Roman" w:cs="Times New Roman"/>
                <w:sz w:val="22"/>
                <w:szCs w:val="22"/>
              </w:rPr>
              <w:t>Išvada dėl teisės akto projekto pakeitimų arba argumentų, kodėl neatsižvelgta į pastabą</w:t>
            </w:r>
          </w:p>
        </w:tc>
      </w:tr>
      <w:tr w:rsidR="00443B11" w:rsidRPr="00DF0E99" w14:paraId="7D9AF1C6" w14:textId="77777777" w:rsidTr="00435768">
        <w:trPr>
          <w:trHeight w:val="23"/>
        </w:trPr>
        <w:tc>
          <w:tcPr>
            <w:tcW w:w="565" w:type="dxa"/>
            <w:tcBorders>
              <w:top w:val="single" w:sz="4" w:space="0" w:color="auto"/>
              <w:left w:val="single" w:sz="4" w:space="0" w:color="auto"/>
              <w:bottom w:val="single" w:sz="4" w:space="0" w:color="auto"/>
              <w:right w:val="single" w:sz="4" w:space="0" w:color="auto"/>
            </w:tcBorders>
          </w:tcPr>
          <w:p w14:paraId="0D9BA97D" w14:textId="77777777" w:rsidR="00443B11" w:rsidRPr="00DF0E99" w:rsidRDefault="00443B11" w:rsidP="00443B11">
            <w:pPr>
              <w:ind w:firstLine="0"/>
              <w:jc w:val="center"/>
              <w:rPr>
                <w:rFonts w:ascii="Times New Roman" w:hAnsi="Times New Roman" w:cs="Times New Roman"/>
                <w:i/>
                <w:sz w:val="22"/>
                <w:szCs w:val="22"/>
              </w:rPr>
            </w:pPr>
          </w:p>
        </w:tc>
        <w:tc>
          <w:tcPr>
            <w:tcW w:w="4827" w:type="dxa"/>
            <w:tcBorders>
              <w:top w:val="single" w:sz="4" w:space="0" w:color="auto"/>
              <w:left w:val="single" w:sz="4" w:space="0" w:color="auto"/>
              <w:bottom w:val="single" w:sz="4" w:space="0" w:color="auto"/>
              <w:right w:val="single" w:sz="4" w:space="0" w:color="auto"/>
            </w:tcBorders>
          </w:tcPr>
          <w:p w14:paraId="27C1DD2E" w14:textId="77777777" w:rsidR="00443B11" w:rsidRPr="00DF0E99" w:rsidRDefault="00443B11" w:rsidP="00443B11">
            <w:pPr>
              <w:ind w:firstLine="0"/>
              <w:rPr>
                <w:rFonts w:ascii="Times New Roman" w:hAnsi="Times New Roman" w:cs="Times New Roman"/>
                <w:i/>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34EED19" w14:textId="77777777" w:rsidR="00443B11" w:rsidRPr="00DF0E99" w:rsidRDefault="00443B11">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c>
          <w:tcPr>
            <w:tcW w:w="2693" w:type="dxa"/>
            <w:tcBorders>
              <w:top w:val="single" w:sz="4" w:space="0" w:color="auto"/>
              <w:left w:val="single" w:sz="4" w:space="0" w:color="auto"/>
              <w:bottom w:val="single" w:sz="4" w:space="0" w:color="auto"/>
              <w:right w:val="single" w:sz="4" w:space="0" w:color="auto"/>
            </w:tcBorders>
          </w:tcPr>
          <w:p w14:paraId="15EACB8D" w14:textId="77777777" w:rsidR="00443B11" w:rsidRPr="00DF0E99" w:rsidRDefault="00443B11">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tiesioginis rengėjas</w:t>
            </w:r>
          </w:p>
        </w:tc>
        <w:tc>
          <w:tcPr>
            <w:tcW w:w="2835" w:type="dxa"/>
            <w:tcBorders>
              <w:top w:val="single" w:sz="4" w:space="0" w:color="auto"/>
              <w:left w:val="single" w:sz="4" w:space="0" w:color="auto"/>
              <w:bottom w:val="single" w:sz="4" w:space="0" w:color="auto"/>
              <w:right w:val="single" w:sz="4" w:space="0" w:color="auto"/>
            </w:tcBorders>
          </w:tcPr>
          <w:p w14:paraId="6B8F902D" w14:textId="77777777" w:rsidR="00443B11" w:rsidRPr="00DF0E99" w:rsidRDefault="00443B11">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r>
      <w:tr w:rsidR="00443B11" w:rsidRPr="00DF0E99" w14:paraId="6DF74995"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C3A3AA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w:t>
            </w:r>
          </w:p>
        </w:tc>
        <w:tc>
          <w:tcPr>
            <w:tcW w:w="4827" w:type="dxa"/>
            <w:tcBorders>
              <w:top w:val="single" w:sz="4" w:space="0" w:color="auto"/>
              <w:left w:val="single" w:sz="4" w:space="0" w:color="auto"/>
              <w:bottom w:val="single" w:sz="4" w:space="0" w:color="auto"/>
              <w:right w:val="single" w:sz="4" w:space="0" w:color="auto"/>
            </w:tcBorders>
          </w:tcPr>
          <w:p w14:paraId="20E81C84"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nesudaro išskirtinių ar nevienodų sąlygų subjektams, su kuriais susijęs teisės akto įgyvendinimas</w:t>
            </w:r>
          </w:p>
        </w:tc>
        <w:tc>
          <w:tcPr>
            <w:tcW w:w="3827" w:type="dxa"/>
            <w:tcBorders>
              <w:top w:val="single" w:sz="4" w:space="0" w:color="auto"/>
              <w:left w:val="single" w:sz="4" w:space="0" w:color="auto"/>
              <w:bottom w:val="single" w:sz="4" w:space="0" w:color="auto"/>
              <w:right w:val="single" w:sz="4" w:space="0" w:color="auto"/>
            </w:tcBorders>
          </w:tcPr>
          <w:p w14:paraId="06F1E2FC" w14:textId="241836AB" w:rsidR="00FD0D79" w:rsidRPr="00DF0E99" w:rsidRDefault="00E575F9" w:rsidP="00E12168">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Projektas nesudaro išskirtinių ar nevienodų sąlygų subjektams, su kuriais susijęs teisės akto įgyvendinimas.</w:t>
            </w:r>
            <w:r w:rsidR="00FE5290">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089D8291"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DA69DD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C0103B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E92E3EC"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42CEC061"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2.</w:t>
            </w:r>
          </w:p>
        </w:tc>
        <w:tc>
          <w:tcPr>
            <w:tcW w:w="4827" w:type="dxa"/>
            <w:tcBorders>
              <w:top w:val="single" w:sz="4" w:space="0" w:color="auto"/>
              <w:left w:val="single" w:sz="4" w:space="0" w:color="auto"/>
              <w:bottom w:val="single" w:sz="4" w:space="0" w:color="auto"/>
              <w:right w:val="single" w:sz="4" w:space="0" w:color="auto"/>
            </w:tcBorders>
          </w:tcPr>
          <w:p w14:paraId="10B72EC5"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nėra spragų ar nuostatų, leisiančių dviprasmiškai aiškinti ir taikyti teisės aktą</w:t>
            </w:r>
          </w:p>
        </w:tc>
        <w:tc>
          <w:tcPr>
            <w:tcW w:w="3827" w:type="dxa"/>
            <w:tcBorders>
              <w:top w:val="single" w:sz="4" w:space="0" w:color="auto"/>
              <w:left w:val="single" w:sz="4" w:space="0" w:color="auto"/>
              <w:bottom w:val="single" w:sz="4" w:space="0" w:color="auto"/>
              <w:right w:val="single" w:sz="4" w:space="0" w:color="auto"/>
            </w:tcBorders>
          </w:tcPr>
          <w:p w14:paraId="5E89F3C3" w14:textId="77777777" w:rsidR="00443B11" w:rsidRPr="00DF0E99" w:rsidRDefault="00ED2187" w:rsidP="00FE5290">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Projekto nuostatos aiškios ir nedviprasmiškos.</w:t>
            </w:r>
            <w:r w:rsidR="00DF0E99">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6D59628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9256AA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B783B9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rPr>
              <w:t xml:space="preserve"> </w:t>
            </w:r>
            <w:r w:rsidR="00443B11" w:rsidRPr="00DF0E99">
              <w:rPr>
                <w:rFonts w:ascii="Times New Roman" w:hAnsi="Times New Roman" w:cs="Times New Roman"/>
                <w:sz w:val="22"/>
                <w:szCs w:val="22"/>
              </w:rPr>
              <w:t>netenkina</w:t>
            </w:r>
          </w:p>
        </w:tc>
      </w:tr>
      <w:tr w:rsidR="00443B11" w:rsidRPr="00DF0E99" w14:paraId="15F117B6"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443ECD4B"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3.</w:t>
            </w:r>
          </w:p>
        </w:tc>
        <w:tc>
          <w:tcPr>
            <w:tcW w:w="4827" w:type="dxa"/>
            <w:tcBorders>
              <w:top w:val="single" w:sz="4" w:space="0" w:color="auto"/>
              <w:left w:val="single" w:sz="4" w:space="0" w:color="auto"/>
              <w:bottom w:val="single" w:sz="4" w:space="0" w:color="auto"/>
              <w:right w:val="single" w:sz="4" w:space="0" w:color="auto"/>
            </w:tcBorders>
          </w:tcPr>
          <w:p w14:paraId="38569A0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27" w:type="dxa"/>
            <w:tcBorders>
              <w:top w:val="single" w:sz="4" w:space="0" w:color="auto"/>
              <w:left w:val="single" w:sz="4" w:space="0" w:color="auto"/>
              <w:bottom w:val="single" w:sz="4" w:space="0" w:color="auto"/>
              <w:right w:val="single" w:sz="4" w:space="0" w:color="auto"/>
            </w:tcBorders>
          </w:tcPr>
          <w:p w14:paraId="6D60BC76" w14:textId="77777777" w:rsidR="00443B11" w:rsidRPr="00DF0E99" w:rsidRDefault="00DF0E99" w:rsidP="00ED2187">
            <w:pPr>
              <w:ind w:firstLine="0"/>
              <w:jc w:val="both"/>
              <w:rPr>
                <w:rFonts w:ascii="Times New Roman" w:hAnsi="Times New Roman" w:cs="Times New Roman"/>
                <w:sz w:val="22"/>
                <w:szCs w:val="22"/>
              </w:rPr>
            </w:pPr>
            <w:r w:rsidRPr="00A635A4">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332AEF9B"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136E72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24E6E7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18470671"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5D276F5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4.</w:t>
            </w:r>
          </w:p>
        </w:tc>
        <w:tc>
          <w:tcPr>
            <w:tcW w:w="4827" w:type="dxa"/>
            <w:tcBorders>
              <w:top w:val="single" w:sz="4" w:space="0" w:color="auto"/>
              <w:left w:val="single" w:sz="4" w:space="0" w:color="auto"/>
              <w:bottom w:val="single" w:sz="4" w:space="0" w:color="auto"/>
              <w:right w:val="single" w:sz="4" w:space="0" w:color="auto"/>
            </w:tcBorders>
          </w:tcPr>
          <w:p w14:paraId="4CE765B9"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nustatyti subjekto įgaliojimai (teisės) atitinka subjekto atliekamas funkcijas (pareigas)</w:t>
            </w:r>
          </w:p>
        </w:tc>
        <w:tc>
          <w:tcPr>
            <w:tcW w:w="3827" w:type="dxa"/>
            <w:tcBorders>
              <w:top w:val="single" w:sz="4" w:space="0" w:color="auto"/>
              <w:left w:val="single" w:sz="4" w:space="0" w:color="auto"/>
              <w:bottom w:val="single" w:sz="4" w:space="0" w:color="auto"/>
              <w:right w:val="single" w:sz="4" w:space="0" w:color="auto"/>
            </w:tcBorders>
          </w:tcPr>
          <w:p w14:paraId="6436537B" w14:textId="2730C3EC" w:rsidR="006B020B" w:rsidRPr="00F3733F" w:rsidRDefault="00472994" w:rsidP="00ED2187">
            <w:pPr>
              <w:ind w:firstLine="0"/>
              <w:jc w:val="both"/>
              <w:rPr>
                <w:rFonts w:ascii="Times New Roman" w:hAnsi="Times New Roman" w:cs="Times New Roman"/>
                <w:sz w:val="22"/>
                <w:szCs w:val="22"/>
              </w:rPr>
            </w:pPr>
            <w:r w:rsidRPr="00F3733F">
              <w:rPr>
                <w:rFonts w:ascii="Times New Roman" w:hAnsi="Times New Roman" w:cs="Times New Roman"/>
                <w:sz w:val="22"/>
                <w:szCs w:val="22"/>
              </w:rPr>
              <w:t xml:space="preserve">Taip. </w:t>
            </w:r>
            <w:r w:rsidR="006B020B" w:rsidRPr="00F3733F">
              <w:rPr>
                <w:rFonts w:ascii="Times New Roman" w:hAnsi="Times New Roman" w:cs="Times New Roman"/>
                <w:sz w:val="22"/>
                <w:szCs w:val="22"/>
              </w:rPr>
              <w:t xml:space="preserve">Projekto 589 str. </w:t>
            </w:r>
            <w:r w:rsidR="00F3733F" w:rsidRPr="00F3733F">
              <w:rPr>
                <w:rFonts w:ascii="Times New Roman" w:hAnsi="Times New Roman" w:cs="Times New Roman"/>
                <w:sz w:val="22"/>
                <w:szCs w:val="22"/>
              </w:rPr>
              <w:t>23</w:t>
            </w:r>
            <w:r w:rsidR="006B020B" w:rsidRPr="00F3733F">
              <w:rPr>
                <w:rFonts w:ascii="Times New Roman" w:hAnsi="Times New Roman" w:cs="Times New Roman"/>
                <w:sz w:val="22"/>
                <w:szCs w:val="22"/>
                <w:vertAlign w:val="superscript"/>
              </w:rPr>
              <w:t xml:space="preserve"> </w:t>
            </w:r>
            <w:r w:rsidR="006B020B" w:rsidRPr="00F3733F">
              <w:rPr>
                <w:rFonts w:ascii="Times New Roman" w:hAnsi="Times New Roman" w:cs="Times New Roman"/>
                <w:sz w:val="22"/>
                <w:szCs w:val="22"/>
              </w:rPr>
              <w:t>p. numatyta, kad</w:t>
            </w:r>
          </w:p>
          <w:p w14:paraId="132D7765" w14:textId="77798222" w:rsidR="00F64E2B" w:rsidRPr="002F5D6E" w:rsidRDefault="00F3733F" w:rsidP="00ED2187">
            <w:pPr>
              <w:ind w:firstLine="0"/>
              <w:jc w:val="both"/>
              <w:rPr>
                <w:rFonts w:ascii="Times New Roman" w:hAnsi="Times New Roman" w:cs="Times New Roman"/>
                <w:sz w:val="22"/>
                <w:szCs w:val="22"/>
              </w:rPr>
            </w:pPr>
            <w:r w:rsidRPr="00F3733F">
              <w:rPr>
                <w:rFonts w:ascii="Times New Roman" w:hAnsi="Times New Roman" w:cs="Times New Roman"/>
                <w:sz w:val="22"/>
                <w:szCs w:val="22"/>
              </w:rPr>
              <w:t>Lietuvos Respublikos žemės ūkio ministerijos ir jos valdymo sričiai priskirtų įstaigų</w:t>
            </w:r>
            <w:r w:rsidR="006B020B" w:rsidRPr="00F3733F">
              <w:rPr>
                <w:rFonts w:ascii="Times New Roman" w:hAnsi="Times New Roman" w:cs="Times New Roman"/>
                <w:sz w:val="22"/>
                <w:szCs w:val="22"/>
              </w:rPr>
              <w:t xml:space="preserve"> pareigūnai turi teisę pradėti administracinių nusižengimų teiseną, atlikti administracinių nusižengimų tyrimą ir surašyti administracinių nusižengimų protokolus – dėl šio Projekto 17</w:t>
            </w:r>
            <w:r w:rsidRPr="00F3733F">
              <w:rPr>
                <w:rFonts w:ascii="Times New Roman" w:hAnsi="Times New Roman" w:cs="Times New Roman"/>
                <w:sz w:val="22"/>
                <w:szCs w:val="22"/>
              </w:rPr>
              <w:t>8</w:t>
            </w:r>
            <w:r w:rsidR="006B020B" w:rsidRPr="00F3733F">
              <w:rPr>
                <w:rFonts w:ascii="Times New Roman" w:hAnsi="Times New Roman" w:cs="Times New Roman"/>
                <w:sz w:val="22"/>
                <w:szCs w:val="22"/>
              </w:rPr>
              <w:t xml:space="preserve"> </w:t>
            </w:r>
            <w:r w:rsidR="006B020B" w:rsidRPr="00F3733F">
              <w:rPr>
                <w:rFonts w:ascii="Times New Roman" w:hAnsi="Times New Roman" w:cs="Times New Roman"/>
                <w:sz w:val="22"/>
                <w:szCs w:val="22"/>
              </w:rPr>
              <w:lastRenderedPageBreak/>
              <w:t>straipsn</w:t>
            </w:r>
            <w:r w:rsidRPr="00F3733F">
              <w:rPr>
                <w:rFonts w:ascii="Times New Roman" w:hAnsi="Times New Roman" w:cs="Times New Roman"/>
                <w:sz w:val="22"/>
                <w:szCs w:val="22"/>
              </w:rPr>
              <w:t>yje</w:t>
            </w:r>
            <w:r w:rsidR="006B020B" w:rsidRPr="00F3733F">
              <w:rPr>
                <w:rFonts w:ascii="Times New Roman" w:hAnsi="Times New Roman" w:cs="Times New Roman"/>
                <w:sz w:val="22"/>
                <w:szCs w:val="22"/>
              </w:rPr>
              <w:t xml:space="preserve"> numatyt</w:t>
            </w:r>
            <w:r w:rsidRPr="00F3733F">
              <w:rPr>
                <w:rFonts w:ascii="Times New Roman" w:hAnsi="Times New Roman" w:cs="Times New Roman"/>
                <w:sz w:val="22"/>
                <w:szCs w:val="22"/>
              </w:rPr>
              <w:t>o</w:t>
            </w:r>
            <w:r w:rsidR="006B020B" w:rsidRPr="00F3733F">
              <w:rPr>
                <w:rFonts w:ascii="Times New Roman" w:hAnsi="Times New Roman" w:cs="Times New Roman"/>
                <w:sz w:val="22"/>
                <w:szCs w:val="22"/>
              </w:rPr>
              <w:t xml:space="preserve"> administracini</w:t>
            </w:r>
            <w:r w:rsidRPr="00F3733F">
              <w:rPr>
                <w:rFonts w:ascii="Times New Roman" w:hAnsi="Times New Roman" w:cs="Times New Roman"/>
                <w:sz w:val="22"/>
                <w:szCs w:val="22"/>
              </w:rPr>
              <w:t>o</w:t>
            </w:r>
            <w:r w:rsidR="006B020B" w:rsidRPr="00F3733F">
              <w:rPr>
                <w:rFonts w:ascii="Times New Roman" w:hAnsi="Times New Roman" w:cs="Times New Roman"/>
                <w:sz w:val="22"/>
                <w:szCs w:val="22"/>
              </w:rPr>
              <w:t xml:space="preserve"> nusižengim</w:t>
            </w:r>
            <w:r w:rsidRPr="00F3733F">
              <w:rPr>
                <w:rFonts w:ascii="Times New Roman" w:hAnsi="Times New Roman" w:cs="Times New Roman"/>
                <w:sz w:val="22"/>
                <w:szCs w:val="22"/>
              </w:rPr>
              <w:t>o</w:t>
            </w:r>
            <w:r w:rsidR="006B020B" w:rsidRPr="00F3733F">
              <w:rPr>
                <w:rFonts w:ascii="Times New Roman" w:hAnsi="Times New Roman" w:cs="Times New Roman"/>
                <w:sz w:val="22"/>
                <w:szCs w:val="22"/>
              </w:rPr>
              <w:t>.</w:t>
            </w:r>
          </w:p>
          <w:p w14:paraId="7DB2799A" w14:textId="261B8CCF" w:rsidR="00B27D59" w:rsidRPr="006B020B" w:rsidRDefault="00B27D59" w:rsidP="00ED2187">
            <w:pPr>
              <w:ind w:firstLine="0"/>
              <w:jc w:val="both"/>
              <w:rPr>
                <w:rFonts w:ascii="Times New Roman" w:hAnsi="Times New Roman" w:cs="Times New Roman"/>
                <w:color w:val="FF0000"/>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2EFFE82"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C039AE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15AED1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1AF8EC5F"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77CEEA86"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5.</w:t>
            </w:r>
          </w:p>
        </w:tc>
        <w:tc>
          <w:tcPr>
            <w:tcW w:w="4827" w:type="dxa"/>
            <w:tcBorders>
              <w:top w:val="single" w:sz="4" w:space="0" w:color="auto"/>
              <w:left w:val="single" w:sz="4" w:space="0" w:color="auto"/>
              <w:bottom w:val="single" w:sz="4" w:space="0" w:color="auto"/>
              <w:right w:val="single" w:sz="4" w:space="0" w:color="auto"/>
            </w:tcBorders>
          </w:tcPr>
          <w:p w14:paraId="58081B57"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sprendimo priėmimo kriterijų (atvejų) sąrašas</w:t>
            </w:r>
          </w:p>
        </w:tc>
        <w:tc>
          <w:tcPr>
            <w:tcW w:w="3827" w:type="dxa"/>
            <w:tcBorders>
              <w:top w:val="single" w:sz="4" w:space="0" w:color="auto"/>
              <w:left w:val="single" w:sz="4" w:space="0" w:color="auto"/>
              <w:bottom w:val="single" w:sz="4" w:space="0" w:color="auto"/>
              <w:right w:val="single" w:sz="4" w:space="0" w:color="auto"/>
            </w:tcBorders>
          </w:tcPr>
          <w:p w14:paraId="4A0DB631" w14:textId="77777777" w:rsidR="00443B11" w:rsidRPr="00DF0E99" w:rsidRDefault="00B57748" w:rsidP="00DF6AB7">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0B134AA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E2280E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CB871F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1536AF9D"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5A90B19B"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6.</w:t>
            </w:r>
          </w:p>
        </w:tc>
        <w:tc>
          <w:tcPr>
            <w:tcW w:w="4827" w:type="dxa"/>
            <w:tcBorders>
              <w:top w:val="single" w:sz="4" w:space="0" w:color="auto"/>
              <w:left w:val="single" w:sz="4" w:space="0" w:color="auto"/>
              <w:bottom w:val="single" w:sz="4" w:space="0" w:color="auto"/>
              <w:right w:val="single" w:sz="4" w:space="0" w:color="auto"/>
            </w:tcBorders>
          </w:tcPr>
          <w:p w14:paraId="7BFA70E1"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priimant sprendimus taikomos išimtys</w:t>
            </w:r>
          </w:p>
        </w:tc>
        <w:tc>
          <w:tcPr>
            <w:tcW w:w="3827" w:type="dxa"/>
            <w:tcBorders>
              <w:top w:val="single" w:sz="4" w:space="0" w:color="auto"/>
              <w:left w:val="single" w:sz="4" w:space="0" w:color="auto"/>
              <w:bottom w:val="single" w:sz="4" w:space="0" w:color="auto"/>
              <w:right w:val="single" w:sz="4" w:space="0" w:color="auto"/>
            </w:tcBorders>
          </w:tcPr>
          <w:p w14:paraId="51C96551" w14:textId="77777777" w:rsidR="00443B11" w:rsidRPr="00DF0E99" w:rsidRDefault="00B57748" w:rsidP="007229A0">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3640BEC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CE29BE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C84943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1C12A293"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6DFBE543"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7.</w:t>
            </w:r>
          </w:p>
        </w:tc>
        <w:tc>
          <w:tcPr>
            <w:tcW w:w="4827" w:type="dxa"/>
            <w:tcBorders>
              <w:top w:val="single" w:sz="4" w:space="0" w:color="auto"/>
              <w:left w:val="single" w:sz="4" w:space="0" w:color="auto"/>
              <w:bottom w:val="single" w:sz="4" w:space="0" w:color="auto"/>
              <w:right w:val="single" w:sz="4" w:space="0" w:color="auto"/>
            </w:tcBorders>
          </w:tcPr>
          <w:p w14:paraId="7397234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priėmimo, įforminimo tvarka ir priimtų sprendimų viešinimas</w:t>
            </w:r>
          </w:p>
        </w:tc>
        <w:tc>
          <w:tcPr>
            <w:tcW w:w="3827" w:type="dxa"/>
            <w:tcBorders>
              <w:top w:val="single" w:sz="4" w:space="0" w:color="auto"/>
              <w:left w:val="single" w:sz="4" w:space="0" w:color="auto"/>
              <w:bottom w:val="single" w:sz="4" w:space="0" w:color="auto"/>
              <w:right w:val="single" w:sz="4" w:space="0" w:color="auto"/>
            </w:tcBorders>
          </w:tcPr>
          <w:p w14:paraId="0830BF26" w14:textId="77777777" w:rsidR="00964B58" w:rsidRPr="00DF0E99" w:rsidRDefault="00B57748" w:rsidP="00DF6AB7">
            <w:pPr>
              <w:ind w:firstLine="0"/>
              <w:jc w:val="both"/>
              <w:rPr>
                <w:rFonts w:ascii="Times New Roman" w:hAnsi="Times New Roman" w:cs="Times New Roman"/>
                <w:sz w:val="22"/>
                <w:szCs w:val="22"/>
              </w:rPr>
            </w:pPr>
            <w:r w:rsidRPr="00664FDB">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5121C761"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7EAC56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4A2FEB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0F29C4B"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1F3B10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8.</w:t>
            </w:r>
          </w:p>
        </w:tc>
        <w:tc>
          <w:tcPr>
            <w:tcW w:w="4827" w:type="dxa"/>
            <w:tcBorders>
              <w:top w:val="single" w:sz="4" w:space="0" w:color="auto"/>
              <w:left w:val="single" w:sz="4" w:space="0" w:color="auto"/>
              <w:bottom w:val="single" w:sz="4" w:space="0" w:color="auto"/>
              <w:right w:val="single" w:sz="4" w:space="0" w:color="auto"/>
            </w:tcBorders>
          </w:tcPr>
          <w:p w14:paraId="4CDC1CC8"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dėl mažareikšmiškumo priėmimo tvarka</w:t>
            </w:r>
          </w:p>
        </w:tc>
        <w:tc>
          <w:tcPr>
            <w:tcW w:w="3827" w:type="dxa"/>
            <w:tcBorders>
              <w:top w:val="single" w:sz="4" w:space="0" w:color="auto"/>
              <w:left w:val="single" w:sz="4" w:space="0" w:color="auto"/>
              <w:bottom w:val="single" w:sz="4" w:space="0" w:color="auto"/>
              <w:right w:val="single" w:sz="4" w:space="0" w:color="auto"/>
            </w:tcBorders>
          </w:tcPr>
          <w:p w14:paraId="3349156D" w14:textId="77777777" w:rsidR="00CB6F91" w:rsidRPr="00DF0E99" w:rsidRDefault="002F5D6E" w:rsidP="00CB6F91">
            <w:pPr>
              <w:ind w:firstLine="0"/>
              <w:jc w:val="both"/>
              <w:rPr>
                <w:rFonts w:ascii="Times New Roman" w:hAnsi="Times New Roman" w:cs="Times New Roman"/>
                <w:sz w:val="22"/>
                <w:szCs w:val="22"/>
              </w:rPr>
            </w:pPr>
            <w:r w:rsidRPr="002F5D6E">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15C7B83D"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F3B42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5524A2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60B15EA"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662CDF3"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9.</w:t>
            </w:r>
          </w:p>
        </w:tc>
        <w:tc>
          <w:tcPr>
            <w:tcW w:w="4827" w:type="dxa"/>
            <w:tcBorders>
              <w:top w:val="single" w:sz="4" w:space="0" w:color="auto"/>
              <w:left w:val="single" w:sz="4" w:space="0" w:color="auto"/>
              <w:bottom w:val="single" w:sz="4" w:space="0" w:color="auto"/>
              <w:right w:val="single" w:sz="4" w:space="0" w:color="auto"/>
            </w:tcBorders>
          </w:tcPr>
          <w:p w14:paraId="0783C1E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Jeigu pagal numatomą reguliavimą sprendimus priima kolegialus subjektas, teisės akto projekte nustatyta kolegialaus sprendimus priimančio subjekto:</w:t>
            </w:r>
          </w:p>
          <w:p w14:paraId="64B2F14B"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9.1. konkretus narių skaičius, užtikrinantis kolegialaus sprendimus priimančio subjekto veiklos objektyvumą;</w:t>
            </w:r>
          </w:p>
          <w:p w14:paraId="3FDFA86E"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024D6A2B"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9.3</w:t>
            </w:r>
            <w:r w:rsidRPr="00DF0E99">
              <w:rPr>
                <w:rFonts w:ascii="Times New Roman" w:hAnsi="Times New Roman" w:cs="Times New Roman"/>
                <w:spacing w:val="-4"/>
                <w:sz w:val="22"/>
                <w:szCs w:val="22"/>
              </w:rPr>
              <w:t>. narių skyrimo mechanizmas;</w:t>
            </w:r>
          </w:p>
          <w:p w14:paraId="6EEE9DC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9.4. narių rotacija ir kadencijų skaičius ir trukmė;</w:t>
            </w:r>
          </w:p>
          <w:p w14:paraId="5328CBCB" w14:textId="77777777" w:rsidR="00443B11" w:rsidRPr="00DF0E99" w:rsidRDefault="00443B11" w:rsidP="00443B11">
            <w:pPr>
              <w:pStyle w:val="ListParagraph1"/>
              <w:ind w:left="0" w:firstLine="0"/>
              <w:rPr>
                <w:rFonts w:ascii="Times New Roman" w:hAnsi="Times New Roman" w:cs="Times New Roman"/>
                <w:sz w:val="22"/>
                <w:szCs w:val="22"/>
              </w:rPr>
            </w:pPr>
            <w:r w:rsidRPr="00DF0E99">
              <w:rPr>
                <w:rFonts w:ascii="Times New Roman" w:hAnsi="Times New Roman" w:cs="Times New Roman"/>
                <w:sz w:val="22"/>
                <w:szCs w:val="22"/>
              </w:rPr>
              <w:t>9.5. veiklos pobūdis laiko atžvilgiu;</w:t>
            </w:r>
          </w:p>
          <w:p w14:paraId="5F1F012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9.6. individuali narių atsakomybė</w:t>
            </w:r>
          </w:p>
        </w:tc>
        <w:tc>
          <w:tcPr>
            <w:tcW w:w="3827" w:type="dxa"/>
            <w:tcBorders>
              <w:top w:val="single" w:sz="4" w:space="0" w:color="auto"/>
              <w:left w:val="single" w:sz="4" w:space="0" w:color="auto"/>
              <w:bottom w:val="single" w:sz="4" w:space="0" w:color="auto"/>
              <w:right w:val="single" w:sz="4" w:space="0" w:color="auto"/>
            </w:tcBorders>
          </w:tcPr>
          <w:p w14:paraId="437B861D" w14:textId="77777777" w:rsidR="00443B11" w:rsidRPr="00DF0E99" w:rsidRDefault="00DF0E99" w:rsidP="00666B51">
            <w:pPr>
              <w:ind w:firstLine="0"/>
              <w:jc w:val="both"/>
              <w:rPr>
                <w:rFonts w:ascii="Times New Roman" w:hAnsi="Times New Roman" w:cs="Times New Roman"/>
                <w:i/>
                <w:sz w:val="22"/>
                <w:szCs w:val="22"/>
              </w:rPr>
            </w:pPr>
            <w:r w:rsidRPr="009365AB">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74D4DDA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549193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058B45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C21E7A0"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5254A79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10.</w:t>
            </w:r>
          </w:p>
        </w:tc>
        <w:tc>
          <w:tcPr>
            <w:tcW w:w="4827" w:type="dxa"/>
            <w:tcBorders>
              <w:top w:val="single" w:sz="4" w:space="0" w:color="auto"/>
              <w:left w:val="single" w:sz="4" w:space="0" w:color="auto"/>
              <w:bottom w:val="single" w:sz="4" w:space="0" w:color="auto"/>
              <w:right w:val="single" w:sz="4" w:space="0" w:color="auto"/>
            </w:tcBorders>
          </w:tcPr>
          <w:p w14:paraId="14AD740B" w14:textId="77777777" w:rsidR="00443B11" w:rsidRPr="005C1963" w:rsidRDefault="00443B11" w:rsidP="00443B11">
            <w:pPr>
              <w:ind w:firstLine="0"/>
              <w:rPr>
                <w:rFonts w:ascii="Times New Roman" w:hAnsi="Times New Roman" w:cs="Times New Roman"/>
                <w:sz w:val="22"/>
                <w:szCs w:val="22"/>
              </w:rPr>
            </w:pPr>
            <w:r w:rsidRPr="005C1963">
              <w:rPr>
                <w:rFonts w:ascii="Times New Roman" w:hAnsi="Times New Roman" w:cs="Times New Roman"/>
                <w:sz w:val="22"/>
                <w:szCs w:val="22"/>
              </w:rPr>
              <w:t xml:space="preserve">Teisės akto projekto nuostatoms įgyvendinti numatytos administracinės procedūros yra </w:t>
            </w:r>
            <w:r w:rsidRPr="005C1963">
              <w:rPr>
                <w:rFonts w:ascii="Times New Roman" w:hAnsi="Times New Roman" w:cs="Times New Roman"/>
                <w:sz w:val="22"/>
                <w:szCs w:val="22"/>
                <w:shd w:val="clear" w:color="auto" w:fill="FFFFFF"/>
              </w:rPr>
              <w:t>būtinos,</w:t>
            </w:r>
            <w:r w:rsidRPr="005C1963">
              <w:rPr>
                <w:rFonts w:ascii="Times New Roman" w:hAnsi="Times New Roman" w:cs="Times New Roman"/>
                <w:sz w:val="22"/>
                <w:szCs w:val="22"/>
              </w:rPr>
              <w:t xml:space="preserve"> nustatyta išsami jų taikymo tvarka </w:t>
            </w:r>
          </w:p>
        </w:tc>
        <w:tc>
          <w:tcPr>
            <w:tcW w:w="3827" w:type="dxa"/>
            <w:tcBorders>
              <w:top w:val="single" w:sz="4" w:space="0" w:color="auto"/>
              <w:left w:val="single" w:sz="4" w:space="0" w:color="auto"/>
              <w:bottom w:val="single" w:sz="4" w:space="0" w:color="auto"/>
              <w:right w:val="single" w:sz="4" w:space="0" w:color="auto"/>
            </w:tcBorders>
          </w:tcPr>
          <w:p w14:paraId="5D4981F7" w14:textId="07F9D1C3" w:rsidR="00443B11" w:rsidRPr="005C1963" w:rsidRDefault="00A71590" w:rsidP="00666B51">
            <w:pPr>
              <w:ind w:firstLine="0"/>
              <w:jc w:val="both"/>
              <w:rPr>
                <w:rFonts w:ascii="Times New Roman" w:hAnsi="Times New Roman" w:cs="Times New Roman"/>
                <w:sz w:val="22"/>
                <w:szCs w:val="22"/>
              </w:rPr>
            </w:pPr>
            <w:r>
              <w:rPr>
                <w:rFonts w:ascii="Times New Roman" w:hAnsi="Times New Roman" w:cs="Times New Roman"/>
                <w:sz w:val="22"/>
                <w:szCs w:val="22"/>
              </w:rPr>
              <w:t>P</w:t>
            </w:r>
            <w:r w:rsidR="00E12168" w:rsidRPr="00E12168">
              <w:rPr>
                <w:rFonts w:ascii="Times New Roman" w:hAnsi="Times New Roman" w:cs="Times New Roman"/>
                <w:sz w:val="22"/>
                <w:szCs w:val="22"/>
              </w:rPr>
              <w:t xml:space="preserve">rojekto nuostatoms įgyvendinti administracinės procedūros numatytos ANK </w:t>
            </w:r>
            <w:r>
              <w:rPr>
                <w:rFonts w:ascii="Times New Roman" w:hAnsi="Times New Roman" w:cs="Times New Roman"/>
                <w:sz w:val="22"/>
                <w:szCs w:val="22"/>
              </w:rPr>
              <w:t>3</w:t>
            </w:r>
            <w:r w:rsidR="00E12168" w:rsidRPr="00E12168">
              <w:rPr>
                <w:rFonts w:ascii="Times New Roman" w:hAnsi="Times New Roman" w:cs="Times New Roman"/>
                <w:sz w:val="22"/>
                <w:szCs w:val="22"/>
              </w:rPr>
              <w:t xml:space="preserve"> dalyje „Administracinių nusižengimų teisena“, </w:t>
            </w:r>
            <w:r>
              <w:rPr>
                <w:rFonts w:ascii="Times New Roman" w:hAnsi="Times New Roman" w:cs="Times New Roman"/>
                <w:sz w:val="22"/>
                <w:szCs w:val="22"/>
              </w:rPr>
              <w:t>29</w:t>
            </w:r>
            <w:r w:rsidR="00E12168" w:rsidRPr="00E12168">
              <w:rPr>
                <w:rFonts w:ascii="Times New Roman" w:hAnsi="Times New Roman" w:cs="Times New Roman"/>
                <w:sz w:val="22"/>
                <w:szCs w:val="22"/>
              </w:rPr>
              <w:t xml:space="preserve"> skyriuje „Administracinių nusižengimų teisenos pradžia ir administracinių nusižengimų tyrimas“</w:t>
            </w:r>
            <w:r>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680BD4DE"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8F2375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F41032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0E03803C"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BBFA87D"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11.</w:t>
            </w:r>
          </w:p>
        </w:tc>
        <w:tc>
          <w:tcPr>
            <w:tcW w:w="4827" w:type="dxa"/>
            <w:tcBorders>
              <w:top w:val="single" w:sz="4" w:space="0" w:color="auto"/>
              <w:left w:val="single" w:sz="4" w:space="0" w:color="auto"/>
              <w:bottom w:val="single" w:sz="4" w:space="0" w:color="auto"/>
              <w:right w:val="single" w:sz="4" w:space="0" w:color="auto"/>
            </w:tcBorders>
          </w:tcPr>
          <w:p w14:paraId="72AF823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administracinė procedūra netaikoma</w:t>
            </w:r>
          </w:p>
        </w:tc>
        <w:tc>
          <w:tcPr>
            <w:tcW w:w="3827" w:type="dxa"/>
            <w:tcBorders>
              <w:top w:val="single" w:sz="4" w:space="0" w:color="auto"/>
              <w:left w:val="single" w:sz="4" w:space="0" w:color="auto"/>
              <w:bottom w:val="single" w:sz="4" w:space="0" w:color="auto"/>
              <w:right w:val="single" w:sz="4" w:space="0" w:color="auto"/>
            </w:tcBorders>
          </w:tcPr>
          <w:p w14:paraId="5222C09C" w14:textId="77777777" w:rsidR="00443B11" w:rsidRPr="00DF0E99" w:rsidRDefault="00904F3B" w:rsidP="00681C83">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r w:rsidR="00271CBC">
              <w:t xml:space="preserve"> </w:t>
            </w:r>
          </w:p>
        </w:tc>
        <w:tc>
          <w:tcPr>
            <w:tcW w:w="2693" w:type="dxa"/>
            <w:tcBorders>
              <w:top w:val="single" w:sz="4" w:space="0" w:color="auto"/>
              <w:left w:val="single" w:sz="4" w:space="0" w:color="auto"/>
              <w:bottom w:val="single" w:sz="4" w:space="0" w:color="auto"/>
              <w:right w:val="single" w:sz="4" w:space="0" w:color="auto"/>
            </w:tcBorders>
          </w:tcPr>
          <w:p w14:paraId="1A43F1A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B9B148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76F25A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A6C5CD7"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375B431B"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12.</w:t>
            </w:r>
          </w:p>
        </w:tc>
        <w:tc>
          <w:tcPr>
            <w:tcW w:w="4827" w:type="dxa"/>
            <w:tcBorders>
              <w:top w:val="single" w:sz="4" w:space="0" w:color="auto"/>
              <w:left w:val="single" w:sz="4" w:space="0" w:color="auto"/>
              <w:bottom w:val="single" w:sz="4" w:space="0" w:color="auto"/>
              <w:right w:val="single" w:sz="4" w:space="0" w:color="auto"/>
            </w:tcBorders>
          </w:tcPr>
          <w:p w14:paraId="432A3D5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jo nuostatoms įgyvendinti numatytų administracinių procedūrų ir sprendimo priėmimo konkrečius terminus</w:t>
            </w:r>
          </w:p>
        </w:tc>
        <w:tc>
          <w:tcPr>
            <w:tcW w:w="3827" w:type="dxa"/>
            <w:tcBorders>
              <w:top w:val="single" w:sz="4" w:space="0" w:color="auto"/>
              <w:left w:val="single" w:sz="4" w:space="0" w:color="auto"/>
              <w:bottom w:val="single" w:sz="4" w:space="0" w:color="auto"/>
              <w:right w:val="single" w:sz="4" w:space="0" w:color="auto"/>
            </w:tcBorders>
          </w:tcPr>
          <w:p w14:paraId="467F5CD0" w14:textId="77777777" w:rsidR="00681C83" w:rsidRPr="00DF0E99" w:rsidRDefault="00B57748" w:rsidP="00681C83">
            <w:pPr>
              <w:ind w:firstLine="0"/>
              <w:jc w:val="both"/>
              <w:rPr>
                <w:rFonts w:ascii="Times New Roman" w:hAnsi="Times New Roman" w:cs="Times New Roman"/>
                <w:sz w:val="22"/>
                <w:szCs w:val="22"/>
              </w:rPr>
            </w:pPr>
            <w:r>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1F18723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7E2ECA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79E2E8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0E108C5F"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A3295D9"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13.</w:t>
            </w:r>
          </w:p>
        </w:tc>
        <w:tc>
          <w:tcPr>
            <w:tcW w:w="4827" w:type="dxa"/>
            <w:tcBorders>
              <w:top w:val="single" w:sz="4" w:space="0" w:color="auto"/>
              <w:left w:val="single" w:sz="4" w:space="0" w:color="auto"/>
              <w:bottom w:val="single" w:sz="4" w:space="0" w:color="auto"/>
              <w:right w:val="single" w:sz="4" w:space="0" w:color="auto"/>
            </w:tcBorders>
          </w:tcPr>
          <w:p w14:paraId="71AB757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motyvuotas terminų sustabdymo ir pratęsimo galimybes</w:t>
            </w:r>
          </w:p>
        </w:tc>
        <w:tc>
          <w:tcPr>
            <w:tcW w:w="3827" w:type="dxa"/>
            <w:tcBorders>
              <w:top w:val="single" w:sz="4" w:space="0" w:color="auto"/>
              <w:left w:val="single" w:sz="4" w:space="0" w:color="auto"/>
              <w:bottom w:val="single" w:sz="4" w:space="0" w:color="auto"/>
              <w:right w:val="single" w:sz="4" w:space="0" w:color="auto"/>
            </w:tcBorders>
          </w:tcPr>
          <w:p w14:paraId="59C6CCBE" w14:textId="77777777" w:rsidR="00443B11" w:rsidRPr="00DF0E99" w:rsidRDefault="00B57748" w:rsidP="002D48A4">
            <w:pPr>
              <w:ind w:firstLine="0"/>
              <w:jc w:val="both"/>
              <w:rPr>
                <w:rFonts w:ascii="Times New Roman" w:hAnsi="Times New Roman" w:cs="Times New Roman"/>
                <w:sz w:val="22"/>
                <w:szCs w:val="22"/>
              </w:rPr>
            </w:pPr>
            <w:r>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3AA985F1"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4843E2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05027B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szCs w:val="22"/>
              </w:rPr>
              <w:t xml:space="preserve"> </w:t>
            </w:r>
            <w:r w:rsidR="00443B11" w:rsidRPr="00DF0E99">
              <w:rPr>
                <w:rFonts w:ascii="Times New Roman" w:hAnsi="Times New Roman" w:cs="Times New Roman"/>
                <w:sz w:val="22"/>
                <w:szCs w:val="22"/>
              </w:rPr>
              <w:t>netenkina</w:t>
            </w:r>
          </w:p>
        </w:tc>
      </w:tr>
      <w:tr w:rsidR="00443B11" w:rsidRPr="00DF0E99" w14:paraId="385CA060"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2BE5D9C7"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14.</w:t>
            </w:r>
          </w:p>
        </w:tc>
        <w:tc>
          <w:tcPr>
            <w:tcW w:w="4827" w:type="dxa"/>
            <w:tcBorders>
              <w:top w:val="single" w:sz="4" w:space="0" w:color="auto"/>
              <w:left w:val="single" w:sz="4" w:space="0" w:color="auto"/>
              <w:bottom w:val="single" w:sz="4" w:space="0" w:color="auto"/>
              <w:right w:val="single" w:sz="4" w:space="0" w:color="auto"/>
            </w:tcBorders>
          </w:tcPr>
          <w:p w14:paraId="2BE062C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administracinių procedūrų viešinimo tvarką</w:t>
            </w:r>
          </w:p>
        </w:tc>
        <w:tc>
          <w:tcPr>
            <w:tcW w:w="3827" w:type="dxa"/>
            <w:tcBorders>
              <w:top w:val="single" w:sz="4" w:space="0" w:color="auto"/>
              <w:left w:val="single" w:sz="4" w:space="0" w:color="auto"/>
              <w:bottom w:val="single" w:sz="4" w:space="0" w:color="auto"/>
              <w:right w:val="single" w:sz="4" w:space="0" w:color="auto"/>
            </w:tcBorders>
          </w:tcPr>
          <w:p w14:paraId="5A3A9B66" w14:textId="77777777" w:rsidR="00443B11" w:rsidRPr="00DF0E99" w:rsidRDefault="00DF0E99" w:rsidP="00666B51">
            <w:pPr>
              <w:ind w:firstLine="0"/>
              <w:jc w:val="both"/>
              <w:rPr>
                <w:rFonts w:ascii="Times New Roman" w:hAnsi="Times New Roman" w:cs="Times New Roman"/>
                <w:b/>
                <w:sz w:val="22"/>
                <w:szCs w:val="22"/>
              </w:rPr>
            </w:pPr>
            <w:r w:rsidRPr="003B45E4">
              <w:rPr>
                <w:rFonts w:ascii="Times New Roman" w:hAnsi="Times New Roman" w:cs="Times New Roman"/>
                <w:sz w:val="22"/>
                <w:szCs w:val="22"/>
              </w:rPr>
              <w:t>Nereglamentuojama</w:t>
            </w:r>
            <w:r w:rsidR="00EA7C9A" w:rsidRPr="003B45E4">
              <w:rPr>
                <w:rFonts w:ascii="Times New Roman" w:hAnsi="Times New Roman" w:cs="Times New Roman"/>
                <w:sz w:val="22"/>
                <w:szCs w:val="22"/>
              </w:rPr>
              <w:t>.</w:t>
            </w:r>
            <w:r w:rsidR="00C22E9C" w:rsidRPr="00C22E9C">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156884DA"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5BD6F2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F5DB10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E2C61C3" w14:textId="77777777" w:rsidTr="00DF0E99">
        <w:trPr>
          <w:trHeight w:val="1190"/>
        </w:trPr>
        <w:tc>
          <w:tcPr>
            <w:tcW w:w="565" w:type="dxa"/>
            <w:tcBorders>
              <w:top w:val="single" w:sz="4" w:space="0" w:color="auto"/>
              <w:left w:val="single" w:sz="4" w:space="0" w:color="auto"/>
              <w:bottom w:val="single" w:sz="4" w:space="0" w:color="auto"/>
              <w:right w:val="single" w:sz="4" w:space="0" w:color="auto"/>
            </w:tcBorders>
          </w:tcPr>
          <w:p w14:paraId="54814603"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15.</w:t>
            </w:r>
          </w:p>
        </w:tc>
        <w:tc>
          <w:tcPr>
            <w:tcW w:w="4827" w:type="dxa"/>
            <w:tcBorders>
              <w:top w:val="single" w:sz="4" w:space="0" w:color="auto"/>
              <w:left w:val="single" w:sz="4" w:space="0" w:color="auto"/>
              <w:bottom w:val="single" w:sz="4" w:space="0" w:color="auto"/>
              <w:right w:val="single" w:sz="4" w:space="0" w:color="auto"/>
            </w:tcBorders>
          </w:tcPr>
          <w:p w14:paraId="7E67B15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kontrolės (priežiūros) procedūrą ir aiškius jos atlikimo kriterijus (atvejus, dažnį, fiksavimą, kontrolės rezultatų viešinimą ir panašiai)</w:t>
            </w:r>
          </w:p>
        </w:tc>
        <w:tc>
          <w:tcPr>
            <w:tcW w:w="3827" w:type="dxa"/>
            <w:tcBorders>
              <w:top w:val="single" w:sz="4" w:space="0" w:color="auto"/>
              <w:left w:val="single" w:sz="4" w:space="0" w:color="auto"/>
              <w:bottom w:val="single" w:sz="4" w:space="0" w:color="auto"/>
              <w:right w:val="single" w:sz="4" w:space="0" w:color="auto"/>
            </w:tcBorders>
          </w:tcPr>
          <w:p w14:paraId="6B0B1EAF" w14:textId="77777777" w:rsidR="00443B11" w:rsidRPr="00DF0E99" w:rsidRDefault="00DF0E99" w:rsidP="00666B51">
            <w:pPr>
              <w:ind w:firstLine="0"/>
              <w:jc w:val="both"/>
              <w:rPr>
                <w:rFonts w:ascii="Times New Roman" w:hAnsi="Times New Roman" w:cs="Times New Roman"/>
                <w:sz w:val="22"/>
                <w:szCs w:val="22"/>
              </w:rPr>
            </w:pPr>
            <w:r w:rsidRPr="00DF0E99">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24A515E3"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C45781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01DB16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43079F8"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7AF5467"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16.</w:t>
            </w:r>
          </w:p>
        </w:tc>
        <w:tc>
          <w:tcPr>
            <w:tcW w:w="4827" w:type="dxa"/>
            <w:tcBorders>
              <w:top w:val="single" w:sz="4" w:space="0" w:color="auto"/>
              <w:left w:val="single" w:sz="4" w:space="0" w:color="auto"/>
              <w:bottom w:val="single" w:sz="4" w:space="0" w:color="auto"/>
              <w:right w:val="single" w:sz="4" w:space="0" w:color="auto"/>
            </w:tcBorders>
          </w:tcPr>
          <w:p w14:paraId="3C45AFBC"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nustatytos kontrolės (priežiūros) skaidrumo ir objektyvumo užtikrinimo priemonės</w:t>
            </w:r>
          </w:p>
        </w:tc>
        <w:tc>
          <w:tcPr>
            <w:tcW w:w="3827" w:type="dxa"/>
            <w:tcBorders>
              <w:top w:val="single" w:sz="4" w:space="0" w:color="auto"/>
              <w:left w:val="single" w:sz="4" w:space="0" w:color="auto"/>
              <w:bottom w:val="single" w:sz="4" w:space="0" w:color="auto"/>
              <w:right w:val="single" w:sz="4" w:space="0" w:color="auto"/>
            </w:tcBorders>
          </w:tcPr>
          <w:p w14:paraId="5873A19A" w14:textId="77777777" w:rsidR="00682E29" w:rsidRPr="00DF0E99" w:rsidRDefault="00C22E9C" w:rsidP="00666B51">
            <w:pPr>
              <w:ind w:firstLine="0"/>
              <w:jc w:val="both"/>
              <w:rPr>
                <w:rFonts w:ascii="Times New Roman" w:hAnsi="Times New Roman" w:cs="Times New Roman"/>
                <w:sz w:val="22"/>
                <w:szCs w:val="22"/>
              </w:rPr>
            </w:pPr>
            <w:r>
              <w:rPr>
                <w:rFonts w:ascii="Times New Roman" w:hAnsi="Times New Roman" w:cs="Times New Roman"/>
                <w:sz w:val="22"/>
                <w:szCs w:val="22"/>
              </w:rPr>
              <w:t xml:space="preserve">Nereglamentuojama. </w:t>
            </w:r>
          </w:p>
        </w:tc>
        <w:tc>
          <w:tcPr>
            <w:tcW w:w="2693" w:type="dxa"/>
            <w:tcBorders>
              <w:top w:val="single" w:sz="4" w:space="0" w:color="auto"/>
              <w:left w:val="single" w:sz="4" w:space="0" w:color="auto"/>
              <w:bottom w:val="single" w:sz="4" w:space="0" w:color="auto"/>
              <w:right w:val="single" w:sz="4" w:space="0" w:color="auto"/>
            </w:tcBorders>
          </w:tcPr>
          <w:p w14:paraId="670B76C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DD85E0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09AF83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B8F7FB2"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12C3F6D6"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17.</w:t>
            </w:r>
          </w:p>
        </w:tc>
        <w:tc>
          <w:tcPr>
            <w:tcW w:w="4827" w:type="dxa"/>
            <w:tcBorders>
              <w:top w:val="single" w:sz="4" w:space="0" w:color="auto"/>
              <w:left w:val="single" w:sz="4" w:space="0" w:color="auto"/>
              <w:bottom w:val="single" w:sz="4" w:space="0" w:color="auto"/>
              <w:right w:val="single" w:sz="4" w:space="0" w:color="auto"/>
            </w:tcBorders>
          </w:tcPr>
          <w:p w14:paraId="02E13E1F"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subjektų, su kuriais susijęs teisės akto projekto nuostatų įgyvendinimas, atsakomybės rūšis (tarnybinė, administracinė, baudžiamoji ir panašiai)</w:t>
            </w:r>
          </w:p>
        </w:tc>
        <w:tc>
          <w:tcPr>
            <w:tcW w:w="3827" w:type="dxa"/>
            <w:tcBorders>
              <w:top w:val="single" w:sz="4" w:space="0" w:color="auto"/>
              <w:left w:val="single" w:sz="4" w:space="0" w:color="auto"/>
              <w:bottom w:val="single" w:sz="4" w:space="0" w:color="auto"/>
              <w:right w:val="single" w:sz="4" w:space="0" w:color="auto"/>
            </w:tcBorders>
          </w:tcPr>
          <w:p w14:paraId="1618DE97" w14:textId="287FC731" w:rsidR="00443B11" w:rsidRPr="00DF0E99" w:rsidRDefault="00E12168" w:rsidP="00666B51">
            <w:pPr>
              <w:ind w:firstLine="0"/>
              <w:jc w:val="both"/>
              <w:rPr>
                <w:rFonts w:ascii="Times New Roman" w:hAnsi="Times New Roman" w:cs="Times New Roman"/>
                <w:b/>
                <w:sz w:val="22"/>
                <w:szCs w:val="22"/>
              </w:rPr>
            </w:pPr>
            <w:r w:rsidRPr="00E12168">
              <w:rPr>
                <w:rFonts w:ascii="Times New Roman" w:hAnsi="Times New Roman" w:cs="Times New Roman"/>
                <w:sz w:val="22"/>
                <w:szCs w:val="22"/>
              </w:rPr>
              <w:t>Žemės ūkio produkcijos pirkimo-pardavimo sutarties rašytinės formos ir tipinių sąlygų išskyrus atsiskaitymo už žemės ūkio produkciją termino nesilaikymas arba blogesnių atsiskaitymo sąlygų, negu nustatyta įstatymuose ar kituose teisės aktuose, nustatymas žemės ūkio produkcijos pirkimo-pardavimo sutartyse</w:t>
            </w:r>
            <w:r>
              <w:rPr>
                <w:rFonts w:ascii="Times New Roman" w:hAnsi="Times New Roman" w:cs="Times New Roman"/>
                <w:sz w:val="22"/>
                <w:szCs w:val="22"/>
              </w:rPr>
              <w:t xml:space="preserve">, </w:t>
            </w:r>
            <w:r w:rsidRPr="00E12168">
              <w:rPr>
                <w:rFonts w:ascii="Times New Roman" w:hAnsi="Times New Roman" w:cs="Times New Roman"/>
                <w:sz w:val="22"/>
                <w:szCs w:val="22"/>
              </w:rPr>
              <w:t>užtraukia administracinę atsakomybę žemės ūkio produkciją superkančių įmonių vadovams</w:t>
            </w:r>
            <w:r>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53200A98"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F433B7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14E152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FF44EFB"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5B229E6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18.</w:t>
            </w:r>
          </w:p>
        </w:tc>
        <w:tc>
          <w:tcPr>
            <w:tcW w:w="4827" w:type="dxa"/>
            <w:tcBorders>
              <w:top w:val="single" w:sz="4" w:space="0" w:color="auto"/>
              <w:left w:val="single" w:sz="4" w:space="0" w:color="auto"/>
              <w:bottom w:val="single" w:sz="4" w:space="0" w:color="auto"/>
              <w:right w:val="single" w:sz="4" w:space="0" w:color="auto"/>
            </w:tcBorders>
          </w:tcPr>
          <w:p w14:paraId="5A241EA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aktų projekte numatytas baigtinis sąrašas kriterijų, pagal kuriuos skiriama nuobauda (sankcija) už teisės akto projekte nustatytų nurodymų nevykdymą, ir nustatyta aiški jos skyrimo procedūra</w:t>
            </w:r>
          </w:p>
        </w:tc>
        <w:tc>
          <w:tcPr>
            <w:tcW w:w="3827" w:type="dxa"/>
            <w:tcBorders>
              <w:top w:val="single" w:sz="4" w:space="0" w:color="auto"/>
              <w:left w:val="single" w:sz="4" w:space="0" w:color="auto"/>
              <w:bottom w:val="single" w:sz="4" w:space="0" w:color="auto"/>
              <w:right w:val="single" w:sz="4" w:space="0" w:color="auto"/>
            </w:tcBorders>
          </w:tcPr>
          <w:p w14:paraId="41502B45" w14:textId="40E8696A" w:rsidR="00E12168" w:rsidRDefault="00C22E9C" w:rsidP="00682E29">
            <w:pPr>
              <w:ind w:firstLine="0"/>
              <w:jc w:val="both"/>
              <w:rPr>
                <w:rFonts w:ascii="Times New Roman" w:hAnsi="Times New Roman" w:cs="Times New Roman"/>
                <w:sz w:val="22"/>
                <w:szCs w:val="22"/>
              </w:rPr>
            </w:pPr>
            <w:r>
              <w:rPr>
                <w:rFonts w:ascii="Times New Roman" w:hAnsi="Times New Roman" w:cs="Times New Roman"/>
                <w:sz w:val="22"/>
                <w:szCs w:val="22"/>
              </w:rPr>
              <w:t xml:space="preserve">Taip. </w:t>
            </w:r>
            <w:r w:rsidR="00482538">
              <w:rPr>
                <w:rFonts w:ascii="Times New Roman" w:hAnsi="Times New Roman" w:cs="Times New Roman"/>
                <w:sz w:val="22"/>
                <w:szCs w:val="22"/>
              </w:rPr>
              <w:t>Įstatymo projekte už ž</w:t>
            </w:r>
            <w:r w:rsidR="00482538" w:rsidRPr="00482538">
              <w:rPr>
                <w:rFonts w:ascii="Times New Roman" w:hAnsi="Times New Roman" w:cs="Times New Roman"/>
                <w:sz w:val="22"/>
                <w:szCs w:val="22"/>
              </w:rPr>
              <w:t>emės ūkio produkcijos pirkimo-pardavimo sutarties rašytinės formos ir tipinių sąlygų išskyrus atsiskaitymo už žemės ūkio produkciją termino nesilaikym</w:t>
            </w:r>
            <w:r w:rsidR="00482538">
              <w:rPr>
                <w:rFonts w:ascii="Times New Roman" w:hAnsi="Times New Roman" w:cs="Times New Roman"/>
                <w:sz w:val="22"/>
                <w:szCs w:val="22"/>
              </w:rPr>
              <w:t>ą</w:t>
            </w:r>
            <w:r w:rsidR="00482538" w:rsidRPr="00482538">
              <w:rPr>
                <w:rFonts w:ascii="Times New Roman" w:hAnsi="Times New Roman" w:cs="Times New Roman"/>
                <w:sz w:val="22"/>
                <w:szCs w:val="22"/>
              </w:rPr>
              <w:t xml:space="preserve"> arba blogesnių atsiskaitymo sąlygų, negu nustatyta įstatymuose ar kituose teisės aktuose, nustatym</w:t>
            </w:r>
            <w:r w:rsidR="00482538">
              <w:rPr>
                <w:rFonts w:ascii="Times New Roman" w:hAnsi="Times New Roman" w:cs="Times New Roman"/>
                <w:sz w:val="22"/>
                <w:szCs w:val="22"/>
              </w:rPr>
              <w:t>ą</w:t>
            </w:r>
            <w:r w:rsidR="00482538" w:rsidRPr="00482538">
              <w:rPr>
                <w:rFonts w:ascii="Times New Roman" w:hAnsi="Times New Roman" w:cs="Times New Roman"/>
                <w:sz w:val="22"/>
                <w:szCs w:val="22"/>
              </w:rPr>
              <w:t xml:space="preserve"> žemės ūkio produkcijos pirkimo-pardavimo sutartyse</w:t>
            </w:r>
            <w:r w:rsidR="00482538">
              <w:rPr>
                <w:rFonts w:ascii="Times New Roman" w:hAnsi="Times New Roman" w:cs="Times New Roman"/>
                <w:sz w:val="22"/>
                <w:szCs w:val="22"/>
              </w:rPr>
              <w:t xml:space="preserve"> skiriama bauda.</w:t>
            </w:r>
            <w:r w:rsidR="00197028">
              <w:rPr>
                <w:rFonts w:ascii="Times New Roman" w:hAnsi="Times New Roman" w:cs="Times New Roman"/>
                <w:sz w:val="22"/>
                <w:szCs w:val="22"/>
              </w:rPr>
              <w:t xml:space="preserve"> </w:t>
            </w:r>
            <w:r w:rsidR="00E12168" w:rsidRPr="00E12168">
              <w:rPr>
                <w:rFonts w:ascii="Times New Roman" w:hAnsi="Times New Roman" w:cs="Times New Roman"/>
                <w:sz w:val="22"/>
                <w:szCs w:val="22"/>
              </w:rPr>
              <w:t xml:space="preserve">Nuobaudos skyrimo procedūra numatyta </w:t>
            </w:r>
            <w:r w:rsidR="00DC21A9">
              <w:rPr>
                <w:rFonts w:ascii="Times New Roman" w:hAnsi="Times New Roman" w:cs="Times New Roman"/>
                <w:sz w:val="22"/>
                <w:szCs w:val="22"/>
              </w:rPr>
              <w:t>P</w:t>
            </w:r>
            <w:r w:rsidR="00E12168" w:rsidRPr="00E12168">
              <w:rPr>
                <w:rFonts w:ascii="Times New Roman" w:hAnsi="Times New Roman" w:cs="Times New Roman"/>
                <w:sz w:val="22"/>
                <w:szCs w:val="22"/>
              </w:rPr>
              <w:t xml:space="preserve">rojekto nuostatoms įgyvendinti administracinės procedūros numatytos ANK </w:t>
            </w:r>
            <w:r w:rsidR="00A71590">
              <w:rPr>
                <w:rFonts w:ascii="Times New Roman" w:hAnsi="Times New Roman" w:cs="Times New Roman"/>
                <w:sz w:val="22"/>
                <w:szCs w:val="22"/>
              </w:rPr>
              <w:t>3</w:t>
            </w:r>
            <w:r w:rsidR="00E12168" w:rsidRPr="00E12168">
              <w:rPr>
                <w:rFonts w:ascii="Times New Roman" w:hAnsi="Times New Roman" w:cs="Times New Roman"/>
                <w:sz w:val="22"/>
                <w:szCs w:val="22"/>
              </w:rPr>
              <w:t xml:space="preserve"> dalyje „Administracinių </w:t>
            </w:r>
            <w:r w:rsidR="00E12168" w:rsidRPr="00E12168">
              <w:rPr>
                <w:rFonts w:ascii="Times New Roman" w:hAnsi="Times New Roman" w:cs="Times New Roman"/>
                <w:sz w:val="22"/>
                <w:szCs w:val="22"/>
              </w:rPr>
              <w:lastRenderedPageBreak/>
              <w:t xml:space="preserve">nusižengimų teisena“, </w:t>
            </w:r>
            <w:r w:rsidR="00A71590">
              <w:rPr>
                <w:rFonts w:ascii="Times New Roman" w:hAnsi="Times New Roman" w:cs="Times New Roman"/>
                <w:sz w:val="22"/>
                <w:szCs w:val="22"/>
              </w:rPr>
              <w:t>29</w:t>
            </w:r>
            <w:r w:rsidR="00E12168" w:rsidRPr="00E12168">
              <w:rPr>
                <w:rFonts w:ascii="Times New Roman" w:hAnsi="Times New Roman" w:cs="Times New Roman"/>
                <w:sz w:val="22"/>
                <w:szCs w:val="22"/>
              </w:rPr>
              <w:t xml:space="preserve"> skyriuje „Administracinių nusižengimų teisenos pradžia ir administracinių nusižengimų tyrimas“</w:t>
            </w:r>
            <w:r w:rsidR="00197028">
              <w:rPr>
                <w:rFonts w:ascii="Times New Roman" w:hAnsi="Times New Roman" w:cs="Times New Roman"/>
                <w:sz w:val="22"/>
                <w:szCs w:val="22"/>
              </w:rPr>
              <w:t>.</w:t>
            </w:r>
          </w:p>
          <w:p w14:paraId="36B9A857" w14:textId="26C0B036" w:rsidR="00241270" w:rsidRPr="00DF0E99" w:rsidRDefault="00241270" w:rsidP="00682E29">
            <w:pPr>
              <w:ind w:firstLine="0"/>
              <w:jc w:val="both"/>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B7BF51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D77156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C7CEF4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41C8CCB" w14:textId="77777777" w:rsidTr="00DF0E99">
        <w:trPr>
          <w:trHeight w:val="23"/>
        </w:trPr>
        <w:tc>
          <w:tcPr>
            <w:tcW w:w="565" w:type="dxa"/>
            <w:tcBorders>
              <w:top w:val="single" w:sz="4" w:space="0" w:color="auto"/>
              <w:left w:val="single" w:sz="4" w:space="0" w:color="auto"/>
              <w:bottom w:val="single" w:sz="4" w:space="0" w:color="auto"/>
              <w:right w:val="single" w:sz="4" w:space="0" w:color="auto"/>
            </w:tcBorders>
          </w:tcPr>
          <w:p w14:paraId="0A86EB5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19.</w:t>
            </w:r>
          </w:p>
        </w:tc>
        <w:tc>
          <w:tcPr>
            <w:tcW w:w="4827" w:type="dxa"/>
            <w:tcBorders>
              <w:top w:val="single" w:sz="4" w:space="0" w:color="auto"/>
              <w:left w:val="single" w:sz="4" w:space="0" w:color="auto"/>
              <w:bottom w:val="single" w:sz="4" w:space="0" w:color="auto"/>
              <w:right w:val="single" w:sz="4" w:space="0" w:color="auto"/>
            </w:tcBorders>
          </w:tcPr>
          <w:p w14:paraId="75005C79"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Kiti svarbūs kriterijai</w:t>
            </w:r>
          </w:p>
        </w:tc>
        <w:tc>
          <w:tcPr>
            <w:tcW w:w="3827" w:type="dxa"/>
            <w:tcBorders>
              <w:top w:val="single" w:sz="4" w:space="0" w:color="auto"/>
              <w:left w:val="single" w:sz="4" w:space="0" w:color="auto"/>
              <w:bottom w:val="single" w:sz="4" w:space="0" w:color="auto"/>
              <w:right w:val="single" w:sz="4" w:space="0" w:color="auto"/>
            </w:tcBorders>
          </w:tcPr>
          <w:p w14:paraId="29E87A4E" w14:textId="77777777" w:rsidR="00443B11" w:rsidRPr="00DF0E99" w:rsidRDefault="0079309F" w:rsidP="00443B11">
            <w:pPr>
              <w:ind w:firstLine="0"/>
              <w:rPr>
                <w:rFonts w:ascii="Times New Roman" w:hAnsi="Times New Roman" w:cs="Times New Roman"/>
                <w:sz w:val="22"/>
                <w:szCs w:val="22"/>
              </w:rPr>
            </w:pPr>
            <w:r w:rsidRPr="00DF0E99">
              <w:rPr>
                <w:rFonts w:ascii="Times New Roman" w:hAnsi="Times New Roman" w:cs="Times New Roman"/>
                <w:sz w:val="22"/>
                <w:szCs w:val="22"/>
              </w:rPr>
              <w:t>Nėra</w:t>
            </w:r>
            <w:r w:rsidR="004245FA" w:rsidRPr="00DF0E9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56A8CEF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51992C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120D87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bl>
    <w:p w14:paraId="1652197F" w14:textId="77777777" w:rsidR="00443B11" w:rsidRPr="00DF0E99" w:rsidRDefault="00443B11" w:rsidP="00443B11">
      <w:pPr>
        <w:pStyle w:val="Antrats"/>
        <w:tabs>
          <w:tab w:val="clear" w:pos="4153"/>
          <w:tab w:val="left" w:pos="6237"/>
        </w:tabs>
        <w:rPr>
          <w:rFonts w:ascii="Times New Roman" w:hAnsi="Times New Roman" w:cs="Times New Roman"/>
          <w:color w:val="000000"/>
          <w:sz w:val="22"/>
        </w:rPr>
      </w:pPr>
    </w:p>
    <w:tbl>
      <w:tblPr>
        <w:tblW w:w="0" w:type="auto"/>
        <w:tblInd w:w="108" w:type="dxa"/>
        <w:tblLook w:val="04A0" w:firstRow="1" w:lastRow="0" w:firstColumn="1" w:lastColumn="0" w:noHBand="0" w:noVBand="1"/>
      </w:tblPr>
      <w:tblGrid>
        <w:gridCol w:w="2440"/>
        <w:gridCol w:w="4733"/>
        <w:gridCol w:w="2419"/>
        <w:gridCol w:w="4901"/>
      </w:tblGrid>
      <w:tr w:rsidR="00DF0E99" w:rsidRPr="00DF0E99" w14:paraId="53FD8198" w14:textId="77777777" w:rsidTr="00F079BC">
        <w:trPr>
          <w:trHeight w:val="23"/>
        </w:trPr>
        <w:tc>
          <w:tcPr>
            <w:tcW w:w="2457" w:type="dxa"/>
            <w:shd w:val="clear" w:color="auto" w:fill="auto"/>
          </w:tcPr>
          <w:p w14:paraId="66A8D72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Teisės akto projekto rengėjas:</w:t>
            </w:r>
          </w:p>
        </w:tc>
        <w:tc>
          <w:tcPr>
            <w:tcW w:w="4773" w:type="dxa"/>
            <w:shd w:val="clear" w:color="auto" w:fill="auto"/>
          </w:tcPr>
          <w:p w14:paraId="7651FD74" w14:textId="77777777" w:rsidR="00DF0E99" w:rsidRDefault="00DF0E99" w:rsidP="008D5AD0">
            <w:pPr>
              <w:ind w:firstLine="0"/>
              <w:rPr>
                <w:rFonts w:ascii="Times New Roman" w:hAnsi="Times New Roman" w:cs="Times New Roman"/>
                <w:sz w:val="24"/>
                <w:szCs w:val="24"/>
                <w:lang w:eastAsia="lt-LT"/>
              </w:rPr>
            </w:pPr>
          </w:p>
          <w:p w14:paraId="42753DA2" w14:textId="067A9196" w:rsidR="00F079BC" w:rsidRPr="00DF0E99" w:rsidRDefault="00F079BC" w:rsidP="00CB2E11">
            <w:pPr>
              <w:ind w:firstLine="0"/>
              <w:jc w:val="both"/>
              <w:rPr>
                <w:rFonts w:ascii="Times New Roman" w:hAnsi="Times New Roman" w:cs="Times New Roman"/>
                <w:sz w:val="24"/>
                <w:szCs w:val="24"/>
                <w:lang w:eastAsia="lt-LT"/>
              </w:rPr>
            </w:pPr>
            <w:r>
              <w:rPr>
                <w:rFonts w:ascii="Times New Roman" w:hAnsi="Times New Roman" w:cs="Times New Roman"/>
                <w:sz w:val="24"/>
                <w:szCs w:val="24"/>
                <w:lang w:eastAsia="lt-LT"/>
              </w:rPr>
              <w:t>Tarpinstitucinė darbo grupė (</w:t>
            </w:r>
            <w:r w:rsidR="00D02438" w:rsidRPr="00D02438">
              <w:rPr>
                <w:rFonts w:ascii="Times New Roman" w:hAnsi="Times New Roman" w:cs="Times New Roman"/>
                <w:sz w:val="24"/>
                <w:szCs w:val="24"/>
                <w:lang w:eastAsia="lt-LT"/>
              </w:rPr>
              <w:t>pirmininkas – Valdas Aleknavičius, Lietuvos Respublikos žemės ūkio ministerijos kancleris</w:t>
            </w:r>
            <w:r>
              <w:rPr>
                <w:rFonts w:ascii="Times New Roman" w:hAnsi="Times New Roman" w:cs="Times New Roman"/>
                <w:sz w:val="24"/>
                <w:szCs w:val="24"/>
                <w:lang w:eastAsia="lt-LT"/>
              </w:rPr>
              <w:t>)</w:t>
            </w:r>
          </w:p>
        </w:tc>
        <w:tc>
          <w:tcPr>
            <w:tcW w:w="2434" w:type="dxa"/>
            <w:shd w:val="clear" w:color="auto" w:fill="auto"/>
          </w:tcPr>
          <w:p w14:paraId="26CA384F"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Teisės akto projekto vertintojas:                      </w:t>
            </w:r>
          </w:p>
        </w:tc>
        <w:tc>
          <w:tcPr>
            <w:tcW w:w="4946" w:type="dxa"/>
            <w:shd w:val="clear" w:color="auto" w:fill="auto"/>
          </w:tcPr>
          <w:p w14:paraId="36DEFAFA" w14:textId="77777777" w:rsidR="00DF0E99" w:rsidRPr="00DF0E99" w:rsidRDefault="00DF0E99" w:rsidP="00DF0E99">
            <w:pPr>
              <w:ind w:firstLine="0"/>
              <w:jc w:val="both"/>
              <w:rPr>
                <w:rFonts w:ascii="Times New Roman" w:hAnsi="Times New Roman" w:cs="Times New Roman"/>
                <w:sz w:val="24"/>
                <w:szCs w:val="24"/>
                <w:lang w:eastAsia="lt-LT"/>
              </w:rPr>
            </w:pPr>
          </w:p>
          <w:p w14:paraId="234F1F37"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Teisėkūros ir atstovavimo skyriaus </w:t>
            </w:r>
          </w:p>
          <w:p w14:paraId="2D6D4504" w14:textId="77777777" w:rsidR="00DF0E99" w:rsidRPr="00DF0E99" w:rsidRDefault="00F079BC" w:rsidP="00DF0E99">
            <w:pPr>
              <w:ind w:firstLine="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vedėjas </w:t>
            </w:r>
            <w:r w:rsidR="00D63F03">
              <w:rPr>
                <w:rFonts w:ascii="Times New Roman" w:hAnsi="Times New Roman" w:cs="Times New Roman"/>
                <w:sz w:val="24"/>
                <w:szCs w:val="24"/>
                <w:lang w:eastAsia="lt-LT"/>
              </w:rPr>
              <w:t>Andrius Burlėga</w:t>
            </w:r>
          </w:p>
        </w:tc>
      </w:tr>
      <w:tr w:rsidR="00DF0E99" w:rsidRPr="00DF0E99" w14:paraId="13CF19CF" w14:textId="77777777" w:rsidTr="00F079BC">
        <w:trPr>
          <w:trHeight w:val="23"/>
        </w:trPr>
        <w:tc>
          <w:tcPr>
            <w:tcW w:w="2457" w:type="dxa"/>
            <w:shd w:val="clear" w:color="auto" w:fill="auto"/>
          </w:tcPr>
          <w:p w14:paraId="3F618793"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1B9AE6B3" w14:textId="77777777" w:rsidR="00DF0E99" w:rsidRPr="00DF0E99" w:rsidRDefault="00DF0E99" w:rsidP="00F079BC">
            <w:pPr>
              <w:ind w:firstLine="0"/>
              <w:jc w:val="both"/>
              <w:rPr>
                <w:rFonts w:ascii="Times New Roman" w:hAnsi="Times New Roman" w:cs="Times New Roman"/>
                <w:sz w:val="24"/>
                <w:szCs w:val="24"/>
                <w:lang w:eastAsia="lt-LT"/>
              </w:rPr>
            </w:pPr>
          </w:p>
        </w:tc>
        <w:tc>
          <w:tcPr>
            <w:tcW w:w="2434" w:type="dxa"/>
            <w:shd w:val="clear" w:color="auto" w:fill="auto"/>
          </w:tcPr>
          <w:p w14:paraId="209121C5"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7AC933A4" w14:textId="77777777" w:rsidR="00DF0E99" w:rsidRPr="00DF0E99" w:rsidRDefault="00DF0E99" w:rsidP="00F079BC">
            <w:pPr>
              <w:ind w:firstLine="0"/>
              <w:jc w:val="both"/>
              <w:rPr>
                <w:rFonts w:ascii="Times New Roman" w:hAnsi="Times New Roman" w:cs="Times New Roman"/>
                <w:sz w:val="24"/>
                <w:szCs w:val="24"/>
                <w:lang w:eastAsia="lt-LT"/>
              </w:rPr>
            </w:pPr>
          </w:p>
        </w:tc>
      </w:tr>
      <w:tr w:rsidR="00DF0E99" w:rsidRPr="00DF0E99" w14:paraId="27C2E91E" w14:textId="77777777" w:rsidTr="00F079BC">
        <w:trPr>
          <w:trHeight w:val="23"/>
        </w:trPr>
        <w:tc>
          <w:tcPr>
            <w:tcW w:w="2457" w:type="dxa"/>
            <w:shd w:val="clear" w:color="auto" w:fill="auto"/>
          </w:tcPr>
          <w:p w14:paraId="0B1DDE2A"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13E09B12" w14:textId="77777777" w:rsidR="00DF0E99" w:rsidRPr="00DF0E99" w:rsidRDefault="00DF0E99" w:rsidP="00DF0E99">
            <w:pPr>
              <w:ind w:firstLine="0"/>
              <w:jc w:val="both"/>
              <w:rPr>
                <w:rFonts w:ascii="Times New Roman" w:hAnsi="Times New Roman" w:cs="Times New Roman"/>
                <w:sz w:val="24"/>
                <w:szCs w:val="24"/>
                <w:lang w:eastAsia="lt-LT"/>
              </w:rPr>
            </w:pPr>
          </w:p>
        </w:tc>
        <w:tc>
          <w:tcPr>
            <w:tcW w:w="2434" w:type="dxa"/>
            <w:shd w:val="clear" w:color="auto" w:fill="auto"/>
          </w:tcPr>
          <w:p w14:paraId="2AA9C2A7"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4D9D5496" w14:textId="77777777" w:rsidR="00DF0E99" w:rsidRPr="00DF0E99" w:rsidRDefault="00DF0E99" w:rsidP="00DF0E99">
            <w:pPr>
              <w:ind w:left="-11" w:firstLine="11"/>
              <w:jc w:val="both"/>
              <w:rPr>
                <w:rFonts w:ascii="Times New Roman" w:hAnsi="Times New Roman" w:cs="Times New Roman"/>
                <w:sz w:val="24"/>
                <w:szCs w:val="24"/>
                <w:lang w:eastAsia="lt-LT"/>
              </w:rPr>
            </w:pPr>
          </w:p>
        </w:tc>
      </w:tr>
      <w:tr w:rsidR="00DF0E99" w:rsidRPr="00DF0E99" w14:paraId="2A267C81" w14:textId="77777777" w:rsidTr="00F079BC">
        <w:trPr>
          <w:trHeight w:val="23"/>
        </w:trPr>
        <w:tc>
          <w:tcPr>
            <w:tcW w:w="2457" w:type="dxa"/>
            <w:shd w:val="clear" w:color="auto" w:fill="auto"/>
          </w:tcPr>
          <w:p w14:paraId="7B75E994" w14:textId="77777777" w:rsidR="00DF0E99" w:rsidRPr="00DF0E99" w:rsidRDefault="00DF0E99" w:rsidP="00DF0E99">
            <w:pPr>
              <w:ind w:firstLine="0"/>
              <w:jc w:val="both"/>
              <w:rPr>
                <w:rFonts w:ascii="Times New Roman" w:hAnsi="Times New Roman" w:cs="Times New Roman"/>
                <w:sz w:val="24"/>
                <w:szCs w:val="24"/>
                <w:lang w:eastAsia="lt-LT"/>
              </w:rPr>
            </w:pPr>
          </w:p>
        </w:tc>
        <w:tc>
          <w:tcPr>
            <w:tcW w:w="4773" w:type="dxa"/>
            <w:shd w:val="clear" w:color="auto" w:fill="auto"/>
          </w:tcPr>
          <w:p w14:paraId="758ED01E" w14:textId="77777777" w:rsidR="00DF0E99" w:rsidRPr="00DF0E99" w:rsidRDefault="00DF0E99" w:rsidP="00F079BC">
            <w:pPr>
              <w:ind w:firstLine="0"/>
              <w:jc w:val="both"/>
              <w:rPr>
                <w:rFonts w:ascii="Times New Roman" w:hAnsi="Times New Roman" w:cs="Times New Roman"/>
                <w:sz w:val="24"/>
                <w:szCs w:val="24"/>
                <w:lang w:eastAsia="lt-LT"/>
              </w:rPr>
            </w:pPr>
          </w:p>
        </w:tc>
        <w:tc>
          <w:tcPr>
            <w:tcW w:w="2434" w:type="dxa"/>
            <w:shd w:val="clear" w:color="auto" w:fill="auto"/>
          </w:tcPr>
          <w:p w14:paraId="02D30AC2" w14:textId="77777777" w:rsidR="00DF0E99" w:rsidRPr="00DF0E99" w:rsidRDefault="00DF0E99" w:rsidP="00DF0E99">
            <w:pPr>
              <w:ind w:firstLine="0"/>
              <w:jc w:val="both"/>
              <w:rPr>
                <w:rFonts w:ascii="Times New Roman" w:hAnsi="Times New Roman" w:cs="Times New Roman"/>
                <w:sz w:val="24"/>
                <w:szCs w:val="24"/>
                <w:lang w:eastAsia="lt-LT"/>
              </w:rPr>
            </w:pPr>
          </w:p>
        </w:tc>
        <w:tc>
          <w:tcPr>
            <w:tcW w:w="4946" w:type="dxa"/>
            <w:shd w:val="clear" w:color="auto" w:fill="auto"/>
          </w:tcPr>
          <w:p w14:paraId="755071B1" w14:textId="77777777" w:rsidR="00DF0E99" w:rsidRPr="00DF0E99" w:rsidRDefault="00DF0E99" w:rsidP="00F079BC">
            <w:pPr>
              <w:ind w:firstLine="0"/>
              <w:jc w:val="both"/>
              <w:rPr>
                <w:rFonts w:ascii="Times New Roman" w:hAnsi="Times New Roman" w:cs="Times New Roman"/>
                <w:sz w:val="24"/>
                <w:szCs w:val="24"/>
                <w:lang w:eastAsia="lt-LT"/>
              </w:rPr>
            </w:pPr>
          </w:p>
        </w:tc>
      </w:tr>
    </w:tbl>
    <w:p w14:paraId="21832C51" w14:textId="54CCEB04" w:rsidR="00EB0627" w:rsidRPr="00DF0E99" w:rsidRDefault="00241270" w:rsidP="008369EE">
      <w:pPr>
        <w:tabs>
          <w:tab w:val="left" w:pos="6237"/>
          <w:tab w:val="right" w:pos="8306"/>
        </w:tabs>
        <w:ind w:firstLine="0"/>
        <w:jc w:val="center"/>
        <w:rPr>
          <w:rFonts w:ascii="Times New Roman" w:hAnsi="Times New Roman" w:cs="Times New Roman"/>
          <w:sz w:val="22"/>
          <w:lang w:eastAsia="lt-LT"/>
        </w:rPr>
      </w:pPr>
      <w:r>
        <w:rPr>
          <w:rFonts w:ascii="Times New Roman" w:hAnsi="Times New Roman" w:cs="Times New Roman"/>
          <w:sz w:val="22"/>
          <w:lang w:eastAsia="lt-LT"/>
        </w:rPr>
        <w:t>________________________________</w:t>
      </w:r>
    </w:p>
    <w:sectPr w:rsidR="00EB0627" w:rsidRPr="00DF0E99" w:rsidSect="00342318">
      <w:headerReference w:type="even" r:id="rId10"/>
      <w:headerReference w:type="default" r:id="rId11"/>
      <w:headerReference w:type="first" r:id="rId12"/>
      <w:pgSz w:w="16839" w:h="11907" w:orient="landscape" w:code="9"/>
      <w:pgMar w:top="0" w:right="110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3FF23" w14:textId="77777777" w:rsidR="003C7BB2" w:rsidRDefault="003C7BB2">
      <w:pPr>
        <w:rPr>
          <w:lang w:eastAsia="lt-LT"/>
        </w:rPr>
      </w:pPr>
      <w:r>
        <w:rPr>
          <w:lang w:eastAsia="lt-LT"/>
        </w:rPr>
        <w:separator/>
      </w:r>
    </w:p>
  </w:endnote>
  <w:endnote w:type="continuationSeparator" w:id="0">
    <w:p w14:paraId="57D2B543" w14:textId="77777777" w:rsidR="003C7BB2" w:rsidRDefault="003C7BB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1A717" w14:textId="77777777" w:rsidR="003C7BB2" w:rsidRDefault="003C7BB2">
      <w:pPr>
        <w:rPr>
          <w:lang w:eastAsia="lt-LT"/>
        </w:rPr>
      </w:pPr>
      <w:r>
        <w:rPr>
          <w:lang w:eastAsia="lt-LT"/>
        </w:rPr>
        <w:separator/>
      </w:r>
    </w:p>
  </w:footnote>
  <w:footnote w:type="continuationSeparator" w:id="0">
    <w:p w14:paraId="51931F87" w14:textId="77777777" w:rsidR="003C7BB2" w:rsidRDefault="003C7BB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CBB0F" w14:textId="77777777" w:rsidR="0027306D" w:rsidRDefault="0027306D" w:rsidP="008D1D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250F688" w14:textId="77777777" w:rsidR="0027306D" w:rsidRPr="00443B11" w:rsidRDefault="0027306D"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8A8E4" w14:textId="77777777" w:rsidR="0027306D" w:rsidRDefault="0027306D">
    <w:pPr>
      <w:pStyle w:val="Antrats"/>
      <w:jc w:val="center"/>
    </w:pPr>
    <w:r>
      <w:fldChar w:fldCharType="begin"/>
    </w:r>
    <w:r>
      <w:instrText>PAGE   \* MERGEFORMAT</w:instrText>
    </w:r>
    <w:r>
      <w:fldChar w:fldCharType="separate"/>
    </w:r>
    <w:r w:rsidR="00F079BC">
      <w:rPr>
        <w:noProof/>
      </w:rPr>
      <w:t>2</w:t>
    </w:r>
    <w:r>
      <w:fldChar w:fldCharType="end"/>
    </w:r>
  </w:p>
  <w:p w14:paraId="5F93F4FD" w14:textId="77777777" w:rsidR="0027306D" w:rsidRPr="00443B11" w:rsidRDefault="0027306D" w:rsidP="00443B11">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708AF" w14:textId="77777777" w:rsidR="0027306D" w:rsidRDefault="0027306D">
    <w:pPr>
      <w:pStyle w:val="Antrats"/>
      <w:jc w:val="center"/>
    </w:pPr>
  </w:p>
  <w:p w14:paraId="40B512DE" w14:textId="77777777" w:rsidR="0027306D" w:rsidRDefault="002730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795D"/>
    <w:rsid w:val="00030C85"/>
    <w:rsid w:val="000350FF"/>
    <w:rsid w:val="00036630"/>
    <w:rsid w:val="00043AFD"/>
    <w:rsid w:val="000448FB"/>
    <w:rsid w:val="000504A8"/>
    <w:rsid w:val="00050517"/>
    <w:rsid w:val="00064A65"/>
    <w:rsid w:val="00081B5D"/>
    <w:rsid w:val="000864FD"/>
    <w:rsid w:val="000947C7"/>
    <w:rsid w:val="000A78B6"/>
    <w:rsid w:val="000B45CD"/>
    <w:rsid w:val="000C05C6"/>
    <w:rsid w:val="000C4449"/>
    <w:rsid w:val="000D0CBD"/>
    <w:rsid w:val="000D5529"/>
    <w:rsid w:val="000F5FB8"/>
    <w:rsid w:val="00104CDD"/>
    <w:rsid w:val="001110D1"/>
    <w:rsid w:val="001122D7"/>
    <w:rsid w:val="00112CE2"/>
    <w:rsid w:val="00125E21"/>
    <w:rsid w:val="00141C37"/>
    <w:rsid w:val="00145261"/>
    <w:rsid w:val="00160C23"/>
    <w:rsid w:val="00182302"/>
    <w:rsid w:val="00183669"/>
    <w:rsid w:val="0019367A"/>
    <w:rsid w:val="00197028"/>
    <w:rsid w:val="001970A0"/>
    <w:rsid w:val="001974A4"/>
    <w:rsid w:val="001A668F"/>
    <w:rsid w:val="001D11CA"/>
    <w:rsid w:val="001D6549"/>
    <w:rsid w:val="001E16AB"/>
    <w:rsid w:val="001E4EF3"/>
    <w:rsid w:val="001E5A71"/>
    <w:rsid w:val="00210CA1"/>
    <w:rsid w:val="00215FE3"/>
    <w:rsid w:val="00221205"/>
    <w:rsid w:val="00223285"/>
    <w:rsid w:val="00241270"/>
    <w:rsid w:val="0024348E"/>
    <w:rsid w:val="002656E7"/>
    <w:rsid w:val="002713F1"/>
    <w:rsid w:val="00271CBC"/>
    <w:rsid w:val="0027306D"/>
    <w:rsid w:val="0027470E"/>
    <w:rsid w:val="00286902"/>
    <w:rsid w:val="002A1432"/>
    <w:rsid w:val="002A6137"/>
    <w:rsid w:val="002B6C94"/>
    <w:rsid w:val="002D48A4"/>
    <w:rsid w:val="002D6EFD"/>
    <w:rsid w:val="002E0F8D"/>
    <w:rsid w:val="002F5D6E"/>
    <w:rsid w:val="00303079"/>
    <w:rsid w:val="0030510F"/>
    <w:rsid w:val="00316092"/>
    <w:rsid w:val="003263B0"/>
    <w:rsid w:val="00327924"/>
    <w:rsid w:val="00335863"/>
    <w:rsid w:val="00336D5F"/>
    <w:rsid w:val="00342318"/>
    <w:rsid w:val="003567D3"/>
    <w:rsid w:val="00370E74"/>
    <w:rsid w:val="003731A6"/>
    <w:rsid w:val="003807E3"/>
    <w:rsid w:val="003A499A"/>
    <w:rsid w:val="003B45E4"/>
    <w:rsid w:val="003C0035"/>
    <w:rsid w:val="003C0108"/>
    <w:rsid w:val="003C7BB2"/>
    <w:rsid w:val="003D4756"/>
    <w:rsid w:val="003D5ABD"/>
    <w:rsid w:val="003E17B1"/>
    <w:rsid w:val="003E3BCA"/>
    <w:rsid w:val="003E5F27"/>
    <w:rsid w:val="003E64B6"/>
    <w:rsid w:val="003F1A20"/>
    <w:rsid w:val="003F399C"/>
    <w:rsid w:val="00406E3D"/>
    <w:rsid w:val="004245FA"/>
    <w:rsid w:val="00435768"/>
    <w:rsid w:val="00436B75"/>
    <w:rsid w:val="00436CF0"/>
    <w:rsid w:val="004407CA"/>
    <w:rsid w:val="00443B11"/>
    <w:rsid w:val="00454DF2"/>
    <w:rsid w:val="004578E4"/>
    <w:rsid w:val="004602E8"/>
    <w:rsid w:val="00460EDE"/>
    <w:rsid w:val="004632BF"/>
    <w:rsid w:val="00472994"/>
    <w:rsid w:val="00482538"/>
    <w:rsid w:val="004A5676"/>
    <w:rsid w:val="004C66E7"/>
    <w:rsid w:val="004C7466"/>
    <w:rsid w:val="004D1301"/>
    <w:rsid w:val="004E19AD"/>
    <w:rsid w:val="004F48D9"/>
    <w:rsid w:val="00504635"/>
    <w:rsid w:val="005144FC"/>
    <w:rsid w:val="00520816"/>
    <w:rsid w:val="005231DB"/>
    <w:rsid w:val="00523A8D"/>
    <w:rsid w:val="00531313"/>
    <w:rsid w:val="00535532"/>
    <w:rsid w:val="00542817"/>
    <w:rsid w:val="00544ABA"/>
    <w:rsid w:val="005567B8"/>
    <w:rsid w:val="00574F8C"/>
    <w:rsid w:val="0057652B"/>
    <w:rsid w:val="00583E6E"/>
    <w:rsid w:val="005A5641"/>
    <w:rsid w:val="005C1963"/>
    <w:rsid w:val="00601231"/>
    <w:rsid w:val="006117A7"/>
    <w:rsid w:val="00612345"/>
    <w:rsid w:val="00616B5B"/>
    <w:rsid w:val="00617F69"/>
    <w:rsid w:val="0062039A"/>
    <w:rsid w:val="00632EE4"/>
    <w:rsid w:val="00643B60"/>
    <w:rsid w:val="0066302F"/>
    <w:rsid w:val="00664FDB"/>
    <w:rsid w:val="00666B51"/>
    <w:rsid w:val="006700CE"/>
    <w:rsid w:val="00677479"/>
    <w:rsid w:val="00681C83"/>
    <w:rsid w:val="00682E29"/>
    <w:rsid w:val="006A105B"/>
    <w:rsid w:val="006A7E79"/>
    <w:rsid w:val="006B013C"/>
    <w:rsid w:val="006B020B"/>
    <w:rsid w:val="006B1983"/>
    <w:rsid w:val="006D0033"/>
    <w:rsid w:val="006D5020"/>
    <w:rsid w:val="006E20AE"/>
    <w:rsid w:val="006E2EAF"/>
    <w:rsid w:val="006F77DB"/>
    <w:rsid w:val="00702F26"/>
    <w:rsid w:val="00705133"/>
    <w:rsid w:val="00721455"/>
    <w:rsid w:val="007229A0"/>
    <w:rsid w:val="00724A2C"/>
    <w:rsid w:val="00730063"/>
    <w:rsid w:val="0073490F"/>
    <w:rsid w:val="007404BB"/>
    <w:rsid w:val="00752E6C"/>
    <w:rsid w:val="00770368"/>
    <w:rsid w:val="00772F95"/>
    <w:rsid w:val="007749DC"/>
    <w:rsid w:val="007760A7"/>
    <w:rsid w:val="0079309F"/>
    <w:rsid w:val="00796AE3"/>
    <w:rsid w:val="007A3B21"/>
    <w:rsid w:val="007A6C9F"/>
    <w:rsid w:val="007B035C"/>
    <w:rsid w:val="007B6766"/>
    <w:rsid w:val="007D042F"/>
    <w:rsid w:val="007D7827"/>
    <w:rsid w:val="007E0C2A"/>
    <w:rsid w:val="007E64CF"/>
    <w:rsid w:val="007E65FF"/>
    <w:rsid w:val="00804FEE"/>
    <w:rsid w:val="00823842"/>
    <w:rsid w:val="00830E53"/>
    <w:rsid w:val="00836027"/>
    <w:rsid w:val="008369EE"/>
    <w:rsid w:val="00855F01"/>
    <w:rsid w:val="00876754"/>
    <w:rsid w:val="00881230"/>
    <w:rsid w:val="0088249A"/>
    <w:rsid w:val="008A5B01"/>
    <w:rsid w:val="008B4EAF"/>
    <w:rsid w:val="008C5398"/>
    <w:rsid w:val="008C6A0F"/>
    <w:rsid w:val="008D1D37"/>
    <w:rsid w:val="008D5AD0"/>
    <w:rsid w:val="008E24FC"/>
    <w:rsid w:val="008F4A8E"/>
    <w:rsid w:val="00904F3B"/>
    <w:rsid w:val="009213E9"/>
    <w:rsid w:val="009365AB"/>
    <w:rsid w:val="0093738E"/>
    <w:rsid w:val="00964B58"/>
    <w:rsid w:val="00971156"/>
    <w:rsid w:val="00981CE7"/>
    <w:rsid w:val="009955A3"/>
    <w:rsid w:val="00996490"/>
    <w:rsid w:val="00996A1E"/>
    <w:rsid w:val="009B08C1"/>
    <w:rsid w:val="009B2ECB"/>
    <w:rsid w:val="009B559E"/>
    <w:rsid w:val="009C3160"/>
    <w:rsid w:val="009C6CF0"/>
    <w:rsid w:val="009D7829"/>
    <w:rsid w:val="009E0A02"/>
    <w:rsid w:val="009E16B2"/>
    <w:rsid w:val="009F7829"/>
    <w:rsid w:val="00A07840"/>
    <w:rsid w:val="00A10EA4"/>
    <w:rsid w:val="00A2633E"/>
    <w:rsid w:val="00A3385A"/>
    <w:rsid w:val="00A635A4"/>
    <w:rsid w:val="00A66A1A"/>
    <w:rsid w:val="00A71590"/>
    <w:rsid w:val="00A72C75"/>
    <w:rsid w:val="00A75D31"/>
    <w:rsid w:val="00A77F70"/>
    <w:rsid w:val="00A914B4"/>
    <w:rsid w:val="00AA05AB"/>
    <w:rsid w:val="00AA17D4"/>
    <w:rsid w:val="00AA5E56"/>
    <w:rsid w:val="00AC0439"/>
    <w:rsid w:val="00AD3A4F"/>
    <w:rsid w:val="00AE0A11"/>
    <w:rsid w:val="00AE0C70"/>
    <w:rsid w:val="00AE40C4"/>
    <w:rsid w:val="00AE6C60"/>
    <w:rsid w:val="00AF56F9"/>
    <w:rsid w:val="00AF7B12"/>
    <w:rsid w:val="00B02AA5"/>
    <w:rsid w:val="00B17F23"/>
    <w:rsid w:val="00B24DD9"/>
    <w:rsid w:val="00B27D59"/>
    <w:rsid w:val="00B36007"/>
    <w:rsid w:val="00B47946"/>
    <w:rsid w:val="00B522EE"/>
    <w:rsid w:val="00B57748"/>
    <w:rsid w:val="00B774B8"/>
    <w:rsid w:val="00BB37FB"/>
    <w:rsid w:val="00BC059F"/>
    <w:rsid w:val="00BC2DA8"/>
    <w:rsid w:val="00BD5B94"/>
    <w:rsid w:val="00C06A31"/>
    <w:rsid w:val="00C22E9C"/>
    <w:rsid w:val="00C2357D"/>
    <w:rsid w:val="00C26DD9"/>
    <w:rsid w:val="00C35F4F"/>
    <w:rsid w:val="00C42463"/>
    <w:rsid w:val="00C52E9A"/>
    <w:rsid w:val="00C66E4D"/>
    <w:rsid w:val="00C7785E"/>
    <w:rsid w:val="00CA2A04"/>
    <w:rsid w:val="00CB2E11"/>
    <w:rsid w:val="00CB6F91"/>
    <w:rsid w:val="00D02438"/>
    <w:rsid w:val="00D079CA"/>
    <w:rsid w:val="00D1058D"/>
    <w:rsid w:val="00D34227"/>
    <w:rsid w:val="00D36F79"/>
    <w:rsid w:val="00D57082"/>
    <w:rsid w:val="00D63F03"/>
    <w:rsid w:val="00D72B39"/>
    <w:rsid w:val="00D81B35"/>
    <w:rsid w:val="00D90B22"/>
    <w:rsid w:val="00DA34D7"/>
    <w:rsid w:val="00DA5325"/>
    <w:rsid w:val="00DB1C50"/>
    <w:rsid w:val="00DB2D34"/>
    <w:rsid w:val="00DC21A9"/>
    <w:rsid w:val="00DC55EB"/>
    <w:rsid w:val="00DE2339"/>
    <w:rsid w:val="00DE500B"/>
    <w:rsid w:val="00DF0E99"/>
    <w:rsid w:val="00DF4651"/>
    <w:rsid w:val="00DF6AB7"/>
    <w:rsid w:val="00E0176C"/>
    <w:rsid w:val="00E12168"/>
    <w:rsid w:val="00E205C2"/>
    <w:rsid w:val="00E36C95"/>
    <w:rsid w:val="00E55A48"/>
    <w:rsid w:val="00E575F9"/>
    <w:rsid w:val="00E60BD3"/>
    <w:rsid w:val="00E62553"/>
    <w:rsid w:val="00E74BB2"/>
    <w:rsid w:val="00E7635C"/>
    <w:rsid w:val="00E90862"/>
    <w:rsid w:val="00E94D6F"/>
    <w:rsid w:val="00E9737F"/>
    <w:rsid w:val="00EA7C9A"/>
    <w:rsid w:val="00EB0627"/>
    <w:rsid w:val="00EB6D1E"/>
    <w:rsid w:val="00EC1D33"/>
    <w:rsid w:val="00EC3318"/>
    <w:rsid w:val="00EC7003"/>
    <w:rsid w:val="00ED2187"/>
    <w:rsid w:val="00ED663F"/>
    <w:rsid w:val="00EF1A09"/>
    <w:rsid w:val="00EF4EF2"/>
    <w:rsid w:val="00EF7D2E"/>
    <w:rsid w:val="00F079BC"/>
    <w:rsid w:val="00F17BBE"/>
    <w:rsid w:val="00F2047F"/>
    <w:rsid w:val="00F26749"/>
    <w:rsid w:val="00F3733F"/>
    <w:rsid w:val="00F5743C"/>
    <w:rsid w:val="00F64ADF"/>
    <w:rsid w:val="00F64E2B"/>
    <w:rsid w:val="00F706E8"/>
    <w:rsid w:val="00F76276"/>
    <w:rsid w:val="00F800B9"/>
    <w:rsid w:val="00F8282A"/>
    <w:rsid w:val="00F86C03"/>
    <w:rsid w:val="00FA583D"/>
    <w:rsid w:val="00FC0B38"/>
    <w:rsid w:val="00FC3432"/>
    <w:rsid w:val="00FD0D79"/>
    <w:rsid w:val="00FD748B"/>
    <w:rsid w:val="00FE5290"/>
    <w:rsid w:val="00FF2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A4879"/>
  <w15:chartTrackingRefBased/>
  <w15:docId w15:val="{2C36A47F-AA8C-479D-9B01-30D6790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link w:val="Debesliotekstas"/>
    <w:locked/>
    <w:rsid w:val="007E65FF"/>
    <w:rPr>
      <w:rFonts w:ascii="Tahoma" w:hAnsi="Tahoma" w:cs="Tahoma"/>
      <w:sz w:val="16"/>
      <w:szCs w:val="16"/>
    </w:rPr>
  </w:style>
  <w:style w:type="paragraph" w:styleId="Antrats">
    <w:name w:val="header"/>
    <w:aliases w:val="Char,Diagrama"/>
    <w:basedOn w:val="prastasis"/>
    <w:link w:val="AntratsDiagrama"/>
    <w:uiPriority w:val="99"/>
    <w:rsid w:val="00443B11"/>
    <w:pPr>
      <w:tabs>
        <w:tab w:val="center" w:pos="4153"/>
        <w:tab w:val="right" w:pos="8306"/>
      </w:tabs>
    </w:pPr>
    <w:rPr>
      <w:lang w:eastAsia="lt-LT"/>
    </w:rPr>
  </w:style>
  <w:style w:type="character" w:customStyle="1" w:styleId="PagrindiniotekstotraukaDiagrama">
    <w:name w:val="Pagrindinio teksto įtrauka Diagrama"/>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link w:val="Antrats"/>
    <w:uiPriority w:val="99"/>
    <w:locked/>
    <w:rsid w:val="00443B11"/>
    <w:rPr>
      <w:sz w:val="24"/>
      <w:lang w:val="lt-LT" w:eastAsia="lt-LT" w:bidi="ar-SA"/>
    </w:rPr>
  </w:style>
  <w:style w:type="paragraph" w:customStyle="1" w:styleId="ListParagraph1">
    <w:name w:val="List Paragraph1"/>
    <w:basedOn w:val="prastasis"/>
    <w:rsid w:val="00443B11"/>
    <w:pPr>
      <w:ind w:left="720"/>
      <w:contextualSpacing/>
    </w:pPr>
  </w:style>
  <w:style w:type="character" w:styleId="Puslapioinaosnuoroda">
    <w:name w:val="footnote reference"/>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character" w:styleId="Hipersaitas">
    <w:name w:val="Hyperlink"/>
    <w:basedOn w:val="Numatytasispastraiposriftas"/>
    <w:rsid w:val="0088249A"/>
    <w:rPr>
      <w:color w:val="0563C1" w:themeColor="hyperlink"/>
      <w:u w:val="single"/>
    </w:rPr>
  </w:style>
  <w:style w:type="character" w:customStyle="1" w:styleId="Neapdorotaspaminjimas1">
    <w:name w:val="Neapdorotas paminėjimas1"/>
    <w:basedOn w:val="Numatytasispastraiposriftas"/>
    <w:uiPriority w:val="99"/>
    <w:semiHidden/>
    <w:unhideWhenUsed/>
    <w:rsid w:val="0088249A"/>
    <w:rPr>
      <w:color w:val="605E5C"/>
      <w:shd w:val="clear" w:color="auto" w:fill="E1DFDD"/>
    </w:rPr>
  </w:style>
  <w:style w:type="character" w:styleId="Neapdorotaspaminjimas">
    <w:name w:val="Unresolved Mention"/>
    <w:basedOn w:val="Numatytasispastraiposriftas"/>
    <w:uiPriority w:val="99"/>
    <w:semiHidden/>
    <w:unhideWhenUsed/>
    <w:rsid w:val="009213E9"/>
    <w:rPr>
      <w:color w:val="605E5C"/>
      <w:shd w:val="clear" w:color="auto" w:fill="E1DFDD"/>
    </w:rPr>
  </w:style>
  <w:style w:type="character" w:styleId="Komentaronuoroda">
    <w:name w:val="annotation reference"/>
    <w:basedOn w:val="Numatytasispastraiposriftas"/>
    <w:rsid w:val="006117A7"/>
    <w:rPr>
      <w:sz w:val="16"/>
      <w:szCs w:val="16"/>
    </w:rPr>
  </w:style>
  <w:style w:type="paragraph" w:styleId="Komentarotekstas">
    <w:name w:val="annotation text"/>
    <w:basedOn w:val="prastasis"/>
    <w:link w:val="KomentarotekstasDiagrama"/>
    <w:rsid w:val="006117A7"/>
  </w:style>
  <w:style w:type="character" w:customStyle="1" w:styleId="KomentarotekstasDiagrama">
    <w:name w:val="Komentaro tekstas Diagrama"/>
    <w:basedOn w:val="Numatytasispastraiposriftas"/>
    <w:link w:val="Komentarotekstas"/>
    <w:rsid w:val="006117A7"/>
    <w:rPr>
      <w:rFonts w:ascii="Arial" w:hAnsi="Arial" w:cs="Arial"/>
      <w:lang w:eastAsia="en-US"/>
    </w:rPr>
  </w:style>
  <w:style w:type="paragraph" w:styleId="Komentarotema">
    <w:name w:val="annotation subject"/>
    <w:basedOn w:val="Komentarotekstas"/>
    <w:next w:val="Komentarotekstas"/>
    <w:link w:val="KomentarotemaDiagrama"/>
    <w:rsid w:val="006117A7"/>
    <w:rPr>
      <w:b/>
      <w:bCs/>
    </w:rPr>
  </w:style>
  <w:style w:type="character" w:customStyle="1" w:styleId="KomentarotemaDiagrama">
    <w:name w:val="Komentaro tema Diagrama"/>
    <w:basedOn w:val="KomentarotekstasDiagrama"/>
    <w:link w:val="Komentarotema"/>
    <w:rsid w:val="006117A7"/>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 w:id="1447307204">
      <w:bodyDiv w:val="1"/>
      <w:marLeft w:val="0"/>
      <w:marRight w:val="0"/>
      <w:marTop w:val="0"/>
      <w:marBottom w:val="0"/>
      <w:divBdr>
        <w:top w:val="none" w:sz="0" w:space="0" w:color="auto"/>
        <w:left w:val="none" w:sz="0" w:space="0" w:color="auto"/>
        <w:bottom w:val="none" w:sz="0" w:space="0" w:color="auto"/>
        <w:right w:val="none" w:sz="0" w:space="0" w:color="auto"/>
      </w:divBdr>
      <w:divsChild>
        <w:div w:id="1829856976">
          <w:marLeft w:val="0"/>
          <w:marRight w:val="0"/>
          <w:marTop w:val="0"/>
          <w:marBottom w:val="0"/>
          <w:divBdr>
            <w:top w:val="none" w:sz="0" w:space="0" w:color="auto"/>
            <w:left w:val="none" w:sz="0" w:space="0" w:color="auto"/>
            <w:bottom w:val="none" w:sz="0" w:space="0" w:color="auto"/>
            <w:right w:val="none" w:sz="0" w:space="0" w:color="auto"/>
          </w:divBdr>
          <w:divsChild>
            <w:div w:id="1400638758">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0"/>
                  <w:marRight w:val="0"/>
                  <w:marTop w:val="0"/>
                  <w:marBottom w:val="0"/>
                  <w:divBdr>
                    <w:top w:val="single" w:sz="6" w:space="0" w:color="DADADA"/>
                    <w:left w:val="none" w:sz="0" w:space="0" w:color="auto"/>
                    <w:bottom w:val="none" w:sz="0" w:space="0" w:color="auto"/>
                    <w:right w:val="none" w:sz="0" w:space="0" w:color="auto"/>
                  </w:divBdr>
                  <w:divsChild>
                    <w:div w:id="1811946223">
                      <w:marLeft w:val="0"/>
                      <w:marRight w:val="0"/>
                      <w:marTop w:val="0"/>
                      <w:marBottom w:val="0"/>
                      <w:divBdr>
                        <w:top w:val="none" w:sz="0" w:space="0" w:color="auto"/>
                        <w:left w:val="none" w:sz="0" w:space="0" w:color="auto"/>
                        <w:bottom w:val="none" w:sz="0" w:space="0" w:color="auto"/>
                        <w:right w:val="none" w:sz="0" w:space="0" w:color="auto"/>
                      </w:divBdr>
                      <w:divsChild>
                        <w:div w:id="1270506035">
                          <w:marLeft w:val="0"/>
                          <w:marRight w:val="0"/>
                          <w:marTop w:val="120"/>
                          <w:marBottom w:val="12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86492501">
                                  <w:marLeft w:val="0"/>
                                  <w:marRight w:val="0"/>
                                  <w:marTop w:val="0"/>
                                  <w:marBottom w:val="0"/>
                                  <w:divBdr>
                                    <w:top w:val="none" w:sz="0" w:space="0" w:color="auto"/>
                                    <w:left w:val="none" w:sz="0" w:space="0" w:color="auto"/>
                                    <w:bottom w:val="none" w:sz="0" w:space="0" w:color="auto"/>
                                    <w:right w:val="none" w:sz="0" w:space="0" w:color="auto"/>
                                  </w:divBdr>
                                  <w:divsChild>
                                    <w:div w:id="1463302796">
                                      <w:marLeft w:val="0"/>
                                      <w:marRight w:val="0"/>
                                      <w:marTop w:val="0"/>
                                      <w:marBottom w:val="0"/>
                                      <w:divBdr>
                                        <w:top w:val="none" w:sz="0" w:space="0" w:color="auto"/>
                                        <w:left w:val="none" w:sz="0" w:space="0" w:color="auto"/>
                                        <w:bottom w:val="none" w:sz="0" w:space="0" w:color="auto"/>
                                        <w:right w:val="none" w:sz="0" w:space="0" w:color="auto"/>
                                      </w:divBdr>
                                      <w:divsChild>
                                        <w:div w:id="2135168761">
                                          <w:marLeft w:val="0"/>
                                          <w:marRight w:val="0"/>
                                          <w:marTop w:val="0"/>
                                          <w:marBottom w:val="0"/>
                                          <w:divBdr>
                                            <w:top w:val="none" w:sz="0" w:space="0" w:color="auto"/>
                                            <w:left w:val="none" w:sz="0" w:space="0" w:color="auto"/>
                                            <w:bottom w:val="none" w:sz="0" w:space="0" w:color="auto"/>
                                            <w:right w:val="none" w:sz="0" w:space="0" w:color="auto"/>
                                          </w:divBdr>
                                          <w:divsChild>
                                            <w:div w:id="834954424">
                                              <w:marLeft w:val="0"/>
                                              <w:marRight w:val="0"/>
                                              <w:marTop w:val="0"/>
                                              <w:marBottom w:val="0"/>
                                              <w:divBdr>
                                                <w:top w:val="none" w:sz="0" w:space="0" w:color="auto"/>
                                                <w:left w:val="none" w:sz="0" w:space="0" w:color="auto"/>
                                                <w:bottom w:val="none" w:sz="0" w:space="0" w:color="auto"/>
                                                <w:right w:val="none" w:sz="0" w:space="0" w:color="auto"/>
                                              </w:divBdr>
                                              <w:divsChild>
                                                <w:div w:id="830295684">
                                                  <w:marLeft w:val="-225"/>
                                                  <w:marRight w:val="-225"/>
                                                  <w:marTop w:val="0"/>
                                                  <w:marBottom w:val="0"/>
                                                  <w:divBdr>
                                                    <w:top w:val="none" w:sz="0" w:space="0" w:color="auto"/>
                                                    <w:left w:val="none" w:sz="0" w:space="0" w:color="auto"/>
                                                    <w:bottom w:val="none" w:sz="0" w:space="0" w:color="auto"/>
                                                    <w:right w:val="none" w:sz="0" w:space="0" w:color="auto"/>
                                                  </w:divBdr>
                                                  <w:divsChild>
                                                    <w:div w:id="147720804">
                                                      <w:marLeft w:val="0"/>
                                                      <w:marRight w:val="0"/>
                                                      <w:marTop w:val="0"/>
                                                      <w:marBottom w:val="0"/>
                                                      <w:divBdr>
                                                        <w:top w:val="none" w:sz="0" w:space="0" w:color="auto"/>
                                                        <w:left w:val="none" w:sz="0" w:space="0" w:color="auto"/>
                                                        <w:bottom w:val="none" w:sz="0" w:space="0" w:color="auto"/>
                                                        <w:right w:val="none" w:sz="0" w:space="0" w:color="auto"/>
                                                      </w:divBdr>
                                                      <w:divsChild>
                                                        <w:div w:id="1656832849">
                                                          <w:marLeft w:val="-225"/>
                                                          <w:marRight w:val="-225"/>
                                                          <w:marTop w:val="0"/>
                                                          <w:marBottom w:val="0"/>
                                                          <w:divBdr>
                                                            <w:top w:val="none" w:sz="0" w:space="0" w:color="auto"/>
                                                            <w:left w:val="none" w:sz="0" w:space="0" w:color="auto"/>
                                                            <w:bottom w:val="none" w:sz="0" w:space="0" w:color="auto"/>
                                                            <w:right w:val="none" w:sz="0" w:space="0" w:color="auto"/>
                                                          </w:divBdr>
                                                          <w:divsChild>
                                                            <w:div w:id="618727684">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sChild>
                                                            </w:div>
                                                            <w:div w:id="1731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aleknavicius@zu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na.simkute@zu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B332-E249-4CFB-A93C-91484758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4628</Words>
  <Characters>2638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aktų projektų antikorupcinio vertinimo taisyklių patvirtinimo</vt:lpstr>
      <vt:lpstr>Dėl teisės aktų projektų antikorupcinio vertinimo taisyklių patvirtinimo</vt:lpstr>
    </vt:vector>
  </TitlesOfParts>
  <Company>Infolex</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aktų projektų antikorupcinio vertinimo taisyklių patvirtinimo</dc:title>
  <dc:subject/>
  <dc:creator>Infolex</dc:creator>
  <cp:keywords/>
  <cp:lastModifiedBy>Kristina Šimkutė</cp:lastModifiedBy>
  <cp:revision>23</cp:revision>
  <cp:lastPrinted>2020-02-24T12:11:00Z</cp:lastPrinted>
  <dcterms:created xsi:type="dcterms:W3CDTF">2020-04-07T06:41:00Z</dcterms:created>
  <dcterms:modified xsi:type="dcterms:W3CDTF">2021-03-15T12:23:00Z</dcterms:modified>
</cp:coreProperties>
</file>