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16A" w14:textId="7FE7240F" w:rsidR="00A85F8D" w:rsidRPr="004B3A4C" w:rsidRDefault="002F1D65" w:rsidP="004B3A4C">
      <w:pPr>
        <w:jc w:val="center"/>
        <w:rPr>
          <w:b/>
        </w:rPr>
      </w:pPr>
      <w:r w:rsidRPr="00EA774C">
        <w:rPr>
          <w:b/>
          <w:caps/>
        </w:rPr>
        <w:t>Lietuvos Respublikos Vyriausybė</w:t>
      </w:r>
      <w:r w:rsidRPr="00EA774C">
        <w:rPr>
          <w:b/>
        </w:rPr>
        <w:t xml:space="preserve">S </w:t>
      </w:r>
      <w:r w:rsidR="000B4A2D" w:rsidRPr="00EA774C">
        <w:rPr>
          <w:b/>
        </w:rPr>
        <w:t>NUTARIMO</w:t>
      </w:r>
      <w:r w:rsidR="00784545" w:rsidRPr="00EA774C">
        <w:rPr>
          <w:b/>
        </w:rPr>
        <w:t xml:space="preserve"> „DĖL</w:t>
      </w:r>
      <w:r w:rsidR="00986A28">
        <w:rPr>
          <w:b/>
        </w:rPr>
        <w:t xml:space="preserve"> </w:t>
      </w:r>
      <w:r w:rsidR="00986A28" w:rsidRPr="00986A28">
        <w:rPr>
          <w:b/>
        </w:rPr>
        <w:t>LIETUVOS RESPUBLIKOS CIVILINIO PROCESO KODEKSO 142 IR 296 STRAIPSNIŲ PAKEITIMO BEI KODEKSO PAPILDYMO 95</w:t>
      </w:r>
      <w:r w:rsidR="00986A28" w:rsidRPr="00B423DE">
        <w:rPr>
          <w:b/>
          <w:vertAlign w:val="superscript"/>
        </w:rPr>
        <w:t>1</w:t>
      </w:r>
      <w:r w:rsidR="00986A28" w:rsidRPr="00986A28">
        <w:rPr>
          <w:b/>
        </w:rPr>
        <w:t xml:space="preserve"> STRAIPSNIU ĮSTATYMO PROJEKTO NR. XIVP-885 IR</w:t>
      </w:r>
      <w:r w:rsidR="004B3A4C">
        <w:rPr>
          <w:b/>
        </w:rPr>
        <w:t xml:space="preserve"> </w:t>
      </w:r>
      <w:r w:rsidR="00986A28" w:rsidRPr="00986A28">
        <w:rPr>
          <w:b/>
        </w:rPr>
        <w:t>LIETUVOS RESPUBLIKOS BAUDŽIAMOJO KODEKSO 154 STRAIPSNIO PAKEITIMO ĮSTATYMO PROJEKTO</w:t>
      </w:r>
      <w:r w:rsidR="004B3A4C">
        <w:rPr>
          <w:b/>
        </w:rPr>
        <w:t xml:space="preserve"> </w:t>
      </w:r>
      <w:r w:rsidR="00986A28" w:rsidRPr="00986A28">
        <w:rPr>
          <w:b/>
        </w:rPr>
        <w:t>NR. XIVP</w:t>
      </w:r>
      <w:r w:rsidR="00B423DE">
        <w:rPr>
          <w:b/>
        </w:rPr>
        <w:t>-</w:t>
      </w:r>
      <w:r w:rsidR="00986A28" w:rsidRPr="00986A28">
        <w:rPr>
          <w:b/>
        </w:rPr>
        <w:t>886</w:t>
      </w:r>
      <w:r w:rsidR="00784545" w:rsidRPr="00EA774C">
        <w:rPr>
          <w:b/>
          <w:color w:val="000000"/>
        </w:rPr>
        <w:t>“</w:t>
      </w:r>
      <w:r w:rsidR="00B423DE">
        <w:rPr>
          <w:b/>
          <w:caps/>
        </w:rPr>
        <w:t xml:space="preserve"> </w:t>
      </w:r>
      <w:r w:rsidR="000B4A2D" w:rsidRPr="00EA774C">
        <w:rPr>
          <w:b/>
        </w:rPr>
        <w:t xml:space="preserve">PROJEKTO </w:t>
      </w:r>
      <w:r w:rsidR="00CC584A" w:rsidRPr="00EA774C">
        <w:rPr>
          <w:b/>
        </w:rPr>
        <w:t xml:space="preserve">(toliau – Nutarimo projektas) </w:t>
      </w:r>
      <w:r w:rsidR="00CC6B48" w:rsidRPr="00EA774C">
        <w:rPr>
          <w:b/>
        </w:rPr>
        <w:t>DERINIMO PAŽYMA</w:t>
      </w:r>
    </w:p>
    <w:p w14:paraId="7A0B18BE" w14:textId="77777777" w:rsidR="00CC6B48" w:rsidRPr="00EA774C" w:rsidRDefault="00CC6B48" w:rsidP="00CC6B48">
      <w:pPr>
        <w:jc w:val="both"/>
        <w:rPr>
          <w:b/>
        </w:rPr>
      </w:pPr>
    </w:p>
    <w:tbl>
      <w:tblPr>
        <w:tblW w:w="15336"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11"/>
        <w:gridCol w:w="6804"/>
        <w:gridCol w:w="6521"/>
      </w:tblGrid>
      <w:tr w:rsidR="00447866" w:rsidRPr="00EA774C" w14:paraId="7AAF65C4" w14:textId="77777777" w:rsidTr="007337DC">
        <w:trPr>
          <w:trHeight w:val="423"/>
        </w:trPr>
        <w:tc>
          <w:tcPr>
            <w:tcW w:w="2011" w:type="dxa"/>
            <w:shd w:val="clear" w:color="auto" w:fill="auto"/>
          </w:tcPr>
          <w:p w14:paraId="33731AF5" w14:textId="77777777" w:rsidR="00A85F8D" w:rsidRPr="00EA774C" w:rsidRDefault="00A85F8D" w:rsidP="00DB5E35">
            <w:pPr>
              <w:jc w:val="center"/>
              <w:rPr>
                <w:b/>
              </w:rPr>
            </w:pPr>
            <w:r w:rsidRPr="00EA774C">
              <w:rPr>
                <w:b/>
              </w:rPr>
              <w:t>Institucijos pavadinimas, rašto data ir numeris</w:t>
            </w:r>
          </w:p>
        </w:tc>
        <w:tc>
          <w:tcPr>
            <w:tcW w:w="6804" w:type="dxa"/>
            <w:shd w:val="clear" w:color="auto" w:fill="auto"/>
          </w:tcPr>
          <w:p w14:paraId="61DDEEC3" w14:textId="18EAC773" w:rsidR="00A85F8D" w:rsidRPr="00EA774C" w:rsidRDefault="00E93C8F" w:rsidP="00DB5E35">
            <w:pPr>
              <w:jc w:val="center"/>
              <w:rPr>
                <w:b/>
                <w:iCs/>
              </w:rPr>
            </w:pPr>
            <w:r w:rsidRPr="00EA774C">
              <w:rPr>
                <w:b/>
                <w:iCs/>
              </w:rPr>
              <w:t>Pastabos ir pasiūlymai</w:t>
            </w:r>
          </w:p>
        </w:tc>
        <w:tc>
          <w:tcPr>
            <w:tcW w:w="6521" w:type="dxa"/>
            <w:shd w:val="clear" w:color="auto" w:fill="auto"/>
          </w:tcPr>
          <w:p w14:paraId="1A1D8CCD" w14:textId="508E6849" w:rsidR="00A85F8D" w:rsidRPr="00EA774C" w:rsidRDefault="00E93C8F" w:rsidP="001C2640">
            <w:pPr>
              <w:jc w:val="center"/>
              <w:rPr>
                <w:b/>
                <w:iCs/>
              </w:rPr>
            </w:pPr>
            <w:r w:rsidRPr="00EA774C">
              <w:rPr>
                <w:b/>
                <w:iCs/>
              </w:rPr>
              <w:t>Žyma apie priimtas ir nepriimtas pastabas ir pasiūlymus</w:t>
            </w:r>
          </w:p>
        </w:tc>
      </w:tr>
      <w:tr w:rsidR="000D5403" w:rsidRPr="00EA774C" w14:paraId="5C724EB9" w14:textId="77777777" w:rsidTr="007337DC">
        <w:trPr>
          <w:trHeight w:val="71"/>
        </w:trPr>
        <w:tc>
          <w:tcPr>
            <w:tcW w:w="2011" w:type="dxa"/>
            <w:vMerge w:val="restart"/>
            <w:shd w:val="clear" w:color="auto" w:fill="auto"/>
          </w:tcPr>
          <w:p w14:paraId="53A3C98C" w14:textId="642486EA" w:rsidR="000D5403" w:rsidRPr="00EA774C" w:rsidRDefault="000D5403" w:rsidP="0054570A">
            <w:pPr>
              <w:jc w:val="both"/>
              <w:rPr>
                <w:color w:val="000000"/>
              </w:rPr>
            </w:pPr>
            <w:r>
              <w:rPr>
                <w:color w:val="000000"/>
              </w:rPr>
              <w:t xml:space="preserve">Vyriausybės kanceliarijos Teisės grupės </w:t>
            </w:r>
            <w:r w:rsidRPr="00EA774C">
              <w:rPr>
                <w:color w:val="000000"/>
              </w:rPr>
              <w:t>202</w:t>
            </w:r>
            <w:r>
              <w:rPr>
                <w:color w:val="000000"/>
              </w:rPr>
              <w:t>2</w:t>
            </w:r>
            <w:r w:rsidRPr="00EA774C">
              <w:rPr>
                <w:color w:val="000000"/>
              </w:rPr>
              <w:t xml:space="preserve"> m. </w:t>
            </w:r>
            <w:r>
              <w:rPr>
                <w:color w:val="000000"/>
              </w:rPr>
              <w:t>sausio</w:t>
            </w:r>
            <w:r w:rsidRPr="00EA774C">
              <w:rPr>
                <w:color w:val="000000"/>
              </w:rPr>
              <w:t xml:space="preserve"> </w:t>
            </w:r>
            <w:r>
              <w:rPr>
                <w:color w:val="000000"/>
              </w:rPr>
              <w:t>14 d</w:t>
            </w:r>
            <w:r w:rsidRPr="00EA774C">
              <w:rPr>
                <w:color w:val="000000"/>
              </w:rPr>
              <w:t>.</w:t>
            </w:r>
            <w:r>
              <w:rPr>
                <w:color w:val="000000"/>
              </w:rPr>
              <w:t xml:space="preserve"> išvada Nr. </w:t>
            </w:r>
            <w:r w:rsidRPr="0054570A">
              <w:rPr>
                <w:color w:val="000000"/>
              </w:rPr>
              <w:t>NV-125</w:t>
            </w:r>
          </w:p>
        </w:tc>
        <w:tc>
          <w:tcPr>
            <w:tcW w:w="6804" w:type="dxa"/>
            <w:shd w:val="clear" w:color="auto" w:fill="auto"/>
          </w:tcPr>
          <w:p w14:paraId="4D77F01A" w14:textId="0C0188F2" w:rsidR="000D5403" w:rsidRPr="00EA774C" w:rsidRDefault="000D5403" w:rsidP="007762AC">
            <w:pPr>
              <w:shd w:val="clear" w:color="auto" w:fill="FFFFFF"/>
              <w:tabs>
                <w:tab w:val="left" w:pos="142"/>
              </w:tabs>
              <w:jc w:val="both"/>
              <w:rPr>
                <w:color w:val="000000"/>
              </w:rPr>
            </w:pPr>
            <w:r>
              <w:rPr>
                <w:color w:val="000000"/>
              </w:rPr>
              <w:t xml:space="preserve">1.1. Civilinio proceso kodekso (toliau – </w:t>
            </w:r>
            <w:r w:rsidRPr="00555FA0">
              <w:rPr>
                <w:bCs/>
                <w:lang w:eastAsia="en-US"/>
              </w:rPr>
              <w:t>CPK</w:t>
            </w:r>
            <w:r>
              <w:rPr>
                <w:bCs/>
                <w:lang w:eastAsia="en-US"/>
              </w:rPr>
              <w:t>)</w:t>
            </w:r>
            <w:r w:rsidRPr="00555FA0">
              <w:rPr>
                <w:bCs/>
                <w:lang w:eastAsia="en-US"/>
              </w:rPr>
              <w:t xml:space="preserve"> 95</w:t>
            </w:r>
            <w:r w:rsidRPr="00555FA0">
              <w:rPr>
                <w:bCs/>
                <w:vertAlign w:val="superscript"/>
                <w:lang w:eastAsia="en-US"/>
              </w:rPr>
              <w:t>1</w:t>
            </w:r>
            <w:r>
              <w:rPr>
                <w:bCs/>
                <w:vertAlign w:val="superscript"/>
                <w:lang w:eastAsia="en-US"/>
              </w:rPr>
              <w:t xml:space="preserve"> </w:t>
            </w:r>
            <w:r w:rsidRPr="00555FA0">
              <w:rPr>
                <w:bCs/>
                <w:lang w:eastAsia="en-US"/>
              </w:rPr>
              <w:t>straip</w:t>
            </w:r>
            <w:r>
              <w:rPr>
                <w:bCs/>
                <w:lang w:eastAsia="en-US"/>
              </w:rPr>
              <w:t>s</w:t>
            </w:r>
            <w:r w:rsidRPr="00555FA0">
              <w:rPr>
                <w:bCs/>
                <w:lang w:eastAsia="en-US"/>
              </w:rPr>
              <w:t xml:space="preserve">nio 1 dalyje siūloma nustatyti, kad ,,Jei atsakovas &lt;...&gt; siekdamas pakenkti atsakovo vykdomai visuomenės informavimo ar </w:t>
            </w:r>
            <w:r w:rsidRPr="00555FA0">
              <w:rPr>
                <w:b/>
                <w:lang w:eastAsia="en-US"/>
              </w:rPr>
              <w:t xml:space="preserve">kitokiai veiklai, susijusiai su viešojo intereso tenkinimu ar gynimu, </w:t>
            </w:r>
            <w:r w:rsidRPr="00555FA0">
              <w:rPr>
                <w:bCs/>
                <w:lang w:eastAsia="en-US"/>
              </w:rPr>
              <w:t>ar atgrasyti atsakovą nuo šios veiklos,</w:t>
            </w:r>
            <w:r w:rsidRPr="00555FA0">
              <w:rPr>
                <w:b/>
                <w:lang w:eastAsia="en-US"/>
              </w:rPr>
              <w:t xml:space="preserve"> </w:t>
            </w:r>
            <w:r w:rsidRPr="00555FA0">
              <w:rPr>
                <w:bCs/>
                <w:lang w:eastAsia="en-US"/>
              </w:rPr>
              <w:t>jis turi teisę atsiliepime į ieškinį pateikti prašymą teismui taikyti šio straipsnio 2 dalyje nurodytą procedūrą“. Vertinant Projekto teikime nurodomą naujo CPK 95</w:t>
            </w:r>
            <w:r w:rsidRPr="00555FA0">
              <w:rPr>
                <w:bCs/>
                <w:vertAlign w:val="superscript"/>
                <w:lang w:eastAsia="en-US"/>
              </w:rPr>
              <w:t xml:space="preserve">1 </w:t>
            </w:r>
            <w:r w:rsidRPr="00555FA0">
              <w:rPr>
                <w:bCs/>
                <w:lang w:eastAsia="en-US"/>
              </w:rPr>
              <w:t>straipsnio tikslą – užkirsti kelią nesąžiningiems ieškiniams, kuriais siekiama ne apginti pažeistus ieškovo interesus, o tiesiog pakenkti atsakovo (pavyzdžiui, žurnalisto) vykdomai veiklai, susijusiai su viešojo intereso tenkinimu ar gynimu, ir siūlomą teisės normos formuluotę, kyla abejonių dėl tokios teisės normos adresato, t. y. ar ši teisės norma adresuojama tik subjektams, kurie vykdo visuomenės informavimo ir su ja susijusią veiką, ar ir kitiems subjektams, turintiems teisę</w:t>
            </w:r>
            <w:r w:rsidRPr="00555FA0">
              <w:rPr>
                <w:rFonts w:eastAsia="Calibri"/>
                <w:b/>
                <w:lang w:eastAsia="en-US"/>
              </w:rPr>
              <w:t xml:space="preserve"> </w:t>
            </w:r>
            <w:r w:rsidRPr="00555FA0">
              <w:rPr>
                <w:rFonts w:eastAsia="Calibri"/>
                <w:bCs/>
                <w:lang w:eastAsia="en-US"/>
              </w:rPr>
              <w:t>pareikšti ieškinį ar pareiškimą viešajam interesui</w:t>
            </w:r>
            <w:r w:rsidRPr="00555FA0">
              <w:rPr>
                <w:bCs/>
                <w:lang w:eastAsia="en-US"/>
              </w:rPr>
              <w:t xml:space="preserve"> ginti (pavyzdžiui, nurodytiems CPK 49 straipsnyje). Siekiant teisės normos aiškumo ir tinkamo taikymo praktikoje siūlytina CPK  95</w:t>
            </w:r>
            <w:r w:rsidRPr="00555FA0">
              <w:rPr>
                <w:bCs/>
                <w:vertAlign w:val="superscript"/>
                <w:lang w:eastAsia="en-US"/>
              </w:rPr>
              <w:t>1  </w:t>
            </w:r>
            <w:r w:rsidRPr="00555FA0">
              <w:rPr>
                <w:bCs/>
                <w:lang w:eastAsia="en-US"/>
              </w:rPr>
              <w:t>straipsnio 1 dalies normos turinį patikslinti.</w:t>
            </w:r>
          </w:p>
        </w:tc>
        <w:tc>
          <w:tcPr>
            <w:tcW w:w="6521" w:type="dxa"/>
            <w:shd w:val="clear" w:color="auto" w:fill="auto"/>
          </w:tcPr>
          <w:p w14:paraId="53721BF3" w14:textId="04AC1704" w:rsidR="000D5403" w:rsidRPr="003445BE" w:rsidRDefault="000D5403" w:rsidP="004B3A4C">
            <w:pPr>
              <w:jc w:val="both"/>
              <w:rPr>
                <w:b/>
                <w:bCs/>
              </w:rPr>
            </w:pPr>
            <w:r>
              <w:rPr>
                <w:b/>
                <w:bCs/>
              </w:rPr>
              <w:t>Nea</w:t>
            </w:r>
            <w:r w:rsidRPr="003445BE">
              <w:rPr>
                <w:b/>
                <w:bCs/>
              </w:rPr>
              <w:t>tsižvelgta.</w:t>
            </w:r>
          </w:p>
          <w:p w14:paraId="17959CB3" w14:textId="31D9D47E" w:rsidR="000D5403" w:rsidRDefault="000D5403" w:rsidP="00F63FEF">
            <w:pPr>
              <w:pStyle w:val="gmail-msocommenttext"/>
              <w:spacing w:before="0" w:beforeAutospacing="0" w:after="0" w:afterAutospacing="0"/>
              <w:jc w:val="both"/>
              <w:rPr>
                <w:bCs/>
                <w:lang w:eastAsia="en-US"/>
              </w:rPr>
            </w:pPr>
            <w:r>
              <w:rPr>
                <w:color w:val="000000"/>
              </w:rPr>
              <w:t xml:space="preserve">CPK </w:t>
            </w:r>
            <w:r w:rsidRPr="00555FA0">
              <w:rPr>
                <w:bCs/>
                <w:lang w:eastAsia="en-US"/>
              </w:rPr>
              <w:t>95</w:t>
            </w:r>
            <w:r w:rsidRPr="00555FA0">
              <w:rPr>
                <w:bCs/>
                <w:vertAlign w:val="superscript"/>
                <w:lang w:eastAsia="en-US"/>
              </w:rPr>
              <w:t>1</w:t>
            </w:r>
            <w:r>
              <w:rPr>
                <w:bCs/>
                <w:vertAlign w:val="superscript"/>
                <w:lang w:eastAsia="en-US"/>
              </w:rPr>
              <w:t xml:space="preserve"> </w:t>
            </w:r>
            <w:r w:rsidRPr="00555FA0">
              <w:rPr>
                <w:bCs/>
                <w:lang w:eastAsia="en-US"/>
              </w:rPr>
              <w:t>straip</w:t>
            </w:r>
            <w:r>
              <w:rPr>
                <w:bCs/>
                <w:lang w:eastAsia="en-US"/>
              </w:rPr>
              <w:t>s</w:t>
            </w:r>
            <w:r w:rsidRPr="00555FA0">
              <w:rPr>
                <w:bCs/>
                <w:lang w:eastAsia="en-US"/>
              </w:rPr>
              <w:t xml:space="preserve">nio 1 dalyje </w:t>
            </w:r>
            <w:r>
              <w:rPr>
                <w:bCs/>
                <w:lang w:eastAsia="en-US"/>
              </w:rPr>
              <w:t xml:space="preserve">nurodoma </w:t>
            </w:r>
            <w:r w:rsidRPr="00D61910">
              <w:rPr>
                <w:bCs/>
                <w:lang w:eastAsia="en-US"/>
              </w:rPr>
              <w:t xml:space="preserve">atsakovo vykdoma visuomenės informavimo </w:t>
            </w:r>
            <w:r w:rsidRPr="00D61910">
              <w:rPr>
                <w:bCs/>
                <w:i/>
                <w:iCs/>
                <w:lang w:eastAsia="en-US"/>
              </w:rPr>
              <w:t>ar kitokia veikla, susijusi su viešojo intereso tenkinimu ar gynimu</w:t>
            </w:r>
            <w:r>
              <w:rPr>
                <w:bCs/>
                <w:lang w:eastAsia="en-US"/>
              </w:rPr>
              <w:t xml:space="preserve">. </w:t>
            </w:r>
            <w:r w:rsidRPr="00D61910">
              <w:rPr>
                <w:bCs/>
                <w:lang w:eastAsia="en-US"/>
              </w:rPr>
              <w:t xml:space="preserve">Visuomenės informavimo sritis </w:t>
            </w:r>
            <w:r>
              <w:rPr>
                <w:bCs/>
                <w:lang w:eastAsia="en-US"/>
              </w:rPr>
              <w:t xml:space="preserve">normoje </w:t>
            </w:r>
            <w:r w:rsidRPr="00D61910">
              <w:rPr>
                <w:bCs/>
                <w:lang w:eastAsia="en-US"/>
              </w:rPr>
              <w:t>atskirai išskirta kaip demokratinėje visuomenėje itin reikšminga sritis, kurioje gali pasireikšti kritikuojamų asmenų siekis nutildyti kritiką, sukelti visuomenę informuojantiems subjektams neigiamų pasekmių (įskaitant turtines pasekmes). Kita vertus, ši procedūra galės būti taikoma ir kitose (</w:t>
            </w:r>
            <w:r w:rsidR="001578FB">
              <w:rPr>
                <w:bCs/>
                <w:lang w:eastAsia="en-US"/>
              </w:rPr>
              <w:t xml:space="preserve">CPK projekte </w:t>
            </w:r>
            <w:r w:rsidRPr="00D61910">
              <w:rPr>
                <w:bCs/>
                <w:lang w:eastAsia="en-US"/>
              </w:rPr>
              <w:t>tiesiogiai neapibrėžtose) srityse, susijusiose su viešojo intereso tenkinimu ir gynimu – pavyzdžiui, kai atsakovas aktyviai veikia aplinkosaugos, vartotojų apsaugos ar kitose visuomenei reikšmingose srityse.</w:t>
            </w:r>
            <w:r>
              <w:rPr>
                <w:bCs/>
                <w:lang w:eastAsia="en-US"/>
              </w:rPr>
              <w:t xml:space="preserve"> Taigi, kadangi </w:t>
            </w:r>
            <w:r>
              <w:rPr>
                <w:color w:val="000000"/>
              </w:rPr>
              <w:t xml:space="preserve">CPK </w:t>
            </w:r>
            <w:r w:rsidRPr="00555FA0">
              <w:rPr>
                <w:bCs/>
                <w:lang w:eastAsia="en-US"/>
              </w:rPr>
              <w:t>95</w:t>
            </w:r>
            <w:r w:rsidRPr="00555FA0">
              <w:rPr>
                <w:bCs/>
                <w:vertAlign w:val="superscript"/>
                <w:lang w:eastAsia="en-US"/>
              </w:rPr>
              <w:t>1</w:t>
            </w:r>
            <w:r>
              <w:rPr>
                <w:bCs/>
                <w:vertAlign w:val="superscript"/>
                <w:lang w:eastAsia="en-US"/>
              </w:rPr>
              <w:t xml:space="preserve"> </w:t>
            </w:r>
            <w:r w:rsidRPr="00555FA0">
              <w:rPr>
                <w:bCs/>
                <w:lang w:eastAsia="en-US"/>
              </w:rPr>
              <w:t>straip</w:t>
            </w:r>
            <w:r>
              <w:rPr>
                <w:bCs/>
                <w:lang w:eastAsia="en-US"/>
              </w:rPr>
              <w:t>s</w:t>
            </w:r>
            <w:r w:rsidRPr="00555FA0">
              <w:rPr>
                <w:bCs/>
                <w:lang w:eastAsia="en-US"/>
              </w:rPr>
              <w:t xml:space="preserve">nio 1 dalyje </w:t>
            </w:r>
            <w:r>
              <w:rPr>
                <w:bCs/>
                <w:lang w:eastAsia="en-US"/>
              </w:rPr>
              <w:t xml:space="preserve">nurodoma aiški alternatyva – </w:t>
            </w:r>
            <w:r w:rsidRPr="00A14537">
              <w:rPr>
                <w:bCs/>
                <w:i/>
                <w:iCs/>
                <w:lang w:eastAsia="en-US"/>
              </w:rPr>
              <w:t>kitokia veikla</w:t>
            </w:r>
            <w:r>
              <w:rPr>
                <w:bCs/>
                <w:lang w:eastAsia="en-US"/>
              </w:rPr>
              <w:t xml:space="preserve">, susijusi su viešojo intereso tenkinimu ar gynimu, yra aišku, kad norma adresuojama </w:t>
            </w:r>
            <w:r w:rsidRPr="001578FB">
              <w:rPr>
                <w:bCs/>
                <w:i/>
                <w:iCs/>
                <w:lang w:eastAsia="en-US"/>
              </w:rPr>
              <w:t>bet kuriems subjektams</w:t>
            </w:r>
            <w:r>
              <w:rPr>
                <w:bCs/>
                <w:lang w:eastAsia="en-US"/>
              </w:rPr>
              <w:t>, kurių veikla susijusi su viešojo intereso tenkinimu ar gynimu. Pažymėtina, kad aptariamoje normoje nekalbama tik apie subjektus, kuriems įstatymai suteikia teisę ginti viešąjį interesą (</w:t>
            </w:r>
            <w:r w:rsidRPr="00CB5C33">
              <w:rPr>
                <w:bCs/>
                <w:lang w:eastAsia="en-US"/>
              </w:rPr>
              <w:t>pavyzdžiui, nurodyt</w:t>
            </w:r>
            <w:r>
              <w:rPr>
                <w:bCs/>
                <w:lang w:eastAsia="en-US"/>
              </w:rPr>
              <w:t>u</w:t>
            </w:r>
            <w:r w:rsidRPr="00CB5C33">
              <w:rPr>
                <w:bCs/>
                <w:lang w:eastAsia="en-US"/>
              </w:rPr>
              <w:t>s CPK 49 straipsnyje)</w:t>
            </w:r>
            <w:r>
              <w:rPr>
                <w:bCs/>
                <w:lang w:eastAsia="en-US"/>
              </w:rPr>
              <w:t xml:space="preserve">, šiuo atveju norma yra platesnė – apima ir su viešojo intereso tenkinimu, gynimu </w:t>
            </w:r>
            <w:r w:rsidRPr="0093044C">
              <w:rPr>
                <w:bCs/>
                <w:i/>
                <w:iCs/>
                <w:lang w:eastAsia="en-US"/>
              </w:rPr>
              <w:t xml:space="preserve">susijusias </w:t>
            </w:r>
            <w:r w:rsidR="001578FB">
              <w:rPr>
                <w:bCs/>
                <w:i/>
                <w:iCs/>
                <w:lang w:eastAsia="en-US"/>
              </w:rPr>
              <w:t xml:space="preserve">kitokias </w:t>
            </w:r>
            <w:r w:rsidRPr="0093044C">
              <w:rPr>
                <w:bCs/>
                <w:i/>
                <w:iCs/>
                <w:lang w:eastAsia="en-US"/>
              </w:rPr>
              <w:t>veiklas</w:t>
            </w:r>
            <w:r>
              <w:rPr>
                <w:bCs/>
                <w:lang w:eastAsia="en-US"/>
              </w:rPr>
              <w:t xml:space="preserve">, o konkrečiu atveju teismas turėtų diskreciją vertinti, ar atsakovo veikla turi </w:t>
            </w:r>
            <w:r w:rsidR="000C67A6">
              <w:rPr>
                <w:bCs/>
                <w:lang w:eastAsia="en-US"/>
              </w:rPr>
              <w:t>šių požymių</w:t>
            </w:r>
            <w:r>
              <w:rPr>
                <w:bCs/>
                <w:lang w:eastAsia="en-US"/>
              </w:rPr>
              <w:t>.</w:t>
            </w:r>
          </w:p>
          <w:p w14:paraId="0D42F309" w14:textId="2C44CC47" w:rsidR="001578FB" w:rsidRPr="006C6496" w:rsidRDefault="001578FB" w:rsidP="00F63FEF">
            <w:pPr>
              <w:pStyle w:val="gmail-msocommenttext"/>
              <w:spacing w:before="0" w:beforeAutospacing="0" w:after="0" w:afterAutospacing="0"/>
              <w:jc w:val="both"/>
              <w:rPr>
                <w:bCs/>
                <w:lang w:eastAsia="en-US"/>
              </w:rPr>
            </w:pPr>
            <w:r>
              <w:rPr>
                <w:bCs/>
                <w:lang w:eastAsia="en-US"/>
              </w:rPr>
              <w:t>Pastebėtina, kad CPK projektu kaip tik ir yra siekiama suteikti teisinės gynybos priemones kuo platesniam subjektų ratui, todėl aptariama projekto norma neturėtų būti siaurinama ar kitaip keičiama.</w:t>
            </w:r>
          </w:p>
        </w:tc>
      </w:tr>
      <w:tr w:rsidR="000D5403" w:rsidRPr="00EA774C" w14:paraId="621CF870" w14:textId="77777777" w:rsidTr="007337DC">
        <w:trPr>
          <w:trHeight w:val="71"/>
        </w:trPr>
        <w:tc>
          <w:tcPr>
            <w:tcW w:w="2011" w:type="dxa"/>
            <w:vMerge/>
            <w:shd w:val="clear" w:color="auto" w:fill="auto"/>
          </w:tcPr>
          <w:p w14:paraId="3F4FD1B7" w14:textId="77777777" w:rsidR="000D5403" w:rsidRDefault="000D5403" w:rsidP="0054570A">
            <w:pPr>
              <w:jc w:val="both"/>
              <w:rPr>
                <w:color w:val="000000"/>
              </w:rPr>
            </w:pPr>
          </w:p>
        </w:tc>
        <w:tc>
          <w:tcPr>
            <w:tcW w:w="6804" w:type="dxa"/>
            <w:shd w:val="clear" w:color="auto" w:fill="auto"/>
          </w:tcPr>
          <w:p w14:paraId="77E6C2F7" w14:textId="77777777" w:rsidR="000D5403" w:rsidRDefault="000D5403" w:rsidP="00DA5D0B">
            <w:pPr>
              <w:shd w:val="clear" w:color="auto" w:fill="FFFFFF"/>
              <w:tabs>
                <w:tab w:val="left" w:pos="142"/>
              </w:tabs>
              <w:jc w:val="both"/>
              <w:rPr>
                <w:color w:val="000000"/>
              </w:rPr>
            </w:pPr>
            <w:r>
              <w:rPr>
                <w:color w:val="000000"/>
              </w:rPr>
              <w:t xml:space="preserve">1.2. ir 1.3. &lt;...&gt; </w:t>
            </w:r>
            <w:r w:rsidRPr="0093044C">
              <w:rPr>
                <w:color w:val="000000"/>
              </w:rPr>
              <w:t xml:space="preserve">Taigi šioje teisės normoje siūloma nustatyti dvi alternatyvias ieškinio palikimo nenagrinėtu sąlygas: 1) ieškovui </w:t>
            </w:r>
            <w:r w:rsidRPr="0093044C">
              <w:rPr>
                <w:color w:val="000000"/>
              </w:rPr>
              <w:lastRenderedPageBreak/>
              <w:t>nustatytu laiku nepateikus atsikirtimų į atsakovo prašymą; arba 2) teismui nustačius, kad ieškovas nesąžiningai pareiškė nepagrįstą ieškinį. Toks teisinis reglamentavimas iš esmės įtvirtina teisinę prezumpciją, vadovaujantis kuria vien tik ieškovo atsiliepimo į atsakovo prašymą nepateikimas, teismui nevertinant ieškinio pagrįstumo, būtų teisinė vada (sąlyga) ieškinį palikti nenagrinėtu.</w:t>
            </w:r>
            <w:r>
              <w:rPr>
                <w:color w:val="000000"/>
              </w:rPr>
              <w:t xml:space="preserve"> &lt;...&gt; </w:t>
            </w:r>
            <w:r w:rsidRPr="0093044C">
              <w:rPr>
                <w:color w:val="000000"/>
              </w:rPr>
              <w:t>Taigi atsikirtimo nepateikimas neturėtų būti teisinis pagrindas ieškinio nenagrinėti. Todėl siūlytina šioje teisės normoje nustatyti ne alternatyvią, o kumuliatyvinę ieškinio palikimo nenagrinėtu sąlygą.</w:t>
            </w:r>
          </w:p>
          <w:p w14:paraId="6AD2758A" w14:textId="77777777" w:rsidR="000D5403" w:rsidRDefault="000D5403" w:rsidP="00DA5D0B">
            <w:pPr>
              <w:pStyle w:val="ListParagraph"/>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0" w:beforeAutospacing="0" w:after="0" w:afterAutospacing="0"/>
              <w:jc w:val="both"/>
            </w:pPr>
            <w:r w:rsidRPr="00C023C6">
              <w:t>Taip pat atsižvelgiant į teismų praktiką</w:t>
            </w:r>
            <w:r>
              <w:t>,</w:t>
            </w:r>
            <w:r w:rsidRPr="00C023C6">
              <w:t xml:space="preserve"> pagal kurią </w:t>
            </w:r>
            <w:r w:rsidRPr="00C023C6">
              <w:rPr>
                <w:color w:val="000000"/>
              </w:rPr>
              <w:t>įstatyme nustatytos teisės įgyvendinimas gali būti laikomas piktnaudžiavimu tik išimtiniais atvejais, kai tokia teise akivaizdžiai naudojamasi ne pagal jos paskirtį (Lietuvos Aukščiausiojo Teismo 2017 m. vasario 1 d. nutartis civilinėje byloje 3K-3-3-695/2017 ir joje nurodyta teismų praktika)</w:t>
            </w:r>
            <w:bookmarkStart w:id="0" w:name="pn47d71d81-1293-42f6-8b6b-ba82ee021cff"/>
            <w:bookmarkStart w:id="1" w:name="pna6ea0537-08b5-4086-93e0-f3b33a079937"/>
            <w:bookmarkEnd w:id="0"/>
            <w:bookmarkEnd w:id="1"/>
            <w:r w:rsidRPr="00C023C6">
              <w:rPr>
                <w:color w:val="000000"/>
              </w:rPr>
              <w:t xml:space="preserve"> siūlytina šią normą papildyti</w:t>
            </w:r>
            <w:r w:rsidRPr="00C023C6">
              <w:t xml:space="preserve">, nustatant, kad tik aiškiai nepagrįsto ieškinio pareiškimas sukelia joje nustatomas teisines pasekmes – ieškinio palikimą nenagrinėtu. Šiame kontekste pastebėtina, kad tokio pobūdžio formuluotės įvirtintos ir kituose CPK normose (pavyzdžiui, CPK 435, 440 straipsniai). </w:t>
            </w:r>
          </w:p>
          <w:p w14:paraId="742D333E" w14:textId="26F41A0F" w:rsidR="000D5403" w:rsidRDefault="000D5403" w:rsidP="00DA5D0B">
            <w:pPr>
              <w:shd w:val="clear" w:color="auto" w:fill="FFFFFF"/>
              <w:tabs>
                <w:tab w:val="left" w:pos="142"/>
              </w:tabs>
              <w:jc w:val="both"/>
              <w:rPr>
                <w:color w:val="000000"/>
              </w:rPr>
            </w:pPr>
            <w:r w:rsidRPr="00C023C6">
              <w:t xml:space="preserve">Taigi </w:t>
            </w:r>
            <w:r>
              <w:t xml:space="preserve">apibendrinant, tai kas išdėstyta, </w:t>
            </w:r>
            <w:r w:rsidRPr="00C023C6">
              <w:t xml:space="preserve">siūlytina patikslinti CPK  </w:t>
            </w:r>
            <w:r w:rsidRPr="00C023C6">
              <w:rPr>
                <w:bCs/>
              </w:rPr>
              <w:t>95</w:t>
            </w:r>
            <w:r w:rsidRPr="00C023C6">
              <w:rPr>
                <w:bCs/>
                <w:vertAlign w:val="superscript"/>
              </w:rPr>
              <w:t xml:space="preserve">1 </w:t>
            </w:r>
            <w:r w:rsidRPr="00C023C6">
              <w:rPr>
                <w:bCs/>
              </w:rPr>
              <w:t>straipsnio 3 dalies formuluotę, joje atitinkamai nustatant</w:t>
            </w:r>
            <w:r w:rsidRPr="00C023C6">
              <w:t xml:space="preserve">: ,,Jei ieškovas per šio straipsnio 2 dalyje nustatytą terminą nepateikia atsikirtimų į atsakovo prašymą </w:t>
            </w:r>
            <w:r w:rsidRPr="00C023C6">
              <w:rPr>
                <w:b/>
                <w:bCs/>
              </w:rPr>
              <w:t>ir</w:t>
            </w:r>
            <w:r w:rsidRPr="00C023C6">
              <w:t xml:space="preserve"> teismas nustato, kad ieškovas nesąžiningai pareiškė </w:t>
            </w:r>
            <w:r w:rsidRPr="00C023C6">
              <w:rPr>
                <w:b/>
                <w:bCs/>
              </w:rPr>
              <w:t>aiškiai</w:t>
            </w:r>
            <w:r w:rsidRPr="00C023C6">
              <w:t xml:space="preserve"> nepagrįstą ieškinį, &lt;...&gt;, ieškinys paliekamas nenagrinėtas“.</w:t>
            </w:r>
          </w:p>
        </w:tc>
        <w:tc>
          <w:tcPr>
            <w:tcW w:w="6521" w:type="dxa"/>
            <w:shd w:val="clear" w:color="auto" w:fill="auto"/>
          </w:tcPr>
          <w:p w14:paraId="76C12F5D" w14:textId="77777777" w:rsidR="000D5403" w:rsidRDefault="000D5403" w:rsidP="004B3A4C">
            <w:pPr>
              <w:jc w:val="both"/>
              <w:rPr>
                <w:b/>
                <w:bCs/>
              </w:rPr>
            </w:pPr>
            <w:r w:rsidRPr="00A127C7">
              <w:rPr>
                <w:b/>
                <w:bCs/>
              </w:rPr>
              <w:lastRenderedPageBreak/>
              <w:t>Neatsižvelgta.</w:t>
            </w:r>
          </w:p>
          <w:p w14:paraId="0249BF40" w14:textId="254FD622" w:rsidR="00766611" w:rsidRDefault="000D5403" w:rsidP="004B3A4C">
            <w:pPr>
              <w:jc w:val="both"/>
              <w:rPr>
                <w:bCs/>
                <w:lang w:eastAsia="en-US"/>
              </w:rPr>
            </w:pPr>
            <w:r>
              <w:lastRenderedPageBreak/>
              <w:t xml:space="preserve">Pagal siūlomą CPK </w:t>
            </w:r>
            <w:r w:rsidRPr="00555FA0">
              <w:rPr>
                <w:bCs/>
                <w:lang w:eastAsia="en-US"/>
              </w:rPr>
              <w:t>95</w:t>
            </w:r>
            <w:r w:rsidRPr="00555FA0">
              <w:rPr>
                <w:bCs/>
                <w:vertAlign w:val="superscript"/>
                <w:lang w:eastAsia="en-US"/>
              </w:rPr>
              <w:t>1</w:t>
            </w:r>
            <w:r>
              <w:rPr>
                <w:bCs/>
                <w:vertAlign w:val="superscript"/>
                <w:lang w:eastAsia="en-US"/>
              </w:rPr>
              <w:t xml:space="preserve"> </w:t>
            </w:r>
            <w:r w:rsidRPr="00555FA0">
              <w:rPr>
                <w:bCs/>
                <w:lang w:eastAsia="en-US"/>
              </w:rPr>
              <w:t>straip</w:t>
            </w:r>
            <w:r>
              <w:rPr>
                <w:bCs/>
                <w:lang w:eastAsia="en-US"/>
              </w:rPr>
              <w:t>s</w:t>
            </w:r>
            <w:r w:rsidRPr="00555FA0">
              <w:rPr>
                <w:bCs/>
                <w:lang w:eastAsia="en-US"/>
              </w:rPr>
              <w:t>nio</w:t>
            </w:r>
            <w:r>
              <w:rPr>
                <w:bCs/>
                <w:lang w:eastAsia="en-US"/>
              </w:rPr>
              <w:t xml:space="preserve"> 3 dalies formuluotę ieškinio palikimas nenagrinėtu nelaikytinas teisine prezumpcija ar įrodymu, kad pasitvirtino atsakovo atsiliepime į ieškinį nurodytos aplinkybės. Ieškinio palikimas nenagrinėtu </w:t>
            </w:r>
            <w:r w:rsidR="00855048">
              <w:rPr>
                <w:bCs/>
                <w:lang w:eastAsia="en-US"/>
              </w:rPr>
              <w:t xml:space="preserve">šiuo atveju būtų </w:t>
            </w:r>
            <w:r>
              <w:rPr>
                <w:bCs/>
                <w:lang w:eastAsia="en-US"/>
              </w:rPr>
              <w:t>procesinė</w:t>
            </w:r>
            <w:r w:rsidR="0067756F">
              <w:rPr>
                <w:bCs/>
                <w:lang w:eastAsia="en-US"/>
              </w:rPr>
              <w:t xml:space="preserve">, </w:t>
            </w:r>
            <w:r w:rsidR="0067756F" w:rsidRPr="0067756F">
              <w:rPr>
                <w:bCs/>
                <w:i/>
                <w:iCs/>
                <w:lang w:eastAsia="en-US"/>
              </w:rPr>
              <w:t>pirma,</w:t>
            </w:r>
            <w:r>
              <w:rPr>
                <w:bCs/>
                <w:lang w:eastAsia="en-US"/>
              </w:rPr>
              <w:t xml:space="preserve"> ieškovo </w:t>
            </w:r>
            <w:r w:rsidR="00855048">
              <w:rPr>
                <w:bCs/>
                <w:lang w:eastAsia="en-US"/>
              </w:rPr>
              <w:t xml:space="preserve">piktnaudžiavimo procesu </w:t>
            </w:r>
            <w:r w:rsidR="00855048" w:rsidRPr="0067756F">
              <w:rPr>
                <w:bCs/>
                <w:i/>
                <w:iCs/>
                <w:lang w:eastAsia="en-US"/>
              </w:rPr>
              <w:t>ar</w:t>
            </w:r>
            <w:r w:rsidR="0067756F">
              <w:rPr>
                <w:bCs/>
                <w:i/>
                <w:iCs/>
                <w:lang w:eastAsia="en-US"/>
              </w:rPr>
              <w:t>, antra,</w:t>
            </w:r>
            <w:r w:rsidR="00855048" w:rsidRPr="0067756F">
              <w:rPr>
                <w:bCs/>
                <w:i/>
                <w:iCs/>
                <w:lang w:eastAsia="en-US"/>
              </w:rPr>
              <w:t xml:space="preserve"> </w:t>
            </w:r>
            <w:r>
              <w:rPr>
                <w:bCs/>
                <w:lang w:eastAsia="en-US"/>
              </w:rPr>
              <w:t>pasyvumo procese pasekmė. Pastebėtina, kad galiojančiame CPK taip pat yra analogiškų nuostatų, kai ieškovo pasyvumas lemia ieškinio palikimą nenagrinėtu (pavyzdžiui, CPK 230 straipsnio 3 dalis, 246 straipsnio 1 dalis), tačiau tai nereiškia, kad ieškinys laikomas atmestu.</w:t>
            </w:r>
            <w:r w:rsidR="00906284">
              <w:rPr>
                <w:bCs/>
                <w:lang w:eastAsia="en-US"/>
              </w:rPr>
              <w:t xml:space="preserve"> Papildomai atkreiptinas dėmesys ir į tai, kad, prieš prašydamas ieškovo pateikti atsikirtimus, </w:t>
            </w:r>
            <w:r w:rsidR="00906284" w:rsidRPr="00906284">
              <w:rPr>
                <w:bCs/>
                <w:i/>
                <w:iCs/>
                <w:lang w:eastAsia="en-US"/>
              </w:rPr>
              <w:t>teismas jau bū</w:t>
            </w:r>
            <w:r w:rsidR="00902E52">
              <w:rPr>
                <w:bCs/>
                <w:i/>
                <w:iCs/>
                <w:lang w:eastAsia="en-US"/>
              </w:rPr>
              <w:t>tų</w:t>
            </w:r>
            <w:r w:rsidR="00906284" w:rsidRPr="00906284">
              <w:rPr>
                <w:bCs/>
                <w:i/>
                <w:iCs/>
                <w:lang w:eastAsia="en-US"/>
              </w:rPr>
              <w:t xml:space="preserve"> preliminariai įsitikinęs atsakovo prašymo pagrįstumu</w:t>
            </w:r>
            <w:r w:rsidR="00906284">
              <w:rPr>
                <w:bCs/>
                <w:lang w:eastAsia="en-US"/>
              </w:rPr>
              <w:t xml:space="preserve"> (CPK </w:t>
            </w:r>
            <w:r w:rsidR="00906284" w:rsidRPr="00555FA0">
              <w:rPr>
                <w:bCs/>
                <w:lang w:eastAsia="en-US"/>
              </w:rPr>
              <w:t>95</w:t>
            </w:r>
            <w:r w:rsidR="00906284" w:rsidRPr="00555FA0">
              <w:rPr>
                <w:bCs/>
                <w:vertAlign w:val="superscript"/>
                <w:lang w:eastAsia="en-US"/>
              </w:rPr>
              <w:t>1</w:t>
            </w:r>
            <w:r w:rsidR="00906284">
              <w:rPr>
                <w:bCs/>
                <w:vertAlign w:val="superscript"/>
                <w:lang w:eastAsia="en-US"/>
              </w:rPr>
              <w:t xml:space="preserve"> </w:t>
            </w:r>
            <w:r w:rsidR="00906284" w:rsidRPr="00555FA0">
              <w:rPr>
                <w:bCs/>
                <w:lang w:eastAsia="en-US"/>
              </w:rPr>
              <w:t>straip</w:t>
            </w:r>
            <w:r w:rsidR="00906284">
              <w:rPr>
                <w:bCs/>
                <w:lang w:eastAsia="en-US"/>
              </w:rPr>
              <w:t>s</w:t>
            </w:r>
            <w:r w:rsidR="00906284" w:rsidRPr="00555FA0">
              <w:rPr>
                <w:bCs/>
                <w:lang w:eastAsia="en-US"/>
              </w:rPr>
              <w:t>nio</w:t>
            </w:r>
            <w:r w:rsidR="00906284">
              <w:rPr>
                <w:bCs/>
                <w:lang w:eastAsia="en-US"/>
              </w:rPr>
              <w:t xml:space="preserve"> 2 dalis).</w:t>
            </w:r>
          </w:p>
          <w:p w14:paraId="29D0DD77" w14:textId="029EC960" w:rsidR="00855048" w:rsidRDefault="000D5403" w:rsidP="004B3A4C">
            <w:pPr>
              <w:jc w:val="both"/>
              <w:rPr>
                <w:bCs/>
                <w:lang w:eastAsia="en-US"/>
              </w:rPr>
            </w:pPr>
            <w:r>
              <w:rPr>
                <w:bCs/>
                <w:lang w:eastAsia="en-US"/>
              </w:rPr>
              <w:t xml:space="preserve">Jei CPK būtų </w:t>
            </w:r>
            <w:r w:rsidRPr="007E39E9">
              <w:rPr>
                <w:bCs/>
                <w:lang w:eastAsia="en-US"/>
              </w:rPr>
              <w:t>nustatyt</w:t>
            </w:r>
            <w:r>
              <w:rPr>
                <w:bCs/>
                <w:lang w:eastAsia="en-US"/>
              </w:rPr>
              <w:t>os</w:t>
            </w:r>
            <w:r w:rsidRPr="007E39E9">
              <w:rPr>
                <w:bCs/>
                <w:lang w:eastAsia="en-US"/>
              </w:rPr>
              <w:t xml:space="preserve"> ne alternatyvi</w:t>
            </w:r>
            <w:r>
              <w:rPr>
                <w:bCs/>
                <w:lang w:eastAsia="en-US"/>
              </w:rPr>
              <w:t>os</w:t>
            </w:r>
            <w:r w:rsidRPr="007E39E9">
              <w:rPr>
                <w:bCs/>
                <w:lang w:eastAsia="en-US"/>
              </w:rPr>
              <w:t>, o kumuliatyvin</w:t>
            </w:r>
            <w:r>
              <w:rPr>
                <w:bCs/>
                <w:lang w:eastAsia="en-US"/>
              </w:rPr>
              <w:t>ės</w:t>
            </w:r>
            <w:r w:rsidRPr="007E39E9">
              <w:rPr>
                <w:bCs/>
                <w:lang w:eastAsia="en-US"/>
              </w:rPr>
              <w:t xml:space="preserve"> ieškinio palikimo nenagrinėtu sąlyg</w:t>
            </w:r>
            <w:r>
              <w:rPr>
                <w:bCs/>
                <w:lang w:eastAsia="en-US"/>
              </w:rPr>
              <w:t xml:space="preserve">os, ieškovui nepateikus </w:t>
            </w:r>
            <w:r w:rsidRPr="007E39E9">
              <w:rPr>
                <w:bCs/>
                <w:lang w:eastAsia="en-US"/>
              </w:rPr>
              <w:t>atsikirtimų į atsakovo prašymą</w:t>
            </w:r>
            <w:r>
              <w:rPr>
                <w:bCs/>
                <w:lang w:eastAsia="en-US"/>
              </w:rPr>
              <w:t>, teismas atsidurtų aklavietėje – turėtų</w:t>
            </w:r>
            <w:r w:rsidR="00902E52">
              <w:rPr>
                <w:bCs/>
                <w:lang w:eastAsia="en-US"/>
              </w:rPr>
              <w:t xml:space="preserve"> visais atvejais</w:t>
            </w:r>
            <w:r>
              <w:rPr>
                <w:bCs/>
                <w:lang w:eastAsia="en-US"/>
              </w:rPr>
              <w:t xml:space="preserve"> toliau tęsti bylos nagrinėjimą, o siūloma įtvirtinti nauja </w:t>
            </w:r>
            <w:r w:rsidRPr="0067756F">
              <w:rPr>
                <w:bCs/>
                <w:i/>
                <w:iCs/>
                <w:lang w:eastAsia="en-US"/>
              </w:rPr>
              <w:t>ieškinio pagrįstumo preliminaraus įvertinimo procedūra netektų prasmės ir nepasiektų savo tikslų</w:t>
            </w:r>
            <w:r w:rsidR="0067756F">
              <w:rPr>
                <w:bCs/>
                <w:lang w:eastAsia="en-US"/>
              </w:rPr>
              <w:t xml:space="preserve"> (kadangi ieškovas būtų visuomet suinteresuotas neteikti atsikirtimų ir elgtis pasyviai)</w:t>
            </w:r>
            <w:r>
              <w:rPr>
                <w:bCs/>
                <w:lang w:eastAsia="en-US"/>
              </w:rPr>
              <w:t>.</w:t>
            </w:r>
            <w:r w:rsidR="006C6496">
              <w:rPr>
                <w:bCs/>
                <w:lang w:eastAsia="en-US"/>
              </w:rPr>
              <w:t xml:space="preserve"> Kita vertus, jei ieškovas pateiktų atsikirtimus į atsakovo prašymą, tačiau teismas nustatytų, kad jis visgi nesąžiningai pareiškė nepagrįstą ieškinį, būtų taikoma ta pati procesinė pasekmė – ieškinio palikimas nenagrinėtu.</w:t>
            </w:r>
          </w:p>
          <w:p w14:paraId="164FC3A9" w14:textId="60ED5FCB" w:rsidR="000D5403" w:rsidRDefault="000D5403" w:rsidP="004B3A4C">
            <w:pPr>
              <w:jc w:val="both"/>
              <w:rPr>
                <w:bCs/>
                <w:lang w:eastAsia="en-US"/>
              </w:rPr>
            </w:pPr>
            <w:r>
              <w:rPr>
                <w:bCs/>
                <w:lang w:eastAsia="en-US"/>
              </w:rPr>
              <w:t xml:space="preserve">Primintina, kad </w:t>
            </w:r>
            <w:r w:rsidRPr="000D5778">
              <w:rPr>
                <w:bCs/>
                <w:lang w:eastAsia="en-US"/>
              </w:rPr>
              <w:t>pagal galiojančio CPK 298 straipsnį dėl teismo nutarties palikti ieškinį nenagrinėtą gali būti paduodamas atskirasis skundas</w:t>
            </w:r>
            <w:r>
              <w:rPr>
                <w:bCs/>
                <w:lang w:eastAsia="en-US"/>
              </w:rPr>
              <w:t>, o i</w:t>
            </w:r>
            <w:r w:rsidRPr="000D5778">
              <w:rPr>
                <w:bCs/>
                <w:lang w:eastAsia="en-US"/>
              </w:rPr>
              <w:t>eškinio palikimas nenagrinėtu neužkirs kelio ieškovo teisės į teisminę gynybą įgyvendinimui, kadangi pagal galiojančio CPK 297 straipsnio 2 dalį pašalinus aplinkybes, kurios buvo pagrindas pareiškimą palikti nenagrinėtą, suinteresuotas asmuo turi teisę vėl kreiptis į teismą su pareiškimu bendra tvarka.</w:t>
            </w:r>
          </w:p>
          <w:p w14:paraId="0513C298" w14:textId="2EF6ED05" w:rsidR="000D5403" w:rsidRPr="00163357" w:rsidRDefault="000D5403" w:rsidP="004B3A4C">
            <w:pPr>
              <w:jc w:val="both"/>
            </w:pPr>
            <w:r>
              <w:t xml:space="preserve">Dėl siūlymo </w:t>
            </w:r>
            <w:r w:rsidRPr="00C023C6">
              <w:t xml:space="preserve">CPK  </w:t>
            </w:r>
            <w:r w:rsidRPr="00C023C6">
              <w:rPr>
                <w:bCs/>
              </w:rPr>
              <w:t>95</w:t>
            </w:r>
            <w:r w:rsidRPr="00C023C6">
              <w:rPr>
                <w:bCs/>
                <w:vertAlign w:val="superscript"/>
              </w:rPr>
              <w:t xml:space="preserve">1 </w:t>
            </w:r>
            <w:r w:rsidRPr="00C023C6">
              <w:rPr>
                <w:bCs/>
              </w:rPr>
              <w:t>straipsnio 3 dal</w:t>
            </w:r>
            <w:r>
              <w:rPr>
                <w:bCs/>
              </w:rPr>
              <w:t xml:space="preserve">yje nustatyti, kad ieškovas nesąžiningai pareiškė </w:t>
            </w:r>
            <w:r w:rsidRPr="00BF1C61">
              <w:rPr>
                <w:bCs/>
                <w:i/>
                <w:iCs/>
              </w:rPr>
              <w:t>aiškiai</w:t>
            </w:r>
            <w:r>
              <w:rPr>
                <w:bCs/>
              </w:rPr>
              <w:t xml:space="preserve"> nepagrįstą ieškinį, pastebėtina, kad CPK </w:t>
            </w:r>
            <w:r w:rsidRPr="00C023C6">
              <w:rPr>
                <w:bCs/>
              </w:rPr>
              <w:t>95</w:t>
            </w:r>
            <w:r w:rsidRPr="00C023C6">
              <w:rPr>
                <w:bCs/>
                <w:vertAlign w:val="superscript"/>
              </w:rPr>
              <w:t xml:space="preserve">1 </w:t>
            </w:r>
            <w:r w:rsidRPr="00C023C6">
              <w:rPr>
                <w:bCs/>
              </w:rPr>
              <w:t>straipsnio 3 dal</w:t>
            </w:r>
            <w:r>
              <w:rPr>
                <w:bCs/>
              </w:rPr>
              <w:t>ies formuluotė sistemiškai dera su galiojančio CPK 95 straipsnio formuluotėmis, pagal kurias p</w:t>
            </w:r>
            <w:r w:rsidRPr="009310F2">
              <w:rPr>
                <w:bCs/>
              </w:rPr>
              <w:t xml:space="preserve">iktnaudžiavimo procesinėmis teisėmis pasekmės </w:t>
            </w:r>
            <w:r w:rsidR="00766611">
              <w:rPr>
                <w:bCs/>
              </w:rPr>
              <w:t xml:space="preserve">taip pat </w:t>
            </w:r>
            <w:r>
              <w:rPr>
                <w:bCs/>
              </w:rPr>
              <w:lastRenderedPageBreak/>
              <w:t xml:space="preserve">siejamos su </w:t>
            </w:r>
            <w:r w:rsidRPr="009310F2">
              <w:rPr>
                <w:bCs/>
                <w:i/>
                <w:iCs/>
              </w:rPr>
              <w:t>nepagrįsto</w:t>
            </w:r>
            <w:r w:rsidRPr="009310F2">
              <w:rPr>
                <w:bCs/>
              </w:rPr>
              <w:t xml:space="preserve"> ieškin</w:t>
            </w:r>
            <w:r>
              <w:rPr>
                <w:bCs/>
              </w:rPr>
              <w:t>io ar kito procesinio dokumento pateikimu, t. y. nėra vartojamas žodis „aiškiai“.</w:t>
            </w:r>
          </w:p>
        </w:tc>
      </w:tr>
      <w:tr w:rsidR="000D5403" w:rsidRPr="00EA774C" w14:paraId="7C1F3C4E" w14:textId="77777777" w:rsidTr="007337DC">
        <w:trPr>
          <w:trHeight w:val="71"/>
        </w:trPr>
        <w:tc>
          <w:tcPr>
            <w:tcW w:w="2011" w:type="dxa"/>
            <w:vMerge/>
            <w:shd w:val="clear" w:color="auto" w:fill="auto"/>
          </w:tcPr>
          <w:p w14:paraId="2D1393A7" w14:textId="77777777" w:rsidR="000D5403" w:rsidRDefault="000D5403" w:rsidP="000B32D4">
            <w:pPr>
              <w:jc w:val="both"/>
              <w:rPr>
                <w:color w:val="000000"/>
              </w:rPr>
            </w:pPr>
          </w:p>
        </w:tc>
        <w:tc>
          <w:tcPr>
            <w:tcW w:w="6804" w:type="dxa"/>
            <w:shd w:val="clear" w:color="auto" w:fill="auto"/>
          </w:tcPr>
          <w:p w14:paraId="6AEF43B0" w14:textId="0A153A9F" w:rsidR="000D5403" w:rsidRDefault="000D5403" w:rsidP="007762AC">
            <w:pPr>
              <w:shd w:val="clear" w:color="auto" w:fill="FFFFFF"/>
              <w:tabs>
                <w:tab w:val="left" w:pos="142"/>
              </w:tabs>
              <w:jc w:val="both"/>
              <w:rPr>
                <w:color w:val="000000"/>
              </w:rPr>
            </w:pPr>
            <w:r>
              <w:rPr>
                <w:color w:val="000000"/>
              </w:rPr>
              <w:t xml:space="preserve">1.4. </w:t>
            </w:r>
            <w:r w:rsidRPr="00565379">
              <w:rPr>
                <w:bCs/>
              </w:rPr>
              <w:t>CPK 95</w:t>
            </w:r>
            <w:r w:rsidRPr="00565379">
              <w:rPr>
                <w:bCs/>
                <w:vertAlign w:val="superscript"/>
              </w:rPr>
              <w:t xml:space="preserve">1 </w:t>
            </w:r>
            <w:r w:rsidRPr="00565379">
              <w:rPr>
                <w:bCs/>
              </w:rPr>
              <w:t xml:space="preserve">straipsnio 4 dalyje nustatoma ,,Jei teismas, gavęs šio straipsnio 1 dalyje nurodytą atsakovo prašymą ar įvertinęs ieškovo pateiktus atsikirtimus, priima nutartį atmesti atsakovo prašymą kaip nepagrįstą, bylos nagrinėjimas tęsiamas toliau. </w:t>
            </w:r>
            <w:r w:rsidRPr="00565379">
              <w:rPr>
                <w:b/>
              </w:rPr>
              <w:t>Ši teismo nutartis gali būti skundžiama atskiruoju skundu</w:t>
            </w:r>
            <w:r w:rsidRPr="00565379">
              <w:rPr>
                <w:bCs/>
              </w:rPr>
              <w:t xml:space="preserve">.“ Šiame kontekste pažymėtina, kad </w:t>
            </w:r>
            <w:r w:rsidRPr="00565379">
              <w:rPr>
                <w:bCs/>
                <w:color w:val="000000"/>
              </w:rPr>
              <w:t xml:space="preserve">CPK 334 straipsnio 1 dalyje numatyta, jog pirmosios instancijos teismo nutartis galima apskųsti atskiruoju skundu apeliacinės instancijos teismui atskirai nuo teismo sprendimo dviem atvejais – pirma, CPK numatytais atvejais ir, antra, kai teismo nutartis užkerta galimybę tolesnei bylos eigai. Iš siūlomos teisės normos turinio akivaizdu, kad teismo nutartis </w:t>
            </w:r>
            <w:r>
              <w:rPr>
                <w:bCs/>
                <w:color w:val="000000"/>
              </w:rPr>
              <w:t>ne</w:t>
            </w:r>
            <w:r w:rsidRPr="00565379">
              <w:rPr>
                <w:bCs/>
                <w:color w:val="000000"/>
              </w:rPr>
              <w:t xml:space="preserve">užkerta galimybę tolesnei bylos eigai, todėl </w:t>
            </w:r>
            <w:r>
              <w:rPr>
                <w:bCs/>
                <w:color w:val="000000"/>
              </w:rPr>
              <w:t xml:space="preserve">siūlytina </w:t>
            </w:r>
            <w:r w:rsidRPr="00565379">
              <w:rPr>
                <w:bCs/>
                <w:color w:val="000000"/>
              </w:rPr>
              <w:t>svarstyti, ar būtina šioje teisės normoje įtvirtinti galimybę skųsti tokią teismo nutartį atskiruoju skundu. Š</w:t>
            </w:r>
            <w:r w:rsidRPr="00565379">
              <w:rPr>
                <w:bCs/>
              </w:rPr>
              <w:t xml:space="preserve">iame kontekste </w:t>
            </w:r>
            <w:r>
              <w:rPr>
                <w:bCs/>
              </w:rPr>
              <w:t xml:space="preserve">aktualus ir </w:t>
            </w:r>
            <w:r w:rsidRPr="00565379">
              <w:rPr>
                <w:bCs/>
              </w:rPr>
              <w:t xml:space="preserve">Teisėjų Tarybos </w:t>
            </w:r>
            <w:r>
              <w:rPr>
                <w:bCs/>
              </w:rPr>
              <w:t>pastebėjimas, kad apskundimo atskiruoju skundu galimybė galėtų lemti ilgesnį nagrinėjimo procesą</w:t>
            </w:r>
            <w:r w:rsidRPr="00565379">
              <w:rPr>
                <w:bCs/>
              </w:rPr>
              <w:t>.</w:t>
            </w:r>
          </w:p>
          <w:p w14:paraId="64B3F746" w14:textId="77777777" w:rsidR="000D5403" w:rsidRDefault="000D5403" w:rsidP="007762AC">
            <w:pPr>
              <w:shd w:val="clear" w:color="auto" w:fill="FFFFFF"/>
              <w:tabs>
                <w:tab w:val="left" w:pos="142"/>
              </w:tabs>
              <w:jc w:val="both"/>
              <w:rPr>
                <w:color w:val="000000"/>
              </w:rPr>
            </w:pPr>
          </w:p>
          <w:p w14:paraId="236E185C" w14:textId="77777777" w:rsidR="000D5403" w:rsidRDefault="000D5403" w:rsidP="007762AC">
            <w:pPr>
              <w:shd w:val="clear" w:color="auto" w:fill="FFFFFF"/>
              <w:tabs>
                <w:tab w:val="left" w:pos="142"/>
              </w:tabs>
              <w:jc w:val="both"/>
              <w:rPr>
                <w:color w:val="000000"/>
              </w:rPr>
            </w:pPr>
          </w:p>
          <w:p w14:paraId="63CC684F" w14:textId="77777777" w:rsidR="000D5403" w:rsidRDefault="000D5403" w:rsidP="007762AC">
            <w:pPr>
              <w:shd w:val="clear" w:color="auto" w:fill="FFFFFF"/>
              <w:tabs>
                <w:tab w:val="left" w:pos="142"/>
              </w:tabs>
              <w:jc w:val="both"/>
              <w:rPr>
                <w:color w:val="000000"/>
              </w:rPr>
            </w:pPr>
          </w:p>
          <w:p w14:paraId="63143154" w14:textId="19079F78" w:rsidR="000D5403" w:rsidRPr="00F06325" w:rsidRDefault="000D5403" w:rsidP="007762AC">
            <w:pPr>
              <w:shd w:val="clear" w:color="auto" w:fill="FFFFFF"/>
              <w:tabs>
                <w:tab w:val="left" w:pos="142"/>
              </w:tabs>
              <w:jc w:val="both"/>
              <w:rPr>
                <w:color w:val="000000"/>
              </w:rPr>
            </w:pPr>
          </w:p>
        </w:tc>
        <w:tc>
          <w:tcPr>
            <w:tcW w:w="6521" w:type="dxa"/>
            <w:shd w:val="clear" w:color="auto" w:fill="auto"/>
          </w:tcPr>
          <w:p w14:paraId="5159F4BF" w14:textId="77777777" w:rsidR="000D5403" w:rsidRDefault="000D5403" w:rsidP="004B3A4C">
            <w:pPr>
              <w:jc w:val="both"/>
              <w:rPr>
                <w:b/>
                <w:bCs/>
              </w:rPr>
            </w:pPr>
            <w:r>
              <w:rPr>
                <w:b/>
                <w:bCs/>
              </w:rPr>
              <w:t>Neatsižvelgta.</w:t>
            </w:r>
          </w:p>
          <w:p w14:paraId="3CC5FD65" w14:textId="5E9F6A34" w:rsidR="000D5403" w:rsidRPr="006D5684" w:rsidRDefault="000D5403" w:rsidP="004B3A4C">
            <w:pPr>
              <w:jc w:val="both"/>
              <w:rPr>
                <w:i/>
                <w:iCs/>
                <w:color w:val="000000"/>
              </w:rPr>
            </w:pPr>
            <w:r>
              <w:t xml:space="preserve">CPK projektu keičiamo CPK </w:t>
            </w:r>
            <w:r w:rsidRPr="00E70316">
              <w:rPr>
                <w:color w:val="000000"/>
              </w:rPr>
              <w:t>95</w:t>
            </w:r>
            <w:r w:rsidRPr="00E70316">
              <w:rPr>
                <w:color w:val="000000"/>
                <w:vertAlign w:val="superscript"/>
              </w:rPr>
              <w:t>1</w:t>
            </w:r>
            <w:r w:rsidRPr="00E70316">
              <w:rPr>
                <w:color w:val="000000"/>
              </w:rPr>
              <w:t xml:space="preserve"> straipsnio 4 dalyje</w:t>
            </w:r>
            <w:r>
              <w:rPr>
                <w:color w:val="000000"/>
              </w:rPr>
              <w:t xml:space="preserve"> nesiūloma nustatyti, kad, j</w:t>
            </w:r>
            <w:r w:rsidRPr="00903659">
              <w:rPr>
                <w:color w:val="000000"/>
              </w:rPr>
              <w:t xml:space="preserve">ei teismas priima nutartį atmesti atsakovo prašymą kaip nepagrįstą, bylos nagrinėjimas </w:t>
            </w:r>
            <w:r>
              <w:rPr>
                <w:color w:val="000000"/>
              </w:rPr>
              <w:t>sustabdomas</w:t>
            </w:r>
            <w:r w:rsidRPr="00903659">
              <w:rPr>
                <w:color w:val="000000"/>
              </w:rPr>
              <w:t>.</w:t>
            </w:r>
            <w:r>
              <w:rPr>
                <w:color w:val="000000"/>
              </w:rPr>
              <w:t xml:space="preserve"> Tai reiškia, kad </w:t>
            </w:r>
            <w:r w:rsidRPr="006D5684">
              <w:rPr>
                <w:i/>
                <w:iCs/>
                <w:color w:val="000000"/>
              </w:rPr>
              <w:t>teisėjo sprendimu bylos nagrinėjimas tęsiamas</w:t>
            </w:r>
            <w:r>
              <w:rPr>
                <w:color w:val="000000"/>
              </w:rPr>
              <w:t>, nestabdant proceso ir nelaukia</w:t>
            </w:r>
            <w:r w:rsidR="008E2023">
              <w:rPr>
                <w:color w:val="000000"/>
              </w:rPr>
              <w:t>n</w:t>
            </w:r>
            <w:r>
              <w:rPr>
                <w:color w:val="000000"/>
              </w:rPr>
              <w:t>t nutarties apskundimo atskiruoju skundu termino pasibaigimo ar atskirojo skundo išnagrinėjimo ir nutarties įsiteisėjimo</w:t>
            </w:r>
            <w:r w:rsidR="004F53DA">
              <w:rPr>
                <w:color w:val="000000"/>
              </w:rPr>
              <w:t>.</w:t>
            </w:r>
            <w:r>
              <w:rPr>
                <w:color w:val="000000"/>
              </w:rPr>
              <w:t xml:space="preserve"> </w:t>
            </w:r>
            <w:r w:rsidR="004F53DA" w:rsidRPr="006D5684">
              <w:rPr>
                <w:i/>
                <w:iCs/>
                <w:color w:val="000000"/>
              </w:rPr>
              <w:t>T</w:t>
            </w:r>
            <w:r w:rsidRPr="006D5684">
              <w:rPr>
                <w:i/>
                <w:iCs/>
                <w:color w:val="000000"/>
              </w:rPr>
              <w:t>ai</w:t>
            </w:r>
            <w:r w:rsidR="004F53DA" w:rsidRPr="006D5684">
              <w:rPr>
                <w:i/>
                <w:iCs/>
                <w:color w:val="000000"/>
              </w:rPr>
              <w:t>gi šia nuostata</w:t>
            </w:r>
            <w:r w:rsidRPr="006D5684">
              <w:rPr>
                <w:i/>
                <w:iCs/>
                <w:color w:val="000000"/>
              </w:rPr>
              <w:t xml:space="preserve"> </w:t>
            </w:r>
            <w:r w:rsidR="004F53DA" w:rsidRPr="006D5684">
              <w:rPr>
                <w:i/>
                <w:iCs/>
                <w:color w:val="000000"/>
              </w:rPr>
              <w:t>nedaroma neigiama įtaka</w:t>
            </w:r>
            <w:r w:rsidRPr="006D5684">
              <w:rPr>
                <w:i/>
                <w:iCs/>
                <w:color w:val="000000"/>
              </w:rPr>
              <w:t xml:space="preserve"> proceso operatyvum</w:t>
            </w:r>
            <w:r w:rsidR="004F53DA" w:rsidRPr="006D5684">
              <w:rPr>
                <w:i/>
                <w:iCs/>
                <w:color w:val="000000"/>
              </w:rPr>
              <w:t>ui</w:t>
            </w:r>
            <w:r w:rsidRPr="006D5684">
              <w:rPr>
                <w:i/>
                <w:iCs/>
                <w:color w:val="000000"/>
              </w:rPr>
              <w:t xml:space="preserve">. </w:t>
            </w:r>
          </w:p>
          <w:p w14:paraId="02FB0633" w14:textId="4342F88D" w:rsidR="004F53DA" w:rsidRDefault="000D5403" w:rsidP="004B3A4C">
            <w:pPr>
              <w:jc w:val="both"/>
            </w:pPr>
            <w:r>
              <w:t xml:space="preserve">Teismo nutarties </w:t>
            </w:r>
            <w:r w:rsidRPr="004052AA">
              <w:t>atmesti atsakovo prašymą kaip nepagrįstą</w:t>
            </w:r>
            <w:r>
              <w:t xml:space="preserve"> apskundimo atskiruoju skundu galimybė reikalinga, </w:t>
            </w:r>
            <w:r w:rsidRPr="006D5684">
              <w:rPr>
                <w:i/>
                <w:iCs/>
              </w:rPr>
              <w:t>siekiant užtikrinti abiejų šalių teisių ir interesų balansą</w:t>
            </w:r>
            <w:r>
              <w:t xml:space="preserve"> (vadovaujantis CPK 298 straipsniu, d</w:t>
            </w:r>
            <w:r w:rsidRPr="00CF3E80">
              <w:t xml:space="preserve">ėl teismo nutarties palikti pareiškimą nenagrinėtą </w:t>
            </w:r>
            <w:r w:rsidR="006D5684">
              <w:t>ieškovas taip pat gali</w:t>
            </w:r>
            <w:r w:rsidRPr="00CF3E80">
              <w:t xml:space="preserve"> </w:t>
            </w:r>
            <w:r w:rsidR="006D5684">
              <w:t>paduoti</w:t>
            </w:r>
            <w:r w:rsidRPr="00CF3E80">
              <w:t xml:space="preserve"> atskir</w:t>
            </w:r>
            <w:r w:rsidR="006D5684">
              <w:t>ąjį</w:t>
            </w:r>
            <w:r w:rsidRPr="00CF3E80">
              <w:t xml:space="preserve"> skund</w:t>
            </w:r>
            <w:r w:rsidR="006D5684">
              <w:t>ą</w:t>
            </w:r>
            <w:r>
              <w:t>)</w:t>
            </w:r>
            <w:r w:rsidRPr="00CF3E80">
              <w:t>.</w:t>
            </w:r>
            <w:r w:rsidR="004F53DA">
              <w:t xml:space="preserve"> Be to,</w:t>
            </w:r>
            <w:r w:rsidR="006D5684">
              <w:t xml:space="preserve"> įvertinus klausimo dėl atsakovų persekiojimo jautrumą ir vis didėjantį aktualumą tiek tarptautiniu, tiek nacionaliniu lygiu,</w:t>
            </w:r>
            <w:r w:rsidR="004F53DA">
              <w:t xml:space="preserve"> </w:t>
            </w:r>
            <w:r w:rsidR="006D5684" w:rsidRPr="006D5684">
              <w:rPr>
                <w:i/>
                <w:iCs/>
              </w:rPr>
              <w:t>apskundimo</w:t>
            </w:r>
            <w:r w:rsidR="004F53DA" w:rsidRPr="006D5684">
              <w:rPr>
                <w:i/>
                <w:iCs/>
              </w:rPr>
              <w:t xml:space="preserve"> galimybė padėtų vienodinti teismų praktiką šiuo klausimu</w:t>
            </w:r>
            <w:r w:rsidR="004F53DA">
              <w:t>.</w:t>
            </w:r>
            <w:r>
              <w:t xml:space="preserve"> </w:t>
            </w:r>
            <w:r w:rsidR="006D5684">
              <w:t>Ši</w:t>
            </w:r>
            <w:r w:rsidRPr="00F9101E">
              <w:t xml:space="preserve"> galimybė</w:t>
            </w:r>
            <w:r>
              <w:t>, kaip minėta,</w:t>
            </w:r>
            <w:r w:rsidRPr="00F9101E">
              <w:t xml:space="preserve"> nelemtų ilgesnio nagrinėjimo proceso</w:t>
            </w:r>
            <w:r>
              <w:t xml:space="preserve">, kadangi, </w:t>
            </w:r>
            <w:r w:rsidRPr="00F9101E">
              <w:t>teism</w:t>
            </w:r>
            <w:r>
              <w:t>ui</w:t>
            </w:r>
            <w:r w:rsidRPr="00F9101E">
              <w:t xml:space="preserve"> pri</w:t>
            </w:r>
            <w:r>
              <w:t>ėmus</w:t>
            </w:r>
            <w:r w:rsidRPr="00F9101E">
              <w:t xml:space="preserve"> nutartį atmesti atsakovo prašymą kaip nepagrįstą, bylos nagrinėjimas </w:t>
            </w:r>
            <w:r>
              <w:t xml:space="preserve">galėtų būti </w:t>
            </w:r>
            <w:r w:rsidRPr="00F9101E">
              <w:t>tęsiamas toliau</w:t>
            </w:r>
            <w:r>
              <w:t>.</w:t>
            </w:r>
          </w:p>
          <w:p w14:paraId="6E6F18A1" w14:textId="0F5FB662" w:rsidR="000D5403" w:rsidRDefault="000D5403" w:rsidP="004B3A4C">
            <w:pPr>
              <w:jc w:val="both"/>
            </w:pPr>
            <w:r>
              <w:t xml:space="preserve">Sutiktina, kad teismo sprendimas </w:t>
            </w:r>
            <w:r w:rsidRPr="00BE2B7C">
              <w:t>atmesti atsakovo prašymą kaip nepagrįstą</w:t>
            </w:r>
            <w:r>
              <w:t xml:space="preserve"> neužkirstų kelio tolesnei bylos eigai,</w:t>
            </w:r>
            <w:r w:rsidR="00902E52">
              <w:t xml:space="preserve"> taigi</w:t>
            </w:r>
            <w:r>
              <w:t xml:space="preserve"> būtent dėl šios priežasties</w:t>
            </w:r>
            <w:r w:rsidR="00B759A3">
              <w:t xml:space="preserve"> ir yra</w:t>
            </w:r>
            <w:r>
              <w:t xml:space="preserve"> reikalinga atskira</w:t>
            </w:r>
            <w:r w:rsidR="00B759A3">
              <w:t xml:space="preserve"> speciali</w:t>
            </w:r>
            <w:r>
              <w:t xml:space="preserve"> nuostata, sudaranti galimybę skųsti tokį sprendimą atskiruoju skundu</w:t>
            </w:r>
            <w:r w:rsidR="00B759A3">
              <w:t>.</w:t>
            </w:r>
            <w:r>
              <w:t xml:space="preserve"> </w:t>
            </w:r>
            <w:r w:rsidR="00B759A3">
              <w:t>N</w:t>
            </w:r>
            <w:r>
              <w:t>eįtvirtinus atitinkamos nuostatos</w:t>
            </w:r>
            <w:r w:rsidR="00B759A3">
              <w:t>,</w:t>
            </w:r>
            <w:r>
              <w:t xml:space="preserve"> nutarties apskundimas būtų negalimas ir, kaip minėta, nebūtų užtikrintas šalių interesų balansas.</w:t>
            </w:r>
          </w:p>
          <w:p w14:paraId="18B53E2E" w14:textId="3146FC58" w:rsidR="000D5403" w:rsidRPr="00371CAF" w:rsidRDefault="000D5403" w:rsidP="00555885">
            <w:pPr>
              <w:jc w:val="both"/>
            </w:pPr>
            <w:r w:rsidRPr="00555885">
              <w:t>Teisėjų tarybos pateiktos pastabos ir pasiūlymai aptarti darbo tvarka</w:t>
            </w:r>
            <w:r>
              <w:t xml:space="preserve"> ir </w:t>
            </w:r>
            <w:r w:rsidR="00B759A3">
              <w:t xml:space="preserve">taip pat </w:t>
            </w:r>
            <w:r>
              <w:t>buvo sutarta, kad tikslinga palikti galimybę skųsti aptariamą teismo nutartį atskiruoju skundu.</w:t>
            </w:r>
          </w:p>
        </w:tc>
      </w:tr>
      <w:tr w:rsidR="000D5403" w:rsidRPr="00EA774C" w14:paraId="19EAC765" w14:textId="77777777" w:rsidTr="007337DC">
        <w:trPr>
          <w:trHeight w:val="71"/>
        </w:trPr>
        <w:tc>
          <w:tcPr>
            <w:tcW w:w="2011" w:type="dxa"/>
            <w:vMerge/>
            <w:shd w:val="clear" w:color="auto" w:fill="auto"/>
          </w:tcPr>
          <w:p w14:paraId="1DECB858" w14:textId="77777777" w:rsidR="000D5403" w:rsidRDefault="000D5403" w:rsidP="000B32D4">
            <w:pPr>
              <w:jc w:val="both"/>
              <w:rPr>
                <w:color w:val="000000"/>
              </w:rPr>
            </w:pPr>
          </w:p>
        </w:tc>
        <w:tc>
          <w:tcPr>
            <w:tcW w:w="6804" w:type="dxa"/>
            <w:shd w:val="clear" w:color="auto" w:fill="auto"/>
          </w:tcPr>
          <w:p w14:paraId="5771BEA3" w14:textId="57BD1308" w:rsidR="000D5403" w:rsidRPr="009465A7" w:rsidRDefault="000D5403" w:rsidP="002F0593">
            <w:pPr>
              <w:shd w:val="clear" w:color="auto" w:fill="FFFFFF"/>
              <w:tabs>
                <w:tab w:val="left" w:pos="142"/>
              </w:tabs>
              <w:ind w:left="33" w:hanging="33"/>
              <w:jc w:val="both"/>
              <w:rPr>
                <w:color w:val="000000"/>
              </w:rPr>
            </w:pPr>
            <w:r>
              <w:rPr>
                <w:color w:val="000000"/>
              </w:rPr>
              <w:t>2.1. ir 3. &lt;...&gt; P</w:t>
            </w:r>
            <w:r w:rsidRPr="009465A7">
              <w:rPr>
                <w:color w:val="000000"/>
              </w:rPr>
              <w:t>agal CPK</w:t>
            </w:r>
            <w:bookmarkStart w:id="2" w:name="pn0cf8ff92-dfa9-4ca4-a211-3da6bcaa59fe"/>
            <w:bookmarkEnd w:id="2"/>
            <w:r w:rsidRPr="009465A7">
              <w:rPr>
                <w:color w:val="000000"/>
              </w:rPr>
              <w:t xml:space="preserve"> 12</w:t>
            </w:r>
            <w:bookmarkStart w:id="3" w:name="pn1e040cad-7ba6-4fb3-a83c-f8b73014fda9"/>
            <w:bookmarkEnd w:id="3"/>
            <w:r w:rsidRPr="009465A7">
              <w:rPr>
                <w:color w:val="000000"/>
              </w:rPr>
              <w:t xml:space="preserve"> straipsnį kiekviena šalis privalo įrodyti tas aplinkybes, kuriomis remiasi kaip savo reikalavimų ar atsikirtimų pagrindu, išskyrus atvejus, kai remiamasi aplinkybėmis, kurių nereikia įrodinėti. Pagal kasacinio teismo formuojamą teismų </w:t>
            </w:r>
            <w:r w:rsidRPr="009465A7">
              <w:rPr>
                <w:color w:val="000000"/>
              </w:rPr>
              <w:lastRenderedPageBreak/>
              <w:t xml:space="preserve">praktiką </w:t>
            </w:r>
            <w:bookmarkStart w:id="4" w:name="nc58cec2d-06ff-4571-bb66-32df33bcbd82"/>
            <w:r w:rsidRPr="009465A7">
              <w:rPr>
                <w:color w:val="000000"/>
              </w:rPr>
              <w:t xml:space="preserve">CPK </w:t>
            </w:r>
            <w:bookmarkStart w:id="5" w:name="pn055a587e-b943-44cc-a457-a8e8ee624750"/>
            <w:bookmarkEnd w:id="4"/>
            <w:bookmarkEnd w:id="5"/>
            <w:r w:rsidRPr="009465A7">
              <w:rPr>
                <w:color w:val="000000"/>
              </w:rPr>
              <w:t>178 straipsnio normoje nustatyta bendroji įrodinėjimo pareiga, kuri tenka tam asmeniui, kuris teigia, o ne tam, kuris neigia (Lietuvos Aukščiausiojo Teismo 2021 m. gruodžio 15 d. nutartis civilinėje byloje 3K-3-328-403/2021 ir joje nurodyta teismų praktika</w:t>
            </w:r>
            <w:bookmarkStart w:id="6" w:name="pn412001c8-f036-4ab7-af83-7d4825e3c44d"/>
            <w:bookmarkEnd w:id="6"/>
            <w:r w:rsidRPr="009465A7">
              <w:rPr>
                <w:color w:val="000000"/>
              </w:rPr>
              <w:t>). Taigi atsižvelgiant į pirmiau minėtas CPK normas ir teismų praktiką atsakovas privalo ne tik nurodyti, bet ir įrodyti aplinkybes, kuriomis grindžia savo manymą (teiginius), t. y. pateikti įrodymus.</w:t>
            </w:r>
          </w:p>
          <w:p w14:paraId="37AB7CDC" w14:textId="77777777" w:rsidR="000D5403" w:rsidRDefault="000D5403" w:rsidP="009465A7">
            <w:pPr>
              <w:shd w:val="clear" w:color="auto" w:fill="FFFFFF"/>
              <w:tabs>
                <w:tab w:val="left" w:pos="142"/>
              </w:tabs>
              <w:jc w:val="both"/>
              <w:rPr>
                <w:color w:val="000000"/>
              </w:rPr>
            </w:pPr>
            <w:r w:rsidRPr="009465A7">
              <w:rPr>
                <w:color w:val="000000"/>
              </w:rPr>
              <w:t>Todėl siūlytina šią teisės normą atitinkamai patikslinti, joje nustatant: „7) atsakovo prašymas taikyti šio Kodekso 95</w:t>
            </w:r>
            <w:r w:rsidRPr="009465A7">
              <w:rPr>
                <w:color w:val="000000"/>
                <w:vertAlign w:val="superscript"/>
              </w:rPr>
              <w:t>1</w:t>
            </w:r>
            <w:r w:rsidRPr="009465A7">
              <w:rPr>
                <w:color w:val="000000"/>
              </w:rPr>
              <w:t xml:space="preserve"> straipsnio 2 dalyje nurodytą procedūrą, kai atsakovas pageidauja, kad ji būtų taikoma, ir aplinkybės</w:t>
            </w:r>
            <w:r w:rsidRPr="009465A7">
              <w:rPr>
                <w:b/>
                <w:bCs/>
                <w:color w:val="000000"/>
              </w:rPr>
              <w:t xml:space="preserve"> bei jas pagrindžiantys įrodymai</w:t>
            </w:r>
            <w:r w:rsidRPr="009465A7">
              <w:rPr>
                <w:color w:val="000000"/>
              </w:rPr>
              <w:t>, kodėl atsakovas mano, kad &lt;...&gt;.“</w:t>
            </w:r>
          </w:p>
          <w:p w14:paraId="1D68CEA1" w14:textId="48E1E601" w:rsidR="000D5403" w:rsidRDefault="000D5403" w:rsidP="009465A7">
            <w:pPr>
              <w:shd w:val="clear" w:color="auto" w:fill="FFFFFF"/>
              <w:tabs>
                <w:tab w:val="left" w:pos="142"/>
              </w:tabs>
              <w:jc w:val="both"/>
              <w:rPr>
                <w:color w:val="000000"/>
              </w:rPr>
            </w:pPr>
            <w:r w:rsidRPr="006C2F69">
              <w:rPr>
                <w:rFonts w:eastAsia="Calibri"/>
              </w:rPr>
              <w:t>Projekto rengėjas turėtų įvertinti, ar nereikėtų siūlyti keisti ir CPK 297 straipsnio 1 dalies. Pažymėtina, kad analogišką pasiūlymą teikė ir Teismų Taryba, tačiau, kodėl buvo neatsižvelgta į šį pasiūlymą, Projekto rengėjas nenurodė, todėl siūlytina pakartotinai jį įvertinti.</w:t>
            </w:r>
          </w:p>
        </w:tc>
        <w:tc>
          <w:tcPr>
            <w:tcW w:w="6521" w:type="dxa"/>
            <w:shd w:val="clear" w:color="auto" w:fill="auto"/>
          </w:tcPr>
          <w:p w14:paraId="6E7AC70E" w14:textId="77777777" w:rsidR="000D5403" w:rsidRDefault="000D5403" w:rsidP="004B3A4C">
            <w:pPr>
              <w:jc w:val="both"/>
              <w:rPr>
                <w:b/>
                <w:bCs/>
              </w:rPr>
            </w:pPr>
            <w:r>
              <w:rPr>
                <w:b/>
                <w:bCs/>
              </w:rPr>
              <w:lastRenderedPageBreak/>
              <w:t>Atsižvelgtina.</w:t>
            </w:r>
          </w:p>
          <w:p w14:paraId="58CBB4FA" w14:textId="184CB275" w:rsidR="000D5403" w:rsidRPr="00F1255E" w:rsidRDefault="00F21405" w:rsidP="004B3A4C">
            <w:pPr>
              <w:jc w:val="both"/>
            </w:pPr>
            <w:r>
              <w:t xml:space="preserve">Pritartina, kad siūlomos CPK </w:t>
            </w:r>
            <w:r w:rsidR="00B759A3">
              <w:t xml:space="preserve">projekto </w:t>
            </w:r>
            <w:r>
              <w:t xml:space="preserve">nuostatos galėtų būti patikslintos pagal pastabų teikėjų siūlymus, vis dėlto </w:t>
            </w:r>
            <w:r w:rsidR="005B3D5F" w:rsidRPr="005B3D5F">
              <w:t xml:space="preserve">dėl šių pasiūlymų galėtų būti diskutuojama </w:t>
            </w:r>
            <w:r w:rsidR="005B3D5F">
              <w:t>į</w:t>
            </w:r>
            <w:r w:rsidR="005B3D5F" w:rsidRPr="005B3D5F">
              <w:t xml:space="preserve">statymų projektų svarstymo </w:t>
            </w:r>
            <w:r w:rsidR="005B3D5F" w:rsidRPr="005B3D5F">
              <w:lastRenderedPageBreak/>
              <w:t>Seime metu</w:t>
            </w:r>
            <w:r w:rsidR="005B3D5F">
              <w:t>.</w:t>
            </w:r>
            <w:r w:rsidR="005B3D5F" w:rsidRPr="005B3D5F">
              <w:t xml:space="preserve"> </w:t>
            </w:r>
            <w:r w:rsidR="005B3D5F">
              <w:t>Atsi</w:t>
            </w:r>
            <w:r w:rsidR="005B3D5F" w:rsidRPr="005B3D5F">
              <w:t xml:space="preserve">žvelgiant į tai, kad Vyriausybės išvadoje turėtų būti teikiamos tik </w:t>
            </w:r>
            <w:r w:rsidR="005B3D5F" w:rsidRPr="005B3D5F">
              <w:rPr>
                <w:i/>
                <w:iCs/>
              </w:rPr>
              <w:t>esminio pobūdžio pastabos</w:t>
            </w:r>
            <w:r w:rsidR="005B3D5F" w:rsidRPr="005B3D5F">
              <w:t xml:space="preserve"> dėl teisinio reguliavimo tobulinimo, pasiūlymai neįtraukti</w:t>
            </w:r>
            <w:r w:rsidR="005B3D5F">
              <w:t>ni</w:t>
            </w:r>
            <w:r w:rsidR="005B3D5F" w:rsidRPr="005B3D5F">
              <w:t xml:space="preserve"> į Nutarimo projektą.</w:t>
            </w:r>
            <w:r w:rsidR="005B3D5F">
              <w:t xml:space="preserve"> Analogiškai ir dėl Teisėjų tarybos pateiktų pasiūlymų darbo tvarka sutarta, kad </w:t>
            </w:r>
            <w:r w:rsidR="005B3D5F" w:rsidRPr="005B3D5F">
              <w:t xml:space="preserve">dėl šių pasiūlymų galėtų būti diskutuojama </w:t>
            </w:r>
            <w:r w:rsidR="00784E10">
              <w:t>į</w:t>
            </w:r>
            <w:r w:rsidR="005B3D5F" w:rsidRPr="005B3D5F">
              <w:t>statymų projektų svarstymo Seime metu</w:t>
            </w:r>
            <w:r w:rsidR="00555F02">
              <w:t>, tačiau Nutarimo projektas atitinkamais siūlymais nepildytinas.</w:t>
            </w:r>
          </w:p>
        </w:tc>
      </w:tr>
    </w:tbl>
    <w:p w14:paraId="421B23FB" w14:textId="77777777" w:rsidR="007146D7" w:rsidRPr="00CC6B48" w:rsidRDefault="007146D7" w:rsidP="002C742D">
      <w:pPr>
        <w:rPr>
          <w:b/>
          <w:iCs/>
        </w:rPr>
      </w:pPr>
    </w:p>
    <w:sectPr w:rsidR="007146D7" w:rsidRPr="00CC6B48" w:rsidSect="00822BA3">
      <w:head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AC1A" w14:textId="77777777" w:rsidR="00171623" w:rsidRDefault="00171623" w:rsidP="002E4284">
      <w:r>
        <w:separator/>
      </w:r>
    </w:p>
  </w:endnote>
  <w:endnote w:type="continuationSeparator" w:id="0">
    <w:p w14:paraId="665C342E" w14:textId="77777777" w:rsidR="00171623" w:rsidRDefault="00171623"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4DBF" w14:textId="77777777" w:rsidR="00171623" w:rsidRDefault="00171623" w:rsidP="002E4284">
      <w:r>
        <w:separator/>
      </w:r>
    </w:p>
  </w:footnote>
  <w:footnote w:type="continuationSeparator" w:id="0">
    <w:p w14:paraId="35AE164C" w14:textId="77777777" w:rsidR="00171623" w:rsidRDefault="00171623" w:rsidP="002E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120618"/>
      <w:docPartObj>
        <w:docPartGallery w:val="Page Numbers (Top of Page)"/>
        <w:docPartUnique/>
      </w:docPartObj>
    </w:sdtPr>
    <w:sdtEndPr/>
    <w:sdtContent>
      <w:p w14:paraId="79617938" w14:textId="77777777" w:rsidR="00221AE5" w:rsidRDefault="006E7B98">
        <w:pPr>
          <w:pStyle w:val="Header"/>
          <w:jc w:val="center"/>
        </w:pPr>
        <w:r>
          <w:fldChar w:fldCharType="begin"/>
        </w:r>
        <w:r w:rsidR="00221AE5">
          <w:instrText>PAGE   \* MERGEFORMAT</w:instrText>
        </w:r>
        <w:r>
          <w:fldChar w:fldCharType="separate"/>
        </w:r>
        <w:r w:rsidR="003F40FA">
          <w:rPr>
            <w:noProof/>
          </w:rPr>
          <w:t>2</w:t>
        </w:r>
        <w:r>
          <w:rPr>
            <w:noProof/>
          </w:rPr>
          <w:fldChar w:fldCharType="end"/>
        </w:r>
      </w:p>
    </w:sdtContent>
  </w:sdt>
  <w:p w14:paraId="2B745799" w14:textId="77777777" w:rsidR="00221AE5" w:rsidRDefault="0022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D6487F"/>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0D896F1D"/>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05B286A"/>
    <w:multiLevelType w:val="hybridMultilevel"/>
    <w:tmpl w:val="B860EBC4"/>
    <w:lvl w:ilvl="0" w:tplc="A4F249E8">
      <w:start w:val="6"/>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6" w15:restartNumberingAfterBreak="0">
    <w:nsid w:val="1EA26BCC"/>
    <w:multiLevelType w:val="hybridMultilevel"/>
    <w:tmpl w:val="92264A4A"/>
    <w:lvl w:ilvl="0" w:tplc="D3DAD96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A43864"/>
    <w:multiLevelType w:val="multilevel"/>
    <w:tmpl w:val="1D0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9878AC"/>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28B60DB6"/>
    <w:multiLevelType w:val="hybridMultilevel"/>
    <w:tmpl w:val="F0626FBC"/>
    <w:lvl w:ilvl="0" w:tplc="2DE4F6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2"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AB5018"/>
    <w:multiLevelType w:val="hybridMultilevel"/>
    <w:tmpl w:val="51B0234C"/>
    <w:lvl w:ilvl="0" w:tplc="B8BA2BF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CD62853"/>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4D7F408C"/>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8" w15:restartNumberingAfterBreak="0">
    <w:nsid w:val="644A4114"/>
    <w:multiLevelType w:val="multilevel"/>
    <w:tmpl w:val="A62EB1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20" w15:restartNumberingAfterBreak="0">
    <w:nsid w:val="76027435"/>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3"/>
  </w:num>
  <w:num w:numId="2">
    <w:abstractNumId w:val="0"/>
  </w:num>
  <w:num w:numId="3">
    <w:abstractNumId w:val="19"/>
  </w:num>
  <w:num w:numId="4">
    <w:abstractNumId w:val="17"/>
  </w:num>
  <w:num w:numId="5">
    <w:abstractNumId w:val="5"/>
  </w:num>
  <w:num w:numId="6">
    <w:abstractNumId w:val="12"/>
  </w:num>
  <w:num w:numId="7">
    <w:abstractNumId w:val="8"/>
  </w:num>
  <w:num w:numId="8">
    <w:abstractNumId w:val="11"/>
  </w:num>
  <w:num w:numId="9">
    <w:abstractNumId w:val="10"/>
  </w:num>
  <w:num w:numId="10">
    <w:abstractNumId w:val="6"/>
  </w:num>
  <w:num w:numId="11">
    <w:abstractNumId w:val="7"/>
    <w:lvlOverride w:ilvl="0">
      <w:startOverride w:val="2"/>
    </w:lvlOverride>
  </w:num>
  <w:num w:numId="12">
    <w:abstractNumId w:val="4"/>
  </w:num>
  <w:num w:numId="13">
    <w:abstractNumId w:val="1"/>
  </w:num>
  <w:num w:numId="14">
    <w:abstractNumId w:val="9"/>
  </w:num>
  <w:num w:numId="15">
    <w:abstractNumId w:val="20"/>
  </w:num>
  <w:num w:numId="16">
    <w:abstractNumId w:val="3"/>
  </w:num>
  <w:num w:numId="17">
    <w:abstractNumId w:val="2"/>
  </w:num>
  <w:num w:numId="18">
    <w:abstractNumId w:val="15"/>
  </w:num>
  <w:num w:numId="19">
    <w:abstractNumId w:val="16"/>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8D"/>
    <w:rsid w:val="0000051C"/>
    <w:rsid w:val="00000BDA"/>
    <w:rsid w:val="000013B4"/>
    <w:rsid w:val="00001AC5"/>
    <w:rsid w:val="00002A34"/>
    <w:rsid w:val="00002E77"/>
    <w:rsid w:val="00003D10"/>
    <w:rsid w:val="000042A3"/>
    <w:rsid w:val="00005562"/>
    <w:rsid w:val="0000565C"/>
    <w:rsid w:val="000059F2"/>
    <w:rsid w:val="00005F5F"/>
    <w:rsid w:val="000064BD"/>
    <w:rsid w:val="00006D11"/>
    <w:rsid w:val="0001043B"/>
    <w:rsid w:val="000106F6"/>
    <w:rsid w:val="000115C7"/>
    <w:rsid w:val="00011FC0"/>
    <w:rsid w:val="00012367"/>
    <w:rsid w:val="00012735"/>
    <w:rsid w:val="00014B39"/>
    <w:rsid w:val="00014BF2"/>
    <w:rsid w:val="00016F20"/>
    <w:rsid w:val="00017190"/>
    <w:rsid w:val="00017551"/>
    <w:rsid w:val="00017881"/>
    <w:rsid w:val="00020243"/>
    <w:rsid w:val="00021256"/>
    <w:rsid w:val="00021D8C"/>
    <w:rsid w:val="00021D9E"/>
    <w:rsid w:val="00022B93"/>
    <w:rsid w:val="00024592"/>
    <w:rsid w:val="00026842"/>
    <w:rsid w:val="00026A19"/>
    <w:rsid w:val="00027F77"/>
    <w:rsid w:val="0003074A"/>
    <w:rsid w:val="000309DC"/>
    <w:rsid w:val="00031796"/>
    <w:rsid w:val="0003372A"/>
    <w:rsid w:val="000345F1"/>
    <w:rsid w:val="000347BA"/>
    <w:rsid w:val="000349FA"/>
    <w:rsid w:val="00034FF9"/>
    <w:rsid w:val="0004011E"/>
    <w:rsid w:val="00041EF8"/>
    <w:rsid w:val="0004207F"/>
    <w:rsid w:val="00042BE3"/>
    <w:rsid w:val="00043FDA"/>
    <w:rsid w:val="00044093"/>
    <w:rsid w:val="00045367"/>
    <w:rsid w:val="000459CE"/>
    <w:rsid w:val="00046018"/>
    <w:rsid w:val="00046547"/>
    <w:rsid w:val="00050CB3"/>
    <w:rsid w:val="000536C3"/>
    <w:rsid w:val="000536DB"/>
    <w:rsid w:val="00053CD7"/>
    <w:rsid w:val="00054799"/>
    <w:rsid w:val="0005528A"/>
    <w:rsid w:val="00055A3F"/>
    <w:rsid w:val="0005642B"/>
    <w:rsid w:val="000567ED"/>
    <w:rsid w:val="0005680B"/>
    <w:rsid w:val="0005765D"/>
    <w:rsid w:val="00061025"/>
    <w:rsid w:val="00062756"/>
    <w:rsid w:val="00062C1F"/>
    <w:rsid w:val="00063E89"/>
    <w:rsid w:val="00065A10"/>
    <w:rsid w:val="00066404"/>
    <w:rsid w:val="00066E62"/>
    <w:rsid w:val="00066EF8"/>
    <w:rsid w:val="00066F54"/>
    <w:rsid w:val="00067939"/>
    <w:rsid w:val="00067A8E"/>
    <w:rsid w:val="000725EA"/>
    <w:rsid w:val="00072DE0"/>
    <w:rsid w:val="00076945"/>
    <w:rsid w:val="000769F9"/>
    <w:rsid w:val="00080158"/>
    <w:rsid w:val="000810C4"/>
    <w:rsid w:val="00081793"/>
    <w:rsid w:val="000818C8"/>
    <w:rsid w:val="00081E51"/>
    <w:rsid w:val="00082378"/>
    <w:rsid w:val="00083A24"/>
    <w:rsid w:val="000842DE"/>
    <w:rsid w:val="0008475B"/>
    <w:rsid w:val="0008700B"/>
    <w:rsid w:val="00087040"/>
    <w:rsid w:val="00087900"/>
    <w:rsid w:val="00090B45"/>
    <w:rsid w:val="000922A4"/>
    <w:rsid w:val="000930DC"/>
    <w:rsid w:val="00093526"/>
    <w:rsid w:val="00093608"/>
    <w:rsid w:val="0009615D"/>
    <w:rsid w:val="00096596"/>
    <w:rsid w:val="00096F6A"/>
    <w:rsid w:val="000971CF"/>
    <w:rsid w:val="00097745"/>
    <w:rsid w:val="000A0681"/>
    <w:rsid w:val="000A0944"/>
    <w:rsid w:val="000A0A93"/>
    <w:rsid w:val="000A0C9F"/>
    <w:rsid w:val="000A17F7"/>
    <w:rsid w:val="000A3FBD"/>
    <w:rsid w:val="000A4785"/>
    <w:rsid w:val="000A5F1D"/>
    <w:rsid w:val="000A6690"/>
    <w:rsid w:val="000A6AB0"/>
    <w:rsid w:val="000A72F8"/>
    <w:rsid w:val="000A742B"/>
    <w:rsid w:val="000A7C84"/>
    <w:rsid w:val="000B0385"/>
    <w:rsid w:val="000B20B4"/>
    <w:rsid w:val="000B287B"/>
    <w:rsid w:val="000B32D4"/>
    <w:rsid w:val="000B3417"/>
    <w:rsid w:val="000B4673"/>
    <w:rsid w:val="000B46E4"/>
    <w:rsid w:val="000B47E4"/>
    <w:rsid w:val="000B4A2D"/>
    <w:rsid w:val="000B5FFE"/>
    <w:rsid w:val="000B7375"/>
    <w:rsid w:val="000C1CAA"/>
    <w:rsid w:val="000C22C9"/>
    <w:rsid w:val="000C3794"/>
    <w:rsid w:val="000C43E6"/>
    <w:rsid w:val="000C5170"/>
    <w:rsid w:val="000C5B7E"/>
    <w:rsid w:val="000C67A6"/>
    <w:rsid w:val="000C7326"/>
    <w:rsid w:val="000C7AE7"/>
    <w:rsid w:val="000C7D6F"/>
    <w:rsid w:val="000D07B1"/>
    <w:rsid w:val="000D136C"/>
    <w:rsid w:val="000D1829"/>
    <w:rsid w:val="000D2098"/>
    <w:rsid w:val="000D3D4B"/>
    <w:rsid w:val="000D3E82"/>
    <w:rsid w:val="000D41AF"/>
    <w:rsid w:val="000D4262"/>
    <w:rsid w:val="000D4C16"/>
    <w:rsid w:val="000D5403"/>
    <w:rsid w:val="000D5778"/>
    <w:rsid w:val="000D5784"/>
    <w:rsid w:val="000D57C5"/>
    <w:rsid w:val="000D615E"/>
    <w:rsid w:val="000E0116"/>
    <w:rsid w:val="000E0627"/>
    <w:rsid w:val="000E1B3E"/>
    <w:rsid w:val="000E1E50"/>
    <w:rsid w:val="000E20E9"/>
    <w:rsid w:val="000E3392"/>
    <w:rsid w:val="000E3914"/>
    <w:rsid w:val="000E3AA2"/>
    <w:rsid w:val="000E3C3C"/>
    <w:rsid w:val="000E420A"/>
    <w:rsid w:val="000E625E"/>
    <w:rsid w:val="000E7BC6"/>
    <w:rsid w:val="000F0333"/>
    <w:rsid w:val="000F0394"/>
    <w:rsid w:val="000F0794"/>
    <w:rsid w:val="000F07D7"/>
    <w:rsid w:val="000F0902"/>
    <w:rsid w:val="000F0C02"/>
    <w:rsid w:val="000F0C3E"/>
    <w:rsid w:val="000F1CB6"/>
    <w:rsid w:val="000F35C6"/>
    <w:rsid w:val="000F3E9C"/>
    <w:rsid w:val="000F41BC"/>
    <w:rsid w:val="000F4611"/>
    <w:rsid w:val="000F51B9"/>
    <w:rsid w:val="000F6001"/>
    <w:rsid w:val="000F603D"/>
    <w:rsid w:val="000F66CD"/>
    <w:rsid w:val="000F76F4"/>
    <w:rsid w:val="000F7B97"/>
    <w:rsid w:val="0010026B"/>
    <w:rsid w:val="00105BF6"/>
    <w:rsid w:val="001066F0"/>
    <w:rsid w:val="00106994"/>
    <w:rsid w:val="00106C20"/>
    <w:rsid w:val="001077FC"/>
    <w:rsid w:val="00110C6B"/>
    <w:rsid w:val="00110D49"/>
    <w:rsid w:val="001113F0"/>
    <w:rsid w:val="00111ED2"/>
    <w:rsid w:val="00113FFC"/>
    <w:rsid w:val="001152FD"/>
    <w:rsid w:val="00115772"/>
    <w:rsid w:val="00116034"/>
    <w:rsid w:val="00116ABC"/>
    <w:rsid w:val="001200DB"/>
    <w:rsid w:val="00120387"/>
    <w:rsid w:val="00120655"/>
    <w:rsid w:val="00120C5D"/>
    <w:rsid w:val="001219A1"/>
    <w:rsid w:val="00122628"/>
    <w:rsid w:val="00122D9A"/>
    <w:rsid w:val="0012323F"/>
    <w:rsid w:val="001232E8"/>
    <w:rsid w:val="001248F4"/>
    <w:rsid w:val="00124ED9"/>
    <w:rsid w:val="00125F8F"/>
    <w:rsid w:val="0012605D"/>
    <w:rsid w:val="00126E4B"/>
    <w:rsid w:val="00127929"/>
    <w:rsid w:val="00127C2C"/>
    <w:rsid w:val="00130301"/>
    <w:rsid w:val="00130E99"/>
    <w:rsid w:val="001310C4"/>
    <w:rsid w:val="0013162A"/>
    <w:rsid w:val="00131867"/>
    <w:rsid w:val="001319F7"/>
    <w:rsid w:val="00131C3F"/>
    <w:rsid w:val="00131CC4"/>
    <w:rsid w:val="00135675"/>
    <w:rsid w:val="00137B76"/>
    <w:rsid w:val="0014146A"/>
    <w:rsid w:val="00141EA8"/>
    <w:rsid w:val="001425BB"/>
    <w:rsid w:val="001446BF"/>
    <w:rsid w:val="001454D2"/>
    <w:rsid w:val="00145A77"/>
    <w:rsid w:val="00146A62"/>
    <w:rsid w:val="00146A97"/>
    <w:rsid w:val="00147646"/>
    <w:rsid w:val="00151EC6"/>
    <w:rsid w:val="001524B4"/>
    <w:rsid w:val="00154F4E"/>
    <w:rsid w:val="00156501"/>
    <w:rsid w:val="001578EB"/>
    <w:rsid w:val="001578FB"/>
    <w:rsid w:val="00161234"/>
    <w:rsid w:val="00161C9D"/>
    <w:rsid w:val="00162392"/>
    <w:rsid w:val="0016253D"/>
    <w:rsid w:val="00162BB3"/>
    <w:rsid w:val="00163357"/>
    <w:rsid w:val="00163749"/>
    <w:rsid w:val="00163DD6"/>
    <w:rsid w:val="00164F6C"/>
    <w:rsid w:val="001659AC"/>
    <w:rsid w:val="00166421"/>
    <w:rsid w:val="00166E91"/>
    <w:rsid w:val="001674D6"/>
    <w:rsid w:val="00167F5E"/>
    <w:rsid w:val="001709CD"/>
    <w:rsid w:val="00171623"/>
    <w:rsid w:val="001718D4"/>
    <w:rsid w:val="00171EC5"/>
    <w:rsid w:val="00172059"/>
    <w:rsid w:val="00173539"/>
    <w:rsid w:val="00173C98"/>
    <w:rsid w:val="00173CD4"/>
    <w:rsid w:val="00175617"/>
    <w:rsid w:val="0017620D"/>
    <w:rsid w:val="00176EFA"/>
    <w:rsid w:val="001800B6"/>
    <w:rsid w:val="00180C1E"/>
    <w:rsid w:val="00181728"/>
    <w:rsid w:val="0018200B"/>
    <w:rsid w:val="001826C0"/>
    <w:rsid w:val="0018290B"/>
    <w:rsid w:val="00182CF6"/>
    <w:rsid w:val="00182EAA"/>
    <w:rsid w:val="00184502"/>
    <w:rsid w:val="0018537A"/>
    <w:rsid w:val="0018567A"/>
    <w:rsid w:val="00185EF1"/>
    <w:rsid w:val="0018638D"/>
    <w:rsid w:val="00187988"/>
    <w:rsid w:val="0019078C"/>
    <w:rsid w:val="00190EF4"/>
    <w:rsid w:val="0019103A"/>
    <w:rsid w:val="0019105F"/>
    <w:rsid w:val="00192C65"/>
    <w:rsid w:val="00192EE6"/>
    <w:rsid w:val="00194ED2"/>
    <w:rsid w:val="00196332"/>
    <w:rsid w:val="00196BCD"/>
    <w:rsid w:val="00196E28"/>
    <w:rsid w:val="0019737D"/>
    <w:rsid w:val="00197A17"/>
    <w:rsid w:val="001A0081"/>
    <w:rsid w:val="001A051F"/>
    <w:rsid w:val="001A20E8"/>
    <w:rsid w:val="001A49E2"/>
    <w:rsid w:val="001A4BEB"/>
    <w:rsid w:val="001A5158"/>
    <w:rsid w:val="001B01EA"/>
    <w:rsid w:val="001B16CD"/>
    <w:rsid w:val="001B25E8"/>
    <w:rsid w:val="001B3A90"/>
    <w:rsid w:val="001B3FE0"/>
    <w:rsid w:val="001B47DE"/>
    <w:rsid w:val="001B5079"/>
    <w:rsid w:val="001B510C"/>
    <w:rsid w:val="001B535E"/>
    <w:rsid w:val="001B5608"/>
    <w:rsid w:val="001B5F92"/>
    <w:rsid w:val="001B6FF9"/>
    <w:rsid w:val="001B74A0"/>
    <w:rsid w:val="001B75DC"/>
    <w:rsid w:val="001C0D58"/>
    <w:rsid w:val="001C1518"/>
    <w:rsid w:val="001C2640"/>
    <w:rsid w:val="001C2857"/>
    <w:rsid w:val="001C2EFF"/>
    <w:rsid w:val="001C32AE"/>
    <w:rsid w:val="001C35A3"/>
    <w:rsid w:val="001C4CA1"/>
    <w:rsid w:val="001C597A"/>
    <w:rsid w:val="001C5D26"/>
    <w:rsid w:val="001C7665"/>
    <w:rsid w:val="001C7AC4"/>
    <w:rsid w:val="001C7D56"/>
    <w:rsid w:val="001D05E4"/>
    <w:rsid w:val="001D15C4"/>
    <w:rsid w:val="001D15DF"/>
    <w:rsid w:val="001D3C52"/>
    <w:rsid w:val="001D433D"/>
    <w:rsid w:val="001D4869"/>
    <w:rsid w:val="001E05ED"/>
    <w:rsid w:val="001E1CEA"/>
    <w:rsid w:val="001E1EE3"/>
    <w:rsid w:val="001E1F19"/>
    <w:rsid w:val="001E41AE"/>
    <w:rsid w:val="001E4B12"/>
    <w:rsid w:val="001E53DF"/>
    <w:rsid w:val="001E562D"/>
    <w:rsid w:val="001E6451"/>
    <w:rsid w:val="001E69D1"/>
    <w:rsid w:val="001E7042"/>
    <w:rsid w:val="001E7472"/>
    <w:rsid w:val="001E7EB7"/>
    <w:rsid w:val="001F031D"/>
    <w:rsid w:val="001F0F6C"/>
    <w:rsid w:val="001F105A"/>
    <w:rsid w:val="001F1707"/>
    <w:rsid w:val="001F18A7"/>
    <w:rsid w:val="001F1ADC"/>
    <w:rsid w:val="001F2249"/>
    <w:rsid w:val="001F24E5"/>
    <w:rsid w:val="001F2D02"/>
    <w:rsid w:val="001F2F6E"/>
    <w:rsid w:val="001F363E"/>
    <w:rsid w:val="001F4C02"/>
    <w:rsid w:val="001F539B"/>
    <w:rsid w:val="001F66D7"/>
    <w:rsid w:val="0020006E"/>
    <w:rsid w:val="00202304"/>
    <w:rsid w:val="0020355F"/>
    <w:rsid w:val="00203DBD"/>
    <w:rsid w:val="00204201"/>
    <w:rsid w:val="00207526"/>
    <w:rsid w:val="002075E8"/>
    <w:rsid w:val="002076D7"/>
    <w:rsid w:val="0021341B"/>
    <w:rsid w:val="00213D70"/>
    <w:rsid w:val="002142E6"/>
    <w:rsid w:val="00215394"/>
    <w:rsid w:val="002155A5"/>
    <w:rsid w:val="0021724C"/>
    <w:rsid w:val="0021785D"/>
    <w:rsid w:val="00217860"/>
    <w:rsid w:val="00217B80"/>
    <w:rsid w:val="00217F43"/>
    <w:rsid w:val="00221236"/>
    <w:rsid w:val="002212E8"/>
    <w:rsid w:val="00221AE5"/>
    <w:rsid w:val="00221DB0"/>
    <w:rsid w:val="00221E88"/>
    <w:rsid w:val="00222849"/>
    <w:rsid w:val="002229EE"/>
    <w:rsid w:val="00223EE2"/>
    <w:rsid w:val="00224613"/>
    <w:rsid w:val="00224D7F"/>
    <w:rsid w:val="00224EEE"/>
    <w:rsid w:val="00224F85"/>
    <w:rsid w:val="00225B41"/>
    <w:rsid w:val="0022755D"/>
    <w:rsid w:val="00227BAB"/>
    <w:rsid w:val="00230695"/>
    <w:rsid w:val="00231A03"/>
    <w:rsid w:val="00231A99"/>
    <w:rsid w:val="00231AD5"/>
    <w:rsid w:val="00231E8F"/>
    <w:rsid w:val="002337F2"/>
    <w:rsid w:val="00233BDE"/>
    <w:rsid w:val="00236130"/>
    <w:rsid w:val="002362EB"/>
    <w:rsid w:val="0024127A"/>
    <w:rsid w:val="00241B0E"/>
    <w:rsid w:val="002422B3"/>
    <w:rsid w:val="00242648"/>
    <w:rsid w:val="0024267B"/>
    <w:rsid w:val="002432CB"/>
    <w:rsid w:val="002442E0"/>
    <w:rsid w:val="00244649"/>
    <w:rsid w:val="0024520E"/>
    <w:rsid w:val="00245A9A"/>
    <w:rsid w:val="00247754"/>
    <w:rsid w:val="00247DE7"/>
    <w:rsid w:val="0025067A"/>
    <w:rsid w:val="002506E7"/>
    <w:rsid w:val="00251F3D"/>
    <w:rsid w:val="002532BF"/>
    <w:rsid w:val="00253B46"/>
    <w:rsid w:val="00254C85"/>
    <w:rsid w:val="00255526"/>
    <w:rsid w:val="002555D7"/>
    <w:rsid w:val="00256131"/>
    <w:rsid w:val="00257379"/>
    <w:rsid w:val="002605AC"/>
    <w:rsid w:val="00260B81"/>
    <w:rsid w:val="00260E78"/>
    <w:rsid w:val="0026159D"/>
    <w:rsid w:val="0026308D"/>
    <w:rsid w:val="0026397E"/>
    <w:rsid w:val="00265382"/>
    <w:rsid w:val="00265B2B"/>
    <w:rsid w:val="00265DF6"/>
    <w:rsid w:val="00270539"/>
    <w:rsid w:val="0027058E"/>
    <w:rsid w:val="002729D7"/>
    <w:rsid w:val="00273AE0"/>
    <w:rsid w:val="00274040"/>
    <w:rsid w:val="002744F6"/>
    <w:rsid w:val="00275667"/>
    <w:rsid w:val="00276071"/>
    <w:rsid w:val="00277B03"/>
    <w:rsid w:val="002805DB"/>
    <w:rsid w:val="00280CC2"/>
    <w:rsid w:val="002822AE"/>
    <w:rsid w:val="00283B7D"/>
    <w:rsid w:val="00284A60"/>
    <w:rsid w:val="00284B70"/>
    <w:rsid w:val="00286729"/>
    <w:rsid w:val="00287945"/>
    <w:rsid w:val="00287C03"/>
    <w:rsid w:val="00290B28"/>
    <w:rsid w:val="0029117A"/>
    <w:rsid w:val="0029245C"/>
    <w:rsid w:val="00292C95"/>
    <w:rsid w:val="00293976"/>
    <w:rsid w:val="00294005"/>
    <w:rsid w:val="002941A2"/>
    <w:rsid w:val="002958CD"/>
    <w:rsid w:val="0029705C"/>
    <w:rsid w:val="002A0E76"/>
    <w:rsid w:val="002A219A"/>
    <w:rsid w:val="002A23D0"/>
    <w:rsid w:val="002A3656"/>
    <w:rsid w:val="002A4B27"/>
    <w:rsid w:val="002A6155"/>
    <w:rsid w:val="002A6E6C"/>
    <w:rsid w:val="002A6EBF"/>
    <w:rsid w:val="002A6F36"/>
    <w:rsid w:val="002A719C"/>
    <w:rsid w:val="002A722E"/>
    <w:rsid w:val="002A7E97"/>
    <w:rsid w:val="002B022F"/>
    <w:rsid w:val="002B0593"/>
    <w:rsid w:val="002B09C7"/>
    <w:rsid w:val="002B1195"/>
    <w:rsid w:val="002B1A9F"/>
    <w:rsid w:val="002B20E0"/>
    <w:rsid w:val="002B3813"/>
    <w:rsid w:val="002B4992"/>
    <w:rsid w:val="002B5105"/>
    <w:rsid w:val="002B5C0F"/>
    <w:rsid w:val="002B6BCD"/>
    <w:rsid w:val="002C0215"/>
    <w:rsid w:val="002C15BA"/>
    <w:rsid w:val="002C1CDC"/>
    <w:rsid w:val="002C1EF9"/>
    <w:rsid w:val="002C2F1E"/>
    <w:rsid w:val="002C2F84"/>
    <w:rsid w:val="002C3771"/>
    <w:rsid w:val="002C393C"/>
    <w:rsid w:val="002C3C4E"/>
    <w:rsid w:val="002C451F"/>
    <w:rsid w:val="002C4D7A"/>
    <w:rsid w:val="002C51C5"/>
    <w:rsid w:val="002C67A4"/>
    <w:rsid w:val="002C742D"/>
    <w:rsid w:val="002D0282"/>
    <w:rsid w:val="002D03FB"/>
    <w:rsid w:val="002D1487"/>
    <w:rsid w:val="002D1570"/>
    <w:rsid w:val="002D1684"/>
    <w:rsid w:val="002D2170"/>
    <w:rsid w:val="002D32A7"/>
    <w:rsid w:val="002D38B2"/>
    <w:rsid w:val="002D3ABD"/>
    <w:rsid w:val="002D3E03"/>
    <w:rsid w:val="002D40DE"/>
    <w:rsid w:val="002D48C3"/>
    <w:rsid w:val="002D4C2D"/>
    <w:rsid w:val="002D52DE"/>
    <w:rsid w:val="002D5C76"/>
    <w:rsid w:val="002D7098"/>
    <w:rsid w:val="002E0557"/>
    <w:rsid w:val="002E0900"/>
    <w:rsid w:val="002E0EA1"/>
    <w:rsid w:val="002E0FC8"/>
    <w:rsid w:val="002E18FD"/>
    <w:rsid w:val="002E1D52"/>
    <w:rsid w:val="002E2302"/>
    <w:rsid w:val="002E4284"/>
    <w:rsid w:val="002E43D7"/>
    <w:rsid w:val="002E526E"/>
    <w:rsid w:val="002E63E6"/>
    <w:rsid w:val="002F0593"/>
    <w:rsid w:val="002F19E4"/>
    <w:rsid w:val="002F1D65"/>
    <w:rsid w:val="002F2E6B"/>
    <w:rsid w:val="002F355F"/>
    <w:rsid w:val="002F48B6"/>
    <w:rsid w:val="002F48BE"/>
    <w:rsid w:val="002F4B13"/>
    <w:rsid w:val="002F586C"/>
    <w:rsid w:val="002F6FC9"/>
    <w:rsid w:val="002F7A9D"/>
    <w:rsid w:val="00300394"/>
    <w:rsid w:val="0030294C"/>
    <w:rsid w:val="003030A6"/>
    <w:rsid w:val="003039E2"/>
    <w:rsid w:val="00304F0A"/>
    <w:rsid w:val="003056FD"/>
    <w:rsid w:val="00305D55"/>
    <w:rsid w:val="003066F8"/>
    <w:rsid w:val="003068EB"/>
    <w:rsid w:val="00311567"/>
    <w:rsid w:val="00311852"/>
    <w:rsid w:val="00311C30"/>
    <w:rsid w:val="003121CD"/>
    <w:rsid w:val="003123D2"/>
    <w:rsid w:val="003131E8"/>
    <w:rsid w:val="00313576"/>
    <w:rsid w:val="00313588"/>
    <w:rsid w:val="00315023"/>
    <w:rsid w:val="00315AAD"/>
    <w:rsid w:val="0031627A"/>
    <w:rsid w:val="00316632"/>
    <w:rsid w:val="00316852"/>
    <w:rsid w:val="00316EF4"/>
    <w:rsid w:val="003178B6"/>
    <w:rsid w:val="003179D7"/>
    <w:rsid w:val="00320CF8"/>
    <w:rsid w:val="0032137C"/>
    <w:rsid w:val="003228C7"/>
    <w:rsid w:val="00322917"/>
    <w:rsid w:val="00322A04"/>
    <w:rsid w:val="00322A4F"/>
    <w:rsid w:val="00322C56"/>
    <w:rsid w:val="0032340A"/>
    <w:rsid w:val="0032361F"/>
    <w:rsid w:val="00324665"/>
    <w:rsid w:val="003248A0"/>
    <w:rsid w:val="00326225"/>
    <w:rsid w:val="0033014A"/>
    <w:rsid w:val="00331568"/>
    <w:rsid w:val="00331B1B"/>
    <w:rsid w:val="003329F0"/>
    <w:rsid w:val="00332C40"/>
    <w:rsid w:val="0033336E"/>
    <w:rsid w:val="00333EA8"/>
    <w:rsid w:val="00334586"/>
    <w:rsid w:val="00335E49"/>
    <w:rsid w:val="00335FAE"/>
    <w:rsid w:val="00336BD0"/>
    <w:rsid w:val="00337248"/>
    <w:rsid w:val="00340C3F"/>
    <w:rsid w:val="003417BF"/>
    <w:rsid w:val="003425CB"/>
    <w:rsid w:val="0034261F"/>
    <w:rsid w:val="00343CF5"/>
    <w:rsid w:val="00344237"/>
    <w:rsid w:val="00345CCE"/>
    <w:rsid w:val="00347314"/>
    <w:rsid w:val="00347877"/>
    <w:rsid w:val="00353488"/>
    <w:rsid w:val="00354621"/>
    <w:rsid w:val="003547AD"/>
    <w:rsid w:val="00354E0E"/>
    <w:rsid w:val="00356C8B"/>
    <w:rsid w:val="00357DBC"/>
    <w:rsid w:val="00361EF9"/>
    <w:rsid w:val="0036296E"/>
    <w:rsid w:val="00363C82"/>
    <w:rsid w:val="003641D6"/>
    <w:rsid w:val="003650A4"/>
    <w:rsid w:val="003652C6"/>
    <w:rsid w:val="003666D5"/>
    <w:rsid w:val="00367764"/>
    <w:rsid w:val="00367A52"/>
    <w:rsid w:val="00370059"/>
    <w:rsid w:val="00370D50"/>
    <w:rsid w:val="00370D61"/>
    <w:rsid w:val="0037124D"/>
    <w:rsid w:val="003718E8"/>
    <w:rsid w:val="00371A33"/>
    <w:rsid w:val="00371A49"/>
    <w:rsid w:val="00371CAF"/>
    <w:rsid w:val="00372029"/>
    <w:rsid w:val="0037214F"/>
    <w:rsid w:val="003731F5"/>
    <w:rsid w:val="00373C09"/>
    <w:rsid w:val="00374979"/>
    <w:rsid w:val="00374FCE"/>
    <w:rsid w:val="003750A8"/>
    <w:rsid w:val="00375447"/>
    <w:rsid w:val="003756AE"/>
    <w:rsid w:val="00375DD8"/>
    <w:rsid w:val="00375DDC"/>
    <w:rsid w:val="00376E8C"/>
    <w:rsid w:val="0038078B"/>
    <w:rsid w:val="00380ECE"/>
    <w:rsid w:val="00382FCA"/>
    <w:rsid w:val="00382FED"/>
    <w:rsid w:val="00383A89"/>
    <w:rsid w:val="00383D2C"/>
    <w:rsid w:val="00383E58"/>
    <w:rsid w:val="00384601"/>
    <w:rsid w:val="00384CE2"/>
    <w:rsid w:val="00385F39"/>
    <w:rsid w:val="003862E7"/>
    <w:rsid w:val="0039024E"/>
    <w:rsid w:val="00390D9E"/>
    <w:rsid w:val="00392DE3"/>
    <w:rsid w:val="003937FA"/>
    <w:rsid w:val="00393A5B"/>
    <w:rsid w:val="00394CCE"/>
    <w:rsid w:val="003964D6"/>
    <w:rsid w:val="00397E0E"/>
    <w:rsid w:val="003A2DFC"/>
    <w:rsid w:val="003A2FEB"/>
    <w:rsid w:val="003A47E5"/>
    <w:rsid w:val="003A4907"/>
    <w:rsid w:val="003A538E"/>
    <w:rsid w:val="003A56EF"/>
    <w:rsid w:val="003A5DFC"/>
    <w:rsid w:val="003A5E4C"/>
    <w:rsid w:val="003A6227"/>
    <w:rsid w:val="003A6B25"/>
    <w:rsid w:val="003A6BD3"/>
    <w:rsid w:val="003A7D8F"/>
    <w:rsid w:val="003B1392"/>
    <w:rsid w:val="003B18B8"/>
    <w:rsid w:val="003B2E7C"/>
    <w:rsid w:val="003B4689"/>
    <w:rsid w:val="003B5722"/>
    <w:rsid w:val="003B7CD4"/>
    <w:rsid w:val="003C02C1"/>
    <w:rsid w:val="003C070C"/>
    <w:rsid w:val="003C0CEC"/>
    <w:rsid w:val="003C1356"/>
    <w:rsid w:val="003C3A38"/>
    <w:rsid w:val="003C3F7C"/>
    <w:rsid w:val="003C4D6A"/>
    <w:rsid w:val="003C5445"/>
    <w:rsid w:val="003C68B3"/>
    <w:rsid w:val="003D30D9"/>
    <w:rsid w:val="003D4237"/>
    <w:rsid w:val="003D4EEA"/>
    <w:rsid w:val="003D5796"/>
    <w:rsid w:val="003D5B8A"/>
    <w:rsid w:val="003D611F"/>
    <w:rsid w:val="003D76C6"/>
    <w:rsid w:val="003D7D63"/>
    <w:rsid w:val="003E0492"/>
    <w:rsid w:val="003E1A2B"/>
    <w:rsid w:val="003E28B0"/>
    <w:rsid w:val="003E340B"/>
    <w:rsid w:val="003E3F07"/>
    <w:rsid w:val="003E48A3"/>
    <w:rsid w:val="003E69F5"/>
    <w:rsid w:val="003E72BA"/>
    <w:rsid w:val="003E7313"/>
    <w:rsid w:val="003E7E84"/>
    <w:rsid w:val="003F0091"/>
    <w:rsid w:val="003F030F"/>
    <w:rsid w:val="003F0338"/>
    <w:rsid w:val="003F08C9"/>
    <w:rsid w:val="003F1B17"/>
    <w:rsid w:val="003F1C78"/>
    <w:rsid w:val="003F1DAC"/>
    <w:rsid w:val="003F3907"/>
    <w:rsid w:val="003F40FA"/>
    <w:rsid w:val="00400257"/>
    <w:rsid w:val="00400C9C"/>
    <w:rsid w:val="00400FA1"/>
    <w:rsid w:val="004017CE"/>
    <w:rsid w:val="00401998"/>
    <w:rsid w:val="00403388"/>
    <w:rsid w:val="00404388"/>
    <w:rsid w:val="00404AB1"/>
    <w:rsid w:val="004051EE"/>
    <w:rsid w:val="004052AA"/>
    <w:rsid w:val="004056DA"/>
    <w:rsid w:val="00405D5C"/>
    <w:rsid w:val="00406616"/>
    <w:rsid w:val="00406D2C"/>
    <w:rsid w:val="0040765C"/>
    <w:rsid w:val="00407C13"/>
    <w:rsid w:val="00411A63"/>
    <w:rsid w:val="004135B1"/>
    <w:rsid w:val="004136F3"/>
    <w:rsid w:val="0041717B"/>
    <w:rsid w:val="004221EC"/>
    <w:rsid w:val="00424C3B"/>
    <w:rsid w:val="00427C84"/>
    <w:rsid w:val="00427F96"/>
    <w:rsid w:val="00430184"/>
    <w:rsid w:val="0043088B"/>
    <w:rsid w:val="004310C4"/>
    <w:rsid w:val="00431472"/>
    <w:rsid w:val="004314DF"/>
    <w:rsid w:val="004317A3"/>
    <w:rsid w:val="00431BCF"/>
    <w:rsid w:val="00431D06"/>
    <w:rsid w:val="00431D99"/>
    <w:rsid w:val="00431F38"/>
    <w:rsid w:val="004331AA"/>
    <w:rsid w:val="004337D5"/>
    <w:rsid w:val="00440507"/>
    <w:rsid w:val="00442672"/>
    <w:rsid w:val="004426AB"/>
    <w:rsid w:val="004433A7"/>
    <w:rsid w:val="004446E5"/>
    <w:rsid w:val="00444806"/>
    <w:rsid w:val="00445572"/>
    <w:rsid w:val="00445C1B"/>
    <w:rsid w:val="00445F07"/>
    <w:rsid w:val="00446D76"/>
    <w:rsid w:val="00446E75"/>
    <w:rsid w:val="00447866"/>
    <w:rsid w:val="00447F38"/>
    <w:rsid w:val="00450793"/>
    <w:rsid w:val="00450916"/>
    <w:rsid w:val="004513D6"/>
    <w:rsid w:val="00452829"/>
    <w:rsid w:val="00452F06"/>
    <w:rsid w:val="00453AB1"/>
    <w:rsid w:val="0045456C"/>
    <w:rsid w:val="004547FE"/>
    <w:rsid w:val="004548EE"/>
    <w:rsid w:val="00455E60"/>
    <w:rsid w:val="00456E1D"/>
    <w:rsid w:val="00460961"/>
    <w:rsid w:val="004609AC"/>
    <w:rsid w:val="00460A24"/>
    <w:rsid w:val="00460C2A"/>
    <w:rsid w:val="0046110F"/>
    <w:rsid w:val="004624D8"/>
    <w:rsid w:val="00462EF7"/>
    <w:rsid w:val="004645CB"/>
    <w:rsid w:val="00465C52"/>
    <w:rsid w:val="00465C95"/>
    <w:rsid w:val="00467E45"/>
    <w:rsid w:val="00471361"/>
    <w:rsid w:val="0047150C"/>
    <w:rsid w:val="00472656"/>
    <w:rsid w:val="00472B6D"/>
    <w:rsid w:val="0047518C"/>
    <w:rsid w:val="00477C02"/>
    <w:rsid w:val="00481162"/>
    <w:rsid w:val="004823C2"/>
    <w:rsid w:val="0048332E"/>
    <w:rsid w:val="004848E4"/>
    <w:rsid w:val="00484AE7"/>
    <w:rsid w:val="00484E25"/>
    <w:rsid w:val="00486B0A"/>
    <w:rsid w:val="00486C5A"/>
    <w:rsid w:val="004876E4"/>
    <w:rsid w:val="00487FA4"/>
    <w:rsid w:val="00492098"/>
    <w:rsid w:val="0049349D"/>
    <w:rsid w:val="00494276"/>
    <w:rsid w:val="00494E4F"/>
    <w:rsid w:val="00497ADC"/>
    <w:rsid w:val="00497D36"/>
    <w:rsid w:val="00497F44"/>
    <w:rsid w:val="004A0780"/>
    <w:rsid w:val="004A0D80"/>
    <w:rsid w:val="004A0DB9"/>
    <w:rsid w:val="004A2313"/>
    <w:rsid w:val="004A27A4"/>
    <w:rsid w:val="004A2DB5"/>
    <w:rsid w:val="004A3033"/>
    <w:rsid w:val="004A3947"/>
    <w:rsid w:val="004A3B68"/>
    <w:rsid w:val="004A4B2A"/>
    <w:rsid w:val="004A4F19"/>
    <w:rsid w:val="004A5DE5"/>
    <w:rsid w:val="004A5E14"/>
    <w:rsid w:val="004A627D"/>
    <w:rsid w:val="004A6CC1"/>
    <w:rsid w:val="004A7577"/>
    <w:rsid w:val="004B06A2"/>
    <w:rsid w:val="004B08BA"/>
    <w:rsid w:val="004B1C9F"/>
    <w:rsid w:val="004B1E3D"/>
    <w:rsid w:val="004B227E"/>
    <w:rsid w:val="004B25B1"/>
    <w:rsid w:val="004B2C97"/>
    <w:rsid w:val="004B3A4C"/>
    <w:rsid w:val="004B777C"/>
    <w:rsid w:val="004B7C94"/>
    <w:rsid w:val="004C12EE"/>
    <w:rsid w:val="004C2019"/>
    <w:rsid w:val="004C2169"/>
    <w:rsid w:val="004C37C5"/>
    <w:rsid w:val="004C4107"/>
    <w:rsid w:val="004C4B9E"/>
    <w:rsid w:val="004C5ED0"/>
    <w:rsid w:val="004C7321"/>
    <w:rsid w:val="004C7F92"/>
    <w:rsid w:val="004D04EA"/>
    <w:rsid w:val="004D0510"/>
    <w:rsid w:val="004D075E"/>
    <w:rsid w:val="004D1BA7"/>
    <w:rsid w:val="004D24A0"/>
    <w:rsid w:val="004D2BF5"/>
    <w:rsid w:val="004D3317"/>
    <w:rsid w:val="004D3F42"/>
    <w:rsid w:val="004D4089"/>
    <w:rsid w:val="004D41FA"/>
    <w:rsid w:val="004D4500"/>
    <w:rsid w:val="004D499E"/>
    <w:rsid w:val="004D4A9A"/>
    <w:rsid w:val="004D7B0A"/>
    <w:rsid w:val="004E0396"/>
    <w:rsid w:val="004E13FB"/>
    <w:rsid w:val="004E2910"/>
    <w:rsid w:val="004E3543"/>
    <w:rsid w:val="004E4EFE"/>
    <w:rsid w:val="004E5316"/>
    <w:rsid w:val="004E588C"/>
    <w:rsid w:val="004E660B"/>
    <w:rsid w:val="004E778C"/>
    <w:rsid w:val="004F0FCB"/>
    <w:rsid w:val="004F28B5"/>
    <w:rsid w:val="004F3B67"/>
    <w:rsid w:val="004F53DA"/>
    <w:rsid w:val="004F682C"/>
    <w:rsid w:val="004F6F33"/>
    <w:rsid w:val="004F71C6"/>
    <w:rsid w:val="005001EC"/>
    <w:rsid w:val="005016D5"/>
    <w:rsid w:val="005029C3"/>
    <w:rsid w:val="00502BB7"/>
    <w:rsid w:val="005050C3"/>
    <w:rsid w:val="00505AB3"/>
    <w:rsid w:val="0050639A"/>
    <w:rsid w:val="00507C36"/>
    <w:rsid w:val="00507F4A"/>
    <w:rsid w:val="00511059"/>
    <w:rsid w:val="0051326E"/>
    <w:rsid w:val="005168CD"/>
    <w:rsid w:val="005175C5"/>
    <w:rsid w:val="005178A1"/>
    <w:rsid w:val="0052015F"/>
    <w:rsid w:val="0052194B"/>
    <w:rsid w:val="00522729"/>
    <w:rsid w:val="0052461F"/>
    <w:rsid w:val="00527395"/>
    <w:rsid w:val="00527E85"/>
    <w:rsid w:val="005300B2"/>
    <w:rsid w:val="00530169"/>
    <w:rsid w:val="00530339"/>
    <w:rsid w:val="00530A14"/>
    <w:rsid w:val="00530D19"/>
    <w:rsid w:val="005315D4"/>
    <w:rsid w:val="00533009"/>
    <w:rsid w:val="005330E8"/>
    <w:rsid w:val="0053458F"/>
    <w:rsid w:val="00534758"/>
    <w:rsid w:val="00536912"/>
    <w:rsid w:val="00536E4C"/>
    <w:rsid w:val="00536E61"/>
    <w:rsid w:val="005377A2"/>
    <w:rsid w:val="00540962"/>
    <w:rsid w:val="00540A46"/>
    <w:rsid w:val="0054174C"/>
    <w:rsid w:val="0054220C"/>
    <w:rsid w:val="005448D9"/>
    <w:rsid w:val="00545047"/>
    <w:rsid w:val="0054570A"/>
    <w:rsid w:val="00545E43"/>
    <w:rsid w:val="00545F78"/>
    <w:rsid w:val="00546DEA"/>
    <w:rsid w:val="005475BA"/>
    <w:rsid w:val="005504FA"/>
    <w:rsid w:val="0055128E"/>
    <w:rsid w:val="00551F5F"/>
    <w:rsid w:val="00552324"/>
    <w:rsid w:val="00552360"/>
    <w:rsid w:val="00552438"/>
    <w:rsid w:val="00554096"/>
    <w:rsid w:val="00555885"/>
    <w:rsid w:val="00555A80"/>
    <w:rsid w:val="00555ED6"/>
    <w:rsid w:val="00555F02"/>
    <w:rsid w:val="00555FA0"/>
    <w:rsid w:val="0055712D"/>
    <w:rsid w:val="00557186"/>
    <w:rsid w:val="00557C61"/>
    <w:rsid w:val="0056110F"/>
    <w:rsid w:val="00561293"/>
    <w:rsid w:val="00561BEA"/>
    <w:rsid w:val="005620C4"/>
    <w:rsid w:val="00562EFD"/>
    <w:rsid w:val="00563C99"/>
    <w:rsid w:val="00563DC0"/>
    <w:rsid w:val="00563E93"/>
    <w:rsid w:val="00564587"/>
    <w:rsid w:val="005658D7"/>
    <w:rsid w:val="00565C10"/>
    <w:rsid w:val="00565CA8"/>
    <w:rsid w:val="00565D5E"/>
    <w:rsid w:val="00565FF3"/>
    <w:rsid w:val="0056631C"/>
    <w:rsid w:val="005671D3"/>
    <w:rsid w:val="00570274"/>
    <w:rsid w:val="00570D82"/>
    <w:rsid w:val="005711E8"/>
    <w:rsid w:val="00571B54"/>
    <w:rsid w:val="0057296D"/>
    <w:rsid w:val="00572E62"/>
    <w:rsid w:val="00574226"/>
    <w:rsid w:val="005742B0"/>
    <w:rsid w:val="00574701"/>
    <w:rsid w:val="0057479E"/>
    <w:rsid w:val="005750DA"/>
    <w:rsid w:val="00575632"/>
    <w:rsid w:val="00575B21"/>
    <w:rsid w:val="0057763B"/>
    <w:rsid w:val="0058467F"/>
    <w:rsid w:val="00584C35"/>
    <w:rsid w:val="0058694D"/>
    <w:rsid w:val="0058799C"/>
    <w:rsid w:val="005879DE"/>
    <w:rsid w:val="00587A3F"/>
    <w:rsid w:val="00587EE8"/>
    <w:rsid w:val="00593083"/>
    <w:rsid w:val="00593179"/>
    <w:rsid w:val="0059353A"/>
    <w:rsid w:val="00593717"/>
    <w:rsid w:val="005941F5"/>
    <w:rsid w:val="00594415"/>
    <w:rsid w:val="0059569E"/>
    <w:rsid w:val="0059617A"/>
    <w:rsid w:val="00596479"/>
    <w:rsid w:val="005964B3"/>
    <w:rsid w:val="005973D8"/>
    <w:rsid w:val="005A0394"/>
    <w:rsid w:val="005A049D"/>
    <w:rsid w:val="005A0C97"/>
    <w:rsid w:val="005A12CB"/>
    <w:rsid w:val="005A2E3E"/>
    <w:rsid w:val="005A3615"/>
    <w:rsid w:val="005A38CB"/>
    <w:rsid w:val="005A44D6"/>
    <w:rsid w:val="005A7C55"/>
    <w:rsid w:val="005B1608"/>
    <w:rsid w:val="005B2109"/>
    <w:rsid w:val="005B2317"/>
    <w:rsid w:val="005B259F"/>
    <w:rsid w:val="005B2A4A"/>
    <w:rsid w:val="005B3CC3"/>
    <w:rsid w:val="005B3D5F"/>
    <w:rsid w:val="005B3D90"/>
    <w:rsid w:val="005B418D"/>
    <w:rsid w:val="005B484D"/>
    <w:rsid w:val="005B5278"/>
    <w:rsid w:val="005B534D"/>
    <w:rsid w:val="005B5CAF"/>
    <w:rsid w:val="005B5EE6"/>
    <w:rsid w:val="005B665B"/>
    <w:rsid w:val="005B6C88"/>
    <w:rsid w:val="005C1578"/>
    <w:rsid w:val="005C2DFC"/>
    <w:rsid w:val="005C3882"/>
    <w:rsid w:val="005C3893"/>
    <w:rsid w:val="005C490E"/>
    <w:rsid w:val="005C4BDC"/>
    <w:rsid w:val="005C4EE9"/>
    <w:rsid w:val="005C69E5"/>
    <w:rsid w:val="005C75E8"/>
    <w:rsid w:val="005D131D"/>
    <w:rsid w:val="005D2794"/>
    <w:rsid w:val="005D3678"/>
    <w:rsid w:val="005D400C"/>
    <w:rsid w:val="005D4296"/>
    <w:rsid w:val="005D5BEA"/>
    <w:rsid w:val="005D6A3E"/>
    <w:rsid w:val="005E441E"/>
    <w:rsid w:val="005E5B44"/>
    <w:rsid w:val="005F0D3F"/>
    <w:rsid w:val="005F11E3"/>
    <w:rsid w:val="005F34B3"/>
    <w:rsid w:val="005F492D"/>
    <w:rsid w:val="005F4B25"/>
    <w:rsid w:val="005F4E58"/>
    <w:rsid w:val="005F5CA5"/>
    <w:rsid w:val="005F60FE"/>
    <w:rsid w:val="005F62F7"/>
    <w:rsid w:val="005F65B6"/>
    <w:rsid w:val="005F6EE7"/>
    <w:rsid w:val="005F70AF"/>
    <w:rsid w:val="005F721A"/>
    <w:rsid w:val="0060019F"/>
    <w:rsid w:val="00600303"/>
    <w:rsid w:val="0060343B"/>
    <w:rsid w:val="00603CB7"/>
    <w:rsid w:val="00604134"/>
    <w:rsid w:val="0060441F"/>
    <w:rsid w:val="0060530D"/>
    <w:rsid w:val="006067CB"/>
    <w:rsid w:val="0060727A"/>
    <w:rsid w:val="00607324"/>
    <w:rsid w:val="00607BD4"/>
    <w:rsid w:val="006108F0"/>
    <w:rsid w:val="00611B26"/>
    <w:rsid w:val="00611E8C"/>
    <w:rsid w:val="00611F79"/>
    <w:rsid w:val="00612193"/>
    <w:rsid w:val="0061437F"/>
    <w:rsid w:val="006146A4"/>
    <w:rsid w:val="00614E00"/>
    <w:rsid w:val="00616911"/>
    <w:rsid w:val="00616D29"/>
    <w:rsid w:val="00617B73"/>
    <w:rsid w:val="00617BE1"/>
    <w:rsid w:val="00622386"/>
    <w:rsid w:val="0062260B"/>
    <w:rsid w:val="00623601"/>
    <w:rsid w:val="00623A61"/>
    <w:rsid w:val="00625079"/>
    <w:rsid w:val="00625294"/>
    <w:rsid w:val="00625B8D"/>
    <w:rsid w:val="00625ECB"/>
    <w:rsid w:val="006263D4"/>
    <w:rsid w:val="0062650C"/>
    <w:rsid w:val="006307EF"/>
    <w:rsid w:val="00630A39"/>
    <w:rsid w:val="00631CC3"/>
    <w:rsid w:val="0063556E"/>
    <w:rsid w:val="006368E7"/>
    <w:rsid w:val="00636DEC"/>
    <w:rsid w:val="00637C00"/>
    <w:rsid w:val="00640BC2"/>
    <w:rsid w:val="00641078"/>
    <w:rsid w:val="0064274B"/>
    <w:rsid w:val="00642CB5"/>
    <w:rsid w:val="00643879"/>
    <w:rsid w:val="00643916"/>
    <w:rsid w:val="00643A16"/>
    <w:rsid w:val="00644401"/>
    <w:rsid w:val="00644697"/>
    <w:rsid w:val="00645E89"/>
    <w:rsid w:val="00646B73"/>
    <w:rsid w:val="00646FB0"/>
    <w:rsid w:val="0065098E"/>
    <w:rsid w:val="00650E75"/>
    <w:rsid w:val="006511C8"/>
    <w:rsid w:val="00651293"/>
    <w:rsid w:val="00651D60"/>
    <w:rsid w:val="00651E44"/>
    <w:rsid w:val="00652047"/>
    <w:rsid w:val="0065234E"/>
    <w:rsid w:val="0065369D"/>
    <w:rsid w:val="0065382E"/>
    <w:rsid w:val="00654AE0"/>
    <w:rsid w:val="00654DAC"/>
    <w:rsid w:val="00654F49"/>
    <w:rsid w:val="00656A7B"/>
    <w:rsid w:val="00660C1D"/>
    <w:rsid w:val="006625FF"/>
    <w:rsid w:val="006645CB"/>
    <w:rsid w:val="00664AF7"/>
    <w:rsid w:val="0066631A"/>
    <w:rsid w:val="00667D6E"/>
    <w:rsid w:val="006713CF"/>
    <w:rsid w:val="0067153A"/>
    <w:rsid w:val="00671C9C"/>
    <w:rsid w:val="00671F7A"/>
    <w:rsid w:val="00672C99"/>
    <w:rsid w:val="00673A1E"/>
    <w:rsid w:val="006744EE"/>
    <w:rsid w:val="00674C5C"/>
    <w:rsid w:val="0067756F"/>
    <w:rsid w:val="006775E7"/>
    <w:rsid w:val="0068002D"/>
    <w:rsid w:val="006803F8"/>
    <w:rsid w:val="00680DD6"/>
    <w:rsid w:val="00681A74"/>
    <w:rsid w:val="00681E00"/>
    <w:rsid w:val="0068224A"/>
    <w:rsid w:val="00682582"/>
    <w:rsid w:val="00683720"/>
    <w:rsid w:val="00683909"/>
    <w:rsid w:val="00683A73"/>
    <w:rsid w:val="00684D32"/>
    <w:rsid w:val="00685402"/>
    <w:rsid w:val="00685C29"/>
    <w:rsid w:val="006875FC"/>
    <w:rsid w:val="00691294"/>
    <w:rsid w:val="00691B0C"/>
    <w:rsid w:val="006923D2"/>
    <w:rsid w:val="006927D0"/>
    <w:rsid w:val="006930AA"/>
    <w:rsid w:val="00693142"/>
    <w:rsid w:val="0069389F"/>
    <w:rsid w:val="00693A41"/>
    <w:rsid w:val="006948D6"/>
    <w:rsid w:val="00695F33"/>
    <w:rsid w:val="00697AC1"/>
    <w:rsid w:val="006A0EEB"/>
    <w:rsid w:val="006A1874"/>
    <w:rsid w:val="006A1F54"/>
    <w:rsid w:val="006A2017"/>
    <w:rsid w:val="006A2BE5"/>
    <w:rsid w:val="006A2E0C"/>
    <w:rsid w:val="006A3A45"/>
    <w:rsid w:val="006A3B43"/>
    <w:rsid w:val="006A3D1B"/>
    <w:rsid w:val="006A3E54"/>
    <w:rsid w:val="006A3F07"/>
    <w:rsid w:val="006A4184"/>
    <w:rsid w:val="006A594F"/>
    <w:rsid w:val="006A5F62"/>
    <w:rsid w:val="006A625E"/>
    <w:rsid w:val="006A76CE"/>
    <w:rsid w:val="006A782B"/>
    <w:rsid w:val="006B1176"/>
    <w:rsid w:val="006B17D4"/>
    <w:rsid w:val="006B1EA7"/>
    <w:rsid w:val="006B59C2"/>
    <w:rsid w:val="006B64A6"/>
    <w:rsid w:val="006B736A"/>
    <w:rsid w:val="006C0519"/>
    <w:rsid w:val="006C24FF"/>
    <w:rsid w:val="006C2F69"/>
    <w:rsid w:val="006C325C"/>
    <w:rsid w:val="006C4054"/>
    <w:rsid w:val="006C4303"/>
    <w:rsid w:val="006C4671"/>
    <w:rsid w:val="006C4C87"/>
    <w:rsid w:val="006C4FDA"/>
    <w:rsid w:val="006C5A4C"/>
    <w:rsid w:val="006C5DFE"/>
    <w:rsid w:val="006C6496"/>
    <w:rsid w:val="006C77BE"/>
    <w:rsid w:val="006C7B30"/>
    <w:rsid w:val="006C7BA2"/>
    <w:rsid w:val="006C7E06"/>
    <w:rsid w:val="006D0A1F"/>
    <w:rsid w:val="006D18CA"/>
    <w:rsid w:val="006D2EDC"/>
    <w:rsid w:val="006D2F79"/>
    <w:rsid w:val="006D40B8"/>
    <w:rsid w:val="006D5090"/>
    <w:rsid w:val="006D553E"/>
    <w:rsid w:val="006D5684"/>
    <w:rsid w:val="006D594D"/>
    <w:rsid w:val="006D5ACF"/>
    <w:rsid w:val="006D627D"/>
    <w:rsid w:val="006D7E79"/>
    <w:rsid w:val="006E109D"/>
    <w:rsid w:val="006E1376"/>
    <w:rsid w:val="006E1657"/>
    <w:rsid w:val="006E1B19"/>
    <w:rsid w:val="006E2254"/>
    <w:rsid w:val="006E331C"/>
    <w:rsid w:val="006E35F9"/>
    <w:rsid w:val="006E3723"/>
    <w:rsid w:val="006E4681"/>
    <w:rsid w:val="006E498C"/>
    <w:rsid w:val="006E5866"/>
    <w:rsid w:val="006E5A2E"/>
    <w:rsid w:val="006E65C9"/>
    <w:rsid w:val="006E6D1B"/>
    <w:rsid w:val="006E7B0C"/>
    <w:rsid w:val="006E7B98"/>
    <w:rsid w:val="006E7F71"/>
    <w:rsid w:val="006F0CDA"/>
    <w:rsid w:val="006F1A45"/>
    <w:rsid w:val="006F3EB5"/>
    <w:rsid w:val="006F4ADC"/>
    <w:rsid w:val="006F5F75"/>
    <w:rsid w:val="006F5F97"/>
    <w:rsid w:val="006F7503"/>
    <w:rsid w:val="00701A55"/>
    <w:rsid w:val="0070289B"/>
    <w:rsid w:val="007028F8"/>
    <w:rsid w:val="00705507"/>
    <w:rsid w:val="00705D9D"/>
    <w:rsid w:val="0070727F"/>
    <w:rsid w:val="00711256"/>
    <w:rsid w:val="007120F7"/>
    <w:rsid w:val="00712F76"/>
    <w:rsid w:val="00713744"/>
    <w:rsid w:val="00713872"/>
    <w:rsid w:val="00713A1A"/>
    <w:rsid w:val="0071428F"/>
    <w:rsid w:val="00714693"/>
    <w:rsid w:val="007146D7"/>
    <w:rsid w:val="00714E47"/>
    <w:rsid w:val="0071508C"/>
    <w:rsid w:val="00715F47"/>
    <w:rsid w:val="007164FD"/>
    <w:rsid w:val="00716AC0"/>
    <w:rsid w:val="00717652"/>
    <w:rsid w:val="0071799E"/>
    <w:rsid w:val="00717D4D"/>
    <w:rsid w:val="00717DC4"/>
    <w:rsid w:val="0072060A"/>
    <w:rsid w:val="0072063D"/>
    <w:rsid w:val="00720C97"/>
    <w:rsid w:val="00723582"/>
    <w:rsid w:val="00723CB8"/>
    <w:rsid w:val="00724DAB"/>
    <w:rsid w:val="00724DEB"/>
    <w:rsid w:val="007273FB"/>
    <w:rsid w:val="00727912"/>
    <w:rsid w:val="00727EE6"/>
    <w:rsid w:val="00727F6A"/>
    <w:rsid w:val="00730900"/>
    <w:rsid w:val="00730920"/>
    <w:rsid w:val="00730ADB"/>
    <w:rsid w:val="00731039"/>
    <w:rsid w:val="007321BB"/>
    <w:rsid w:val="00733135"/>
    <w:rsid w:val="007337DC"/>
    <w:rsid w:val="007338D5"/>
    <w:rsid w:val="00734ECD"/>
    <w:rsid w:val="007353F8"/>
    <w:rsid w:val="00735CB4"/>
    <w:rsid w:val="007361E0"/>
    <w:rsid w:val="0073656A"/>
    <w:rsid w:val="00740CDE"/>
    <w:rsid w:val="00740D0F"/>
    <w:rsid w:val="0074288C"/>
    <w:rsid w:val="00742965"/>
    <w:rsid w:val="0074303F"/>
    <w:rsid w:val="00744BE3"/>
    <w:rsid w:val="00745A68"/>
    <w:rsid w:val="00746C07"/>
    <w:rsid w:val="00747ACC"/>
    <w:rsid w:val="00747BDC"/>
    <w:rsid w:val="00751118"/>
    <w:rsid w:val="007515AB"/>
    <w:rsid w:val="00751BE3"/>
    <w:rsid w:val="00751CB8"/>
    <w:rsid w:val="00752462"/>
    <w:rsid w:val="00752780"/>
    <w:rsid w:val="00753491"/>
    <w:rsid w:val="007546C7"/>
    <w:rsid w:val="00754725"/>
    <w:rsid w:val="00754A12"/>
    <w:rsid w:val="00754DAA"/>
    <w:rsid w:val="00755EF1"/>
    <w:rsid w:val="0075606C"/>
    <w:rsid w:val="00756642"/>
    <w:rsid w:val="00756A4A"/>
    <w:rsid w:val="00757EF5"/>
    <w:rsid w:val="007605A4"/>
    <w:rsid w:val="0076081A"/>
    <w:rsid w:val="00760A8F"/>
    <w:rsid w:val="00761469"/>
    <w:rsid w:val="00761483"/>
    <w:rsid w:val="00761ABB"/>
    <w:rsid w:val="00761E64"/>
    <w:rsid w:val="00762194"/>
    <w:rsid w:val="0076293D"/>
    <w:rsid w:val="00762992"/>
    <w:rsid w:val="007629BD"/>
    <w:rsid w:val="00764229"/>
    <w:rsid w:val="007646E3"/>
    <w:rsid w:val="007649D3"/>
    <w:rsid w:val="00764F52"/>
    <w:rsid w:val="00766611"/>
    <w:rsid w:val="00772F28"/>
    <w:rsid w:val="00773008"/>
    <w:rsid w:val="007734B2"/>
    <w:rsid w:val="00773D1E"/>
    <w:rsid w:val="00774895"/>
    <w:rsid w:val="00774A72"/>
    <w:rsid w:val="007754D3"/>
    <w:rsid w:val="007762AC"/>
    <w:rsid w:val="007766C4"/>
    <w:rsid w:val="00776CA0"/>
    <w:rsid w:val="007770C4"/>
    <w:rsid w:val="007772A5"/>
    <w:rsid w:val="00777D6D"/>
    <w:rsid w:val="007800C2"/>
    <w:rsid w:val="00780334"/>
    <w:rsid w:val="00780A91"/>
    <w:rsid w:val="00780ADA"/>
    <w:rsid w:val="007810BA"/>
    <w:rsid w:val="00782455"/>
    <w:rsid w:val="00784545"/>
    <w:rsid w:val="00784E10"/>
    <w:rsid w:val="0078506C"/>
    <w:rsid w:val="00786600"/>
    <w:rsid w:val="007875FF"/>
    <w:rsid w:val="007900A4"/>
    <w:rsid w:val="00790FF2"/>
    <w:rsid w:val="00791930"/>
    <w:rsid w:val="00793385"/>
    <w:rsid w:val="007933C5"/>
    <w:rsid w:val="00793B1A"/>
    <w:rsid w:val="007941D0"/>
    <w:rsid w:val="007941E4"/>
    <w:rsid w:val="00794BFB"/>
    <w:rsid w:val="00795159"/>
    <w:rsid w:val="00795E25"/>
    <w:rsid w:val="007969AF"/>
    <w:rsid w:val="00797B17"/>
    <w:rsid w:val="007A00FB"/>
    <w:rsid w:val="007A04D7"/>
    <w:rsid w:val="007A464E"/>
    <w:rsid w:val="007A4767"/>
    <w:rsid w:val="007A4B02"/>
    <w:rsid w:val="007A4FC9"/>
    <w:rsid w:val="007A5F58"/>
    <w:rsid w:val="007B0AAE"/>
    <w:rsid w:val="007B0C36"/>
    <w:rsid w:val="007B199A"/>
    <w:rsid w:val="007B2DC8"/>
    <w:rsid w:val="007B2EE8"/>
    <w:rsid w:val="007B3510"/>
    <w:rsid w:val="007B5C0B"/>
    <w:rsid w:val="007B6027"/>
    <w:rsid w:val="007B620B"/>
    <w:rsid w:val="007B7C20"/>
    <w:rsid w:val="007C100D"/>
    <w:rsid w:val="007C17DE"/>
    <w:rsid w:val="007C1C3D"/>
    <w:rsid w:val="007C28CA"/>
    <w:rsid w:val="007C2B24"/>
    <w:rsid w:val="007C6041"/>
    <w:rsid w:val="007C76A8"/>
    <w:rsid w:val="007D1402"/>
    <w:rsid w:val="007D4521"/>
    <w:rsid w:val="007D4DAF"/>
    <w:rsid w:val="007D4E7D"/>
    <w:rsid w:val="007D572F"/>
    <w:rsid w:val="007D6A40"/>
    <w:rsid w:val="007D7637"/>
    <w:rsid w:val="007E1067"/>
    <w:rsid w:val="007E1309"/>
    <w:rsid w:val="007E1CA9"/>
    <w:rsid w:val="007E2B59"/>
    <w:rsid w:val="007E2C24"/>
    <w:rsid w:val="007E37CF"/>
    <w:rsid w:val="007E39E9"/>
    <w:rsid w:val="007E49DB"/>
    <w:rsid w:val="007E5184"/>
    <w:rsid w:val="007E5D53"/>
    <w:rsid w:val="007E765A"/>
    <w:rsid w:val="007E7CF0"/>
    <w:rsid w:val="007F16DE"/>
    <w:rsid w:val="007F19FC"/>
    <w:rsid w:val="007F1A15"/>
    <w:rsid w:val="007F1BE8"/>
    <w:rsid w:val="007F25E3"/>
    <w:rsid w:val="007F2FC0"/>
    <w:rsid w:val="007F3EB6"/>
    <w:rsid w:val="007F3EF4"/>
    <w:rsid w:val="007F401C"/>
    <w:rsid w:val="007F4447"/>
    <w:rsid w:val="007F5000"/>
    <w:rsid w:val="007F5B07"/>
    <w:rsid w:val="007F6E4E"/>
    <w:rsid w:val="00800010"/>
    <w:rsid w:val="008006EF"/>
    <w:rsid w:val="00800C4D"/>
    <w:rsid w:val="00801469"/>
    <w:rsid w:val="008035D5"/>
    <w:rsid w:val="00803D7D"/>
    <w:rsid w:val="0080492A"/>
    <w:rsid w:val="00805329"/>
    <w:rsid w:val="008056E2"/>
    <w:rsid w:val="008066C8"/>
    <w:rsid w:val="0080768C"/>
    <w:rsid w:val="00810284"/>
    <w:rsid w:val="008114DE"/>
    <w:rsid w:val="008114E0"/>
    <w:rsid w:val="00813783"/>
    <w:rsid w:val="0081389C"/>
    <w:rsid w:val="0081529E"/>
    <w:rsid w:val="008158C2"/>
    <w:rsid w:val="00821CA7"/>
    <w:rsid w:val="0082247D"/>
    <w:rsid w:val="00822635"/>
    <w:rsid w:val="00822BA3"/>
    <w:rsid w:val="008231DF"/>
    <w:rsid w:val="0082346B"/>
    <w:rsid w:val="00823650"/>
    <w:rsid w:val="00823CD8"/>
    <w:rsid w:val="00825044"/>
    <w:rsid w:val="0082598B"/>
    <w:rsid w:val="00826733"/>
    <w:rsid w:val="00826833"/>
    <w:rsid w:val="00830636"/>
    <w:rsid w:val="00831663"/>
    <w:rsid w:val="0083178F"/>
    <w:rsid w:val="0083263E"/>
    <w:rsid w:val="00832C46"/>
    <w:rsid w:val="00833D0E"/>
    <w:rsid w:val="008340D5"/>
    <w:rsid w:val="008345B7"/>
    <w:rsid w:val="00834BE6"/>
    <w:rsid w:val="00835219"/>
    <w:rsid w:val="00835B97"/>
    <w:rsid w:val="00836183"/>
    <w:rsid w:val="00837741"/>
    <w:rsid w:val="00837B9D"/>
    <w:rsid w:val="00840784"/>
    <w:rsid w:val="00840CF4"/>
    <w:rsid w:val="00841437"/>
    <w:rsid w:val="0084167A"/>
    <w:rsid w:val="0084230A"/>
    <w:rsid w:val="0084334F"/>
    <w:rsid w:val="008439BF"/>
    <w:rsid w:val="0084460D"/>
    <w:rsid w:val="008448BB"/>
    <w:rsid w:val="00845609"/>
    <w:rsid w:val="008465AE"/>
    <w:rsid w:val="00846706"/>
    <w:rsid w:val="00846DAA"/>
    <w:rsid w:val="008500C2"/>
    <w:rsid w:val="00850A07"/>
    <w:rsid w:val="00850B7E"/>
    <w:rsid w:val="00851A67"/>
    <w:rsid w:val="008522EC"/>
    <w:rsid w:val="00852387"/>
    <w:rsid w:val="008523D4"/>
    <w:rsid w:val="00852B8A"/>
    <w:rsid w:val="008537A2"/>
    <w:rsid w:val="00854249"/>
    <w:rsid w:val="0085444D"/>
    <w:rsid w:val="00854507"/>
    <w:rsid w:val="008545A6"/>
    <w:rsid w:val="00855048"/>
    <w:rsid w:val="008575F1"/>
    <w:rsid w:val="00860F2D"/>
    <w:rsid w:val="0086101F"/>
    <w:rsid w:val="00861112"/>
    <w:rsid w:val="00861B4C"/>
    <w:rsid w:val="0086246E"/>
    <w:rsid w:val="008628D3"/>
    <w:rsid w:val="00863991"/>
    <w:rsid w:val="00863C21"/>
    <w:rsid w:val="0086594B"/>
    <w:rsid w:val="00866B73"/>
    <w:rsid w:val="008670C8"/>
    <w:rsid w:val="00867CE3"/>
    <w:rsid w:val="00867E5C"/>
    <w:rsid w:val="00870A57"/>
    <w:rsid w:val="00870B4F"/>
    <w:rsid w:val="0087237B"/>
    <w:rsid w:val="00872386"/>
    <w:rsid w:val="00872479"/>
    <w:rsid w:val="00875FB9"/>
    <w:rsid w:val="00876BB5"/>
    <w:rsid w:val="008770B2"/>
    <w:rsid w:val="0088137E"/>
    <w:rsid w:val="00881B51"/>
    <w:rsid w:val="00881E16"/>
    <w:rsid w:val="0088334B"/>
    <w:rsid w:val="00883962"/>
    <w:rsid w:val="00886425"/>
    <w:rsid w:val="008872B3"/>
    <w:rsid w:val="00887939"/>
    <w:rsid w:val="0089062D"/>
    <w:rsid w:val="00893D98"/>
    <w:rsid w:val="00893F7D"/>
    <w:rsid w:val="00894AD7"/>
    <w:rsid w:val="00896FD5"/>
    <w:rsid w:val="008979EA"/>
    <w:rsid w:val="00897EF8"/>
    <w:rsid w:val="008A006C"/>
    <w:rsid w:val="008A01D3"/>
    <w:rsid w:val="008A0645"/>
    <w:rsid w:val="008A09B7"/>
    <w:rsid w:val="008A0E40"/>
    <w:rsid w:val="008A10A8"/>
    <w:rsid w:val="008A15C3"/>
    <w:rsid w:val="008A1A82"/>
    <w:rsid w:val="008A1C44"/>
    <w:rsid w:val="008A278C"/>
    <w:rsid w:val="008A2D71"/>
    <w:rsid w:val="008A55AB"/>
    <w:rsid w:val="008A625E"/>
    <w:rsid w:val="008A65EB"/>
    <w:rsid w:val="008A6CC5"/>
    <w:rsid w:val="008A7F06"/>
    <w:rsid w:val="008B0B84"/>
    <w:rsid w:val="008B129D"/>
    <w:rsid w:val="008B2A40"/>
    <w:rsid w:val="008B3077"/>
    <w:rsid w:val="008B3833"/>
    <w:rsid w:val="008B39A6"/>
    <w:rsid w:val="008B3D4C"/>
    <w:rsid w:val="008B4251"/>
    <w:rsid w:val="008B4612"/>
    <w:rsid w:val="008B47DB"/>
    <w:rsid w:val="008B498B"/>
    <w:rsid w:val="008B49A6"/>
    <w:rsid w:val="008B558C"/>
    <w:rsid w:val="008B6A9D"/>
    <w:rsid w:val="008B74B2"/>
    <w:rsid w:val="008B7E88"/>
    <w:rsid w:val="008C14A4"/>
    <w:rsid w:val="008C1880"/>
    <w:rsid w:val="008C1A5E"/>
    <w:rsid w:val="008C1FD5"/>
    <w:rsid w:val="008C2209"/>
    <w:rsid w:val="008C2BD6"/>
    <w:rsid w:val="008C300F"/>
    <w:rsid w:val="008C3BDA"/>
    <w:rsid w:val="008C3FA3"/>
    <w:rsid w:val="008C5838"/>
    <w:rsid w:val="008C5A69"/>
    <w:rsid w:val="008C5F60"/>
    <w:rsid w:val="008C63B1"/>
    <w:rsid w:val="008C7CD5"/>
    <w:rsid w:val="008D2F47"/>
    <w:rsid w:val="008D3E12"/>
    <w:rsid w:val="008D4FB0"/>
    <w:rsid w:val="008D5C43"/>
    <w:rsid w:val="008D721A"/>
    <w:rsid w:val="008D725A"/>
    <w:rsid w:val="008D73C8"/>
    <w:rsid w:val="008D7A20"/>
    <w:rsid w:val="008E174E"/>
    <w:rsid w:val="008E1FF6"/>
    <w:rsid w:val="008E2023"/>
    <w:rsid w:val="008E25B8"/>
    <w:rsid w:val="008E2963"/>
    <w:rsid w:val="008E3644"/>
    <w:rsid w:val="008E36B3"/>
    <w:rsid w:val="008E3912"/>
    <w:rsid w:val="008E63CD"/>
    <w:rsid w:val="008E6725"/>
    <w:rsid w:val="008E7225"/>
    <w:rsid w:val="008E7A93"/>
    <w:rsid w:val="008F01A1"/>
    <w:rsid w:val="008F071A"/>
    <w:rsid w:val="008F0D51"/>
    <w:rsid w:val="008F1571"/>
    <w:rsid w:val="008F1BA3"/>
    <w:rsid w:val="008F2E92"/>
    <w:rsid w:val="008F4EF3"/>
    <w:rsid w:val="008F4F20"/>
    <w:rsid w:val="008F7E55"/>
    <w:rsid w:val="00900D40"/>
    <w:rsid w:val="00901723"/>
    <w:rsid w:val="00902E52"/>
    <w:rsid w:val="00903659"/>
    <w:rsid w:val="0090380D"/>
    <w:rsid w:val="009047FD"/>
    <w:rsid w:val="00904B51"/>
    <w:rsid w:val="00904C6A"/>
    <w:rsid w:val="009052CF"/>
    <w:rsid w:val="00906284"/>
    <w:rsid w:val="00906E11"/>
    <w:rsid w:val="0090752F"/>
    <w:rsid w:val="00907ECD"/>
    <w:rsid w:val="009108A8"/>
    <w:rsid w:val="00910D82"/>
    <w:rsid w:val="00911AD1"/>
    <w:rsid w:val="009122C0"/>
    <w:rsid w:val="0091368C"/>
    <w:rsid w:val="00913D34"/>
    <w:rsid w:val="00914289"/>
    <w:rsid w:val="0091433A"/>
    <w:rsid w:val="00914C1C"/>
    <w:rsid w:val="00914E26"/>
    <w:rsid w:val="00915DFB"/>
    <w:rsid w:val="00916BF8"/>
    <w:rsid w:val="009204F7"/>
    <w:rsid w:val="00922708"/>
    <w:rsid w:val="00922E9A"/>
    <w:rsid w:val="00923423"/>
    <w:rsid w:val="00924251"/>
    <w:rsid w:val="0092712B"/>
    <w:rsid w:val="009277EF"/>
    <w:rsid w:val="00927B0A"/>
    <w:rsid w:val="00927FCF"/>
    <w:rsid w:val="009300D7"/>
    <w:rsid w:val="0093044C"/>
    <w:rsid w:val="009310F2"/>
    <w:rsid w:val="00931B8F"/>
    <w:rsid w:val="0093370D"/>
    <w:rsid w:val="00933D8B"/>
    <w:rsid w:val="00935B49"/>
    <w:rsid w:val="00935F8E"/>
    <w:rsid w:val="00936012"/>
    <w:rsid w:val="009361B8"/>
    <w:rsid w:val="0093664B"/>
    <w:rsid w:val="00936D33"/>
    <w:rsid w:val="00940277"/>
    <w:rsid w:val="00940486"/>
    <w:rsid w:val="009405C5"/>
    <w:rsid w:val="00941359"/>
    <w:rsid w:val="009421C8"/>
    <w:rsid w:val="00943037"/>
    <w:rsid w:val="009443C2"/>
    <w:rsid w:val="00944B79"/>
    <w:rsid w:val="00946509"/>
    <w:rsid w:val="009465A7"/>
    <w:rsid w:val="0094686A"/>
    <w:rsid w:val="00946B3B"/>
    <w:rsid w:val="009501DE"/>
    <w:rsid w:val="0095038E"/>
    <w:rsid w:val="00950A9B"/>
    <w:rsid w:val="00951CED"/>
    <w:rsid w:val="00952049"/>
    <w:rsid w:val="00953390"/>
    <w:rsid w:val="00953EAD"/>
    <w:rsid w:val="00954350"/>
    <w:rsid w:val="009546BD"/>
    <w:rsid w:val="0095489F"/>
    <w:rsid w:val="00954FEE"/>
    <w:rsid w:val="0095603B"/>
    <w:rsid w:val="00956299"/>
    <w:rsid w:val="009563FC"/>
    <w:rsid w:val="00957EEC"/>
    <w:rsid w:val="009602F1"/>
    <w:rsid w:val="00960E33"/>
    <w:rsid w:val="00961A54"/>
    <w:rsid w:val="009620CC"/>
    <w:rsid w:val="00962519"/>
    <w:rsid w:val="00962836"/>
    <w:rsid w:val="00962880"/>
    <w:rsid w:val="00963B5D"/>
    <w:rsid w:val="0096424D"/>
    <w:rsid w:val="00964291"/>
    <w:rsid w:val="009648B7"/>
    <w:rsid w:val="00964FC8"/>
    <w:rsid w:val="0096540A"/>
    <w:rsid w:val="009673AB"/>
    <w:rsid w:val="00967544"/>
    <w:rsid w:val="00970512"/>
    <w:rsid w:val="009707DE"/>
    <w:rsid w:val="009708F0"/>
    <w:rsid w:val="00971036"/>
    <w:rsid w:val="00971EEE"/>
    <w:rsid w:val="00972E6B"/>
    <w:rsid w:val="00973788"/>
    <w:rsid w:val="0097422B"/>
    <w:rsid w:val="00974B99"/>
    <w:rsid w:val="00975D0A"/>
    <w:rsid w:val="009761EB"/>
    <w:rsid w:val="00977E33"/>
    <w:rsid w:val="0098018E"/>
    <w:rsid w:val="009804F0"/>
    <w:rsid w:val="0098298A"/>
    <w:rsid w:val="00982D88"/>
    <w:rsid w:val="00983246"/>
    <w:rsid w:val="00983607"/>
    <w:rsid w:val="009849A7"/>
    <w:rsid w:val="00984E36"/>
    <w:rsid w:val="009851A2"/>
    <w:rsid w:val="00986A28"/>
    <w:rsid w:val="00986F32"/>
    <w:rsid w:val="009902C1"/>
    <w:rsid w:val="00991602"/>
    <w:rsid w:val="00991B95"/>
    <w:rsid w:val="00993E78"/>
    <w:rsid w:val="00994F4E"/>
    <w:rsid w:val="0099533E"/>
    <w:rsid w:val="00997D7C"/>
    <w:rsid w:val="009A00B1"/>
    <w:rsid w:val="009A21D0"/>
    <w:rsid w:val="009A2567"/>
    <w:rsid w:val="009A351F"/>
    <w:rsid w:val="009A3A21"/>
    <w:rsid w:val="009A3DE8"/>
    <w:rsid w:val="009A546D"/>
    <w:rsid w:val="009A5EDD"/>
    <w:rsid w:val="009A63DB"/>
    <w:rsid w:val="009A704D"/>
    <w:rsid w:val="009A7D7D"/>
    <w:rsid w:val="009B03AF"/>
    <w:rsid w:val="009B05C4"/>
    <w:rsid w:val="009B26C9"/>
    <w:rsid w:val="009B2908"/>
    <w:rsid w:val="009B2F03"/>
    <w:rsid w:val="009B36C0"/>
    <w:rsid w:val="009B38D0"/>
    <w:rsid w:val="009B43C4"/>
    <w:rsid w:val="009B496C"/>
    <w:rsid w:val="009B4B1A"/>
    <w:rsid w:val="009B56A7"/>
    <w:rsid w:val="009B5BBA"/>
    <w:rsid w:val="009B5C2D"/>
    <w:rsid w:val="009B5C35"/>
    <w:rsid w:val="009B5C5F"/>
    <w:rsid w:val="009B5CFE"/>
    <w:rsid w:val="009B65DA"/>
    <w:rsid w:val="009B7254"/>
    <w:rsid w:val="009C1011"/>
    <w:rsid w:val="009C1465"/>
    <w:rsid w:val="009C36B1"/>
    <w:rsid w:val="009C3990"/>
    <w:rsid w:val="009C4252"/>
    <w:rsid w:val="009C4305"/>
    <w:rsid w:val="009C470C"/>
    <w:rsid w:val="009C4A16"/>
    <w:rsid w:val="009C5E9B"/>
    <w:rsid w:val="009C6ED4"/>
    <w:rsid w:val="009C7B59"/>
    <w:rsid w:val="009D063D"/>
    <w:rsid w:val="009D09C0"/>
    <w:rsid w:val="009D0F32"/>
    <w:rsid w:val="009D153C"/>
    <w:rsid w:val="009D1C66"/>
    <w:rsid w:val="009D2A65"/>
    <w:rsid w:val="009D3321"/>
    <w:rsid w:val="009D3698"/>
    <w:rsid w:val="009D49E7"/>
    <w:rsid w:val="009D5267"/>
    <w:rsid w:val="009D5A17"/>
    <w:rsid w:val="009D5AF9"/>
    <w:rsid w:val="009D7330"/>
    <w:rsid w:val="009D7E2D"/>
    <w:rsid w:val="009E09C3"/>
    <w:rsid w:val="009E1CD0"/>
    <w:rsid w:val="009E1D1E"/>
    <w:rsid w:val="009E1E9F"/>
    <w:rsid w:val="009E1ED2"/>
    <w:rsid w:val="009E38CB"/>
    <w:rsid w:val="009E669C"/>
    <w:rsid w:val="009E739B"/>
    <w:rsid w:val="009E73F3"/>
    <w:rsid w:val="009E79BE"/>
    <w:rsid w:val="009F0C28"/>
    <w:rsid w:val="009F14BC"/>
    <w:rsid w:val="009F2FAA"/>
    <w:rsid w:val="009F3100"/>
    <w:rsid w:val="009F3A94"/>
    <w:rsid w:val="009F50DC"/>
    <w:rsid w:val="009F50EF"/>
    <w:rsid w:val="009F5125"/>
    <w:rsid w:val="009F6A44"/>
    <w:rsid w:val="009F70B3"/>
    <w:rsid w:val="009F74B1"/>
    <w:rsid w:val="00A00C90"/>
    <w:rsid w:val="00A01871"/>
    <w:rsid w:val="00A02023"/>
    <w:rsid w:val="00A02191"/>
    <w:rsid w:val="00A02DDA"/>
    <w:rsid w:val="00A031A2"/>
    <w:rsid w:val="00A03645"/>
    <w:rsid w:val="00A042B1"/>
    <w:rsid w:val="00A04762"/>
    <w:rsid w:val="00A05BF1"/>
    <w:rsid w:val="00A05DBA"/>
    <w:rsid w:val="00A0674E"/>
    <w:rsid w:val="00A06D43"/>
    <w:rsid w:val="00A070E6"/>
    <w:rsid w:val="00A075DA"/>
    <w:rsid w:val="00A0769A"/>
    <w:rsid w:val="00A101A2"/>
    <w:rsid w:val="00A12495"/>
    <w:rsid w:val="00A127C7"/>
    <w:rsid w:val="00A1384A"/>
    <w:rsid w:val="00A14537"/>
    <w:rsid w:val="00A14893"/>
    <w:rsid w:val="00A14983"/>
    <w:rsid w:val="00A14E11"/>
    <w:rsid w:val="00A15505"/>
    <w:rsid w:val="00A1596A"/>
    <w:rsid w:val="00A16F53"/>
    <w:rsid w:val="00A17C35"/>
    <w:rsid w:val="00A21222"/>
    <w:rsid w:val="00A212F3"/>
    <w:rsid w:val="00A21462"/>
    <w:rsid w:val="00A2199F"/>
    <w:rsid w:val="00A23540"/>
    <w:rsid w:val="00A23AF1"/>
    <w:rsid w:val="00A254DB"/>
    <w:rsid w:val="00A25EF1"/>
    <w:rsid w:val="00A27519"/>
    <w:rsid w:val="00A27BCF"/>
    <w:rsid w:val="00A34009"/>
    <w:rsid w:val="00A3548B"/>
    <w:rsid w:val="00A35E35"/>
    <w:rsid w:val="00A36412"/>
    <w:rsid w:val="00A36596"/>
    <w:rsid w:val="00A37E25"/>
    <w:rsid w:val="00A40498"/>
    <w:rsid w:val="00A410F9"/>
    <w:rsid w:val="00A42C78"/>
    <w:rsid w:val="00A4339B"/>
    <w:rsid w:val="00A433EE"/>
    <w:rsid w:val="00A44FDB"/>
    <w:rsid w:val="00A459BC"/>
    <w:rsid w:val="00A45DE7"/>
    <w:rsid w:val="00A4613C"/>
    <w:rsid w:val="00A50940"/>
    <w:rsid w:val="00A50CCE"/>
    <w:rsid w:val="00A5170F"/>
    <w:rsid w:val="00A520BA"/>
    <w:rsid w:val="00A5216F"/>
    <w:rsid w:val="00A52404"/>
    <w:rsid w:val="00A52F45"/>
    <w:rsid w:val="00A52F88"/>
    <w:rsid w:val="00A551BA"/>
    <w:rsid w:val="00A55CBC"/>
    <w:rsid w:val="00A56065"/>
    <w:rsid w:val="00A57ED6"/>
    <w:rsid w:val="00A57F0C"/>
    <w:rsid w:val="00A602AF"/>
    <w:rsid w:val="00A61C17"/>
    <w:rsid w:val="00A629F7"/>
    <w:rsid w:val="00A642CD"/>
    <w:rsid w:val="00A6436C"/>
    <w:rsid w:val="00A64F57"/>
    <w:rsid w:val="00A6536F"/>
    <w:rsid w:val="00A675EC"/>
    <w:rsid w:val="00A6771C"/>
    <w:rsid w:val="00A70859"/>
    <w:rsid w:val="00A7087D"/>
    <w:rsid w:val="00A70A47"/>
    <w:rsid w:val="00A710ED"/>
    <w:rsid w:val="00A719FC"/>
    <w:rsid w:val="00A725DA"/>
    <w:rsid w:val="00A72FF2"/>
    <w:rsid w:val="00A73092"/>
    <w:rsid w:val="00A731C0"/>
    <w:rsid w:val="00A73257"/>
    <w:rsid w:val="00A734EE"/>
    <w:rsid w:val="00A74944"/>
    <w:rsid w:val="00A74DCC"/>
    <w:rsid w:val="00A80F25"/>
    <w:rsid w:val="00A82A86"/>
    <w:rsid w:val="00A837BE"/>
    <w:rsid w:val="00A85F8D"/>
    <w:rsid w:val="00A86182"/>
    <w:rsid w:val="00A86860"/>
    <w:rsid w:val="00A86A8E"/>
    <w:rsid w:val="00A87331"/>
    <w:rsid w:val="00A90800"/>
    <w:rsid w:val="00A90857"/>
    <w:rsid w:val="00A9259C"/>
    <w:rsid w:val="00A92758"/>
    <w:rsid w:val="00A943A3"/>
    <w:rsid w:val="00A94C20"/>
    <w:rsid w:val="00A96214"/>
    <w:rsid w:val="00A96CD4"/>
    <w:rsid w:val="00A978DF"/>
    <w:rsid w:val="00AA141D"/>
    <w:rsid w:val="00AA1957"/>
    <w:rsid w:val="00AA1BA3"/>
    <w:rsid w:val="00AA1F76"/>
    <w:rsid w:val="00AA458D"/>
    <w:rsid w:val="00AA56A9"/>
    <w:rsid w:val="00AA5A85"/>
    <w:rsid w:val="00AA5E09"/>
    <w:rsid w:val="00AA6107"/>
    <w:rsid w:val="00AA70FB"/>
    <w:rsid w:val="00AA7703"/>
    <w:rsid w:val="00AB01E3"/>
    <w:rsid w:val="00AB24C2"/>
    <w:rsid w:val="00AB3240"/>
    <w:rsid w:val="00AB5B74"/>
    <w:rsid w:val="00AB5B8D"/>
    <w:rsid w:val="00AB72E7"/>
    <w:rsid w:val="00AB7548"/>
    <w:rsid w:val="00AB7E79"/>
    <w:rsid w:val="00AC02FB"/>
    <w:rsid w:val="00AC0D01"/>
    <w:rsid w:val="00AC1878"/>
    <w:rsid w:val="00AC1CC3"/>
    <w:rsid w:val="00AC2C4E"/>
    <w:rsid w:val="00AC40DA"/>
    <w:rsid w:val="00AC64CD"/>
    <w:rsid w:val="00AC74B9"/>
    <w:rsid w:val="00AD072C"/>
    <w:rsid w:val="00AD1565"/>
    <w:rsid w:val="00AD1577"/>
    <w:rsid w:val="00AD2125"/>
    <w:rsid w:val="00AD2877"/>
    <w:rsid w:val="00AD4468"/>
    <w:rsid w:val="00AD4BB0"/>
    <w:rsid w:val="00AD57A0"/>
    <w:rsid w:val="00AE0C9D"/>
    <w:rsid w:val="00AE15C5"/>
    <w:rsid w:val="00AE1777"/>
    <w:rsid w:val="00AE2B3D"/>
    <w:rsid w:val="00AE2CD9"/>
    <w:rsid w:val="00AE2DB3"/>
    <w:rsid w:val="00AE4687"/>
    <w:rsid w:val="00AE478C"/>
    <w:rsid w:val="00AE4E72"/>
    <w:rsid w:val="00AE787B"/>
    <w:rsid w:val="00AF04B7"/>
    <w:rsid w:val="00AF2744"/>
    <w:rsid w:val="00AF3822"/>
    <w:rsid w:val="00AF3B65"/>
    <w:rsid w:val="00AF3F9E"/>
    <w:rsid w:val="00AF461D"/>
    <w:rsid w:val="00AF5910"/>
    <w:rsid w:val="00AF6980"/>
    <w:rsid w:val="00B013E0"/>
    <w:rsid w:val="00B022A4"/>
    <w:rsid w:val="00B03DE0"/>
    <w:rsid w:val="00B07125"/>
    <w:rsid w:val="00B077CC"/>
    <w:rsid w:val="00B07E82"/>
    <w:rsid w:val="00B10CFC"/>
    <w:rsid w:val="00B13D8D"/>
    <w:rsid w:val="00B13F64"/>
    <w:rsid w:val="00B1405C"/>
    <w:rsid w:val="00B143AD"/>
    <w:rsid w:val="00B16AD3"/>
    <w:rsid w:val="00B16C33"/>
    <w:rsid w:val="00B17239"/>
    <w:rsid w:val="00B17F49"/>
    <w:rsid w:val="00B21BDA"/>
    <w:rsid w:val="00B22BD2"/>
    <w:rsid w:val="00B23F7F"/>
    <w:rsid w:val="00B240EB"/>
    <w:rsid w:val="00B2519B"/>
    <w:rsid w:val="00B26CC5"/>
    <w:rsid w:val="00B27CF6"/>
    <w:rsid w:val="00B27E9D"/>
    <w:rsid w:val="00B30465"/>
    <w:rsid w:val="00B31F84"/>
    <w:rsid w:val="00B34010"/>
    <w:rsid w:val="00B34313"/>
    <w:rsid w:val="00B3536C"/>
    <w:rsid w:val="00B3733B"/>
    <w:rsid w:val="00B37C2C"/>
    <w:rsid w:val="00B37DE0"/>
    <w:rsid w:val="00B404F7"/>
    <w:rsid w:val="00B41597"/>
    <w:rsid w:val="00B415BD"/>
    <w:rsid w:val="00B41B38"/>
    <w:rsid w:val="00B41C9B"/>
    <w:rsid w:val="00B423DE"/>
    <w:rsid w:val="00B42830"/>
    <w:rsid w:val="00B46ED5"/>
    <w:rsid w:val="00B46FE6"/>
    <w:rsid w:val="00B47B6E"/>
    <w:rsid w:val="00B51274"/>
    <w:rsid w:val="00B52DB9"/>
    <w:rsid w:val="00B52F5D"/>
    <w:rsid w:val="00B5353F"/>
    <w:rsid w:val="00B546B0"/>
    <w:rsid w:val="00B54DE7"/>
    <w:rsid w:val="00B55296"/>
    <w:rsid w:val="00B56EB6"/>
    <w:rsid w:val="00B57B0A"/>
    <w:rsid w:val="00B61CEF"/>
    <w:rsid w:val="00B62531"/>
    <w:rsid w:val="00B62946"/>
    <w:rsid w:val="00B62C6A"/>
    <w:rsid w:val="00B6436F"/>
    <w:rsid w:val="00B65399"/>
    <w:rsid w:val="00B65766"/>
    <w:rsid w:val="00B6705A"/>
    <w:rsid w:val="00B670C5"/>
    <w:rsid w:val="00B6769D"/>
    <w:rsid w:val="00B709B2"/>
    <w:rsid w:val="00B72C90"/>
    <w:rsid w:val="00B73C61"/>
    <w:rsid w:val="00B73DD6"/>
    <w:rsid w:val="00B7416A"/>
    <w:rsid w:val="00B7489F"/>
    <w:rsid w:val="00B759A3"/>
    <w:rsid w:val="00B774B1"/>
    <w:rsid w:val="00B802C9"/>
    <w:rsid w:val="00B81122"/>
    <w:rsid w:val="00B8123C"/>
    <w:rsid w:val="00B81831"/>
    <w:rsid w:val="00B81C2B"/>
    <w:rsid w:val="00B81DC9"/>
    <w:rsid w:val="00B8228A"/>
    <w:rsid w:val="00B82CA1"/>
    <w:rsid w:val="00B83607"/>
    <w:rsid w:val="00B839F1"/>
    <w:rsid w:val="00B86F0E"/>
    <w:rsid w:val="00B87674"/>
    <w:rsid w:val="00B8786E"/>
    <w:rsid w:val="00B90191"/>
    <w:rsid w:val="00B90B6C"/>
    <w:rsid w:val="00B90D04"/>
    <w:rsid w:val="00B90F40"/>
    <w:rsid w:val="00B914EB"/>
    <w:rsid w:val="00B91A81"/>
    <w:rsid w:val="00B92855"/>
    <w:rsid w:val="00B92BD7"/>
    <w:rsid w:val="00B93989"/>
    <w:rsid w:val="00B944D0"/>
    <w:rsid w:val="00B9788D"/>
    <w:rsid w:val="00BA0B9A"/>
    <w:rsid w:val="00BA0C71"/>
    <w:rsid w:val="00BA1277"/>
    <w:rsid w:val="00BA1585"/>
    <w:rsid w:val="00BA4349"/>
    <w:rsid w:val="00BA4398"/>
    <w:rsid w:val="00BA4CC5"/>
    <w:rsid w:val="00BA4E01"/>
    <w:rsid w:val="00BA56C3"/>
    <w:rsid w:val="00BA63B7"/>
    <w:rsid w:val="00BA7801"/>
    <w:rsid w:val="00BA7AD3"/>
    <w:rsid w:val="00BB02ED"/>
    <w:rsid w:val="00BB09A8"/>
    <w:rsid w:val="00BB139E"/>
    <w:rsid w:val="00BB154C"/>
    <w:rsid w:val="00BB2C6D"/>
    <w:rsid w:val="00BB38F8"/>
    <w:rsid w:val="00BC0436"/>
    <w:rsid w:val="00BC0D90"/>
    <w:rsid w:val="00BC2154"/>
    <w:rsid w:val="00BC2843"/>
    <w:rsid w:val="00BC3225"/>
    <w:rsid w:val="00BC36D5"/>
    <w:rsid w:val="00BC37DE"/>
    <w:rsid w:val="00BC3901"/>
    <w:rsid w:val="00BC5E99"/>
    <w:rsid w:val="00BD0DB1"/>
    <w:rsid w:val="00BD1325"/>
    <w:rsid w:val="00BD2BF7"/>
    <w:rsid w:val="00BD36E4"/>
    <w:rsid w:val="00BD3CD8"/>
    <w:rsid w:val="00BD4480"/>
    <w:rsid w:val="00BD4D1F"/>
    <w:rsid w:val="00BD702E"/>
    <w:rsid w:val="00BE0229"/>
    <w:rsid w:val="00BE0260"/>
    <w:rsid w:val="00BE09BE"/>
    <w:rsid w:val="00BE15D1"/>
    <w:rsid w:val="00BE220D"/>
    <w:rsid w:val="00BE2B7C"/>
    <w:rsid w:val="00BE4703"/>
    <w:rsid w:val="00BE5E52"/>
    <w:rsid w:val="00BE70B2"/>
    <w:rsid w:val="00BE7B44"/>
    <w:rsid w:val="00BF1C61"/>
    <w:rsid w:val="00BF1FCD"/>
    <w:rsid w:val="00BF1FEB"/>
    <w:rsid w:val="00BF2E1A"/>
    <w:rsid w:val="00BF46A8"/>
    <w:rsid w:val="00BF4726"/>
    <w:rsid w:val="00BF4755"/>
    <w:rsid w:val="00BF4868"/>
    <w:rsid w:val="00BF4B30"/>
    <w:rsid w:val="00BF5A4E"/>
    <w:rsid w:val="00BF5FFF"/>
    <w:rsid w:val="00BF7AF4"/>
    <w:rsid w:val="00C001DA"/>
    <w:rsid w:val="00C0070E"/>
    <w:rsid w:val="00C013CE"/>
    <w:rsid w:val="00C02E15"/>
    <w:rsid w:val="00C02F90"/>
    <w:rsid w:val="00C04250"/>
    <w:rsid w:val="00C04BD7"/>
    <w:rsid w:val="00C05080"/>
    <w:rsid w:val="00C062FC"/>
    <w:rsid w:val="00C077B9"/>
    <w:rsid w:val="00C07ECE"/>
    <w:rsid w:val="00C104B2"/>
    <w:rsid w:val="00C10550"/>
    <w:rsid w:val="00C10E9F"/>
    <w:rsid w:val="00C11183"/>
    <w:rsid w:val="00C11F17"/>
    <w:rsid w:val="00C13111"/>
    <w:rsid w:val="00C14174"/>
    <w:rsid w:val="00C1489D"/>
    <w:rsid w:val="00C14C09"/>
    <w:rsid w:val="00C1504A"/>
    <w:rsid w:val="00C15D30"/>
    <w:rsid w:val="00C15DB2"/>
    <w:rsid w:val="00C15DDA"/>
    <w:rsid w:val="00C15FA4"/>
    <w:rsid w:val="00C16057"/>
    <w:rsid w:val="00C16347"/>
    <w:rsid w:val="00C1636F"/>
    <w:rsid w:val="00C16537"/>
    <w:rsid w:val="00C202E4"/>
    <w:rsid w:val="00C20C70"/>
    <w:rsid w:val="00C2144C"/>
    <w:rsid w:val="00C22979"/>
    <w:rsid w:val="00C2368E"/>
    <w:rsid w:val="00C24AA5"/>
    <w:rsid w:val="00C24B97"/>
    <w:rsid w:val="00C250BD"/>
    <w:rsid w:val="00C25252"/>
    <w:rsid w:val="00C265FF"/>
    <w:rsid w:val="00C2671D"/>
    <w:rsid w:val="00C3081B"/>
    <w:rsid w:val="00C31F24"/>
    <w:rsid w:val="00C31FCB"/>
    <w:rsid w:val="00C325E2"/>
    <w:rsid w:val="00C327A9"/>
    <w:rsid w:val="00C32839"/>
    <w:rsid w:val="00C33127"/>
    <w:rsid w:val="00C33B58"/>
    <w:rsid w:val="00C33BBC"/>
    <w:rsid w:val="00C34ACC"/>
    <w:rsid w:val="00C35089"/>
    <w:rsid w:val="00C35A7A"/>
    <w:rsid w:val="00C365F2"/>
    <w:rsid w:val="00C377C5"/>
    <w:rsid w:val="00C37BC2"/>
    <w:rsid w:val="00C400EB"/>
    <w:rsid w:val="00C4336D"/>
    <w:rsid w:val="00C43535"/>
    <w:rsid w:val="00C44604"/>
    <w:rsid w:val="00C45C54"/>
    <w:rsid w:val="00C465DB"/>
    <w:rsid w:val="00C46A23"/>
    <w:rsid w:val="00C51167"/>
    <w:rsid w:val="00C520A5"/>
    <w:rsid w:val="00C52258"/>
    <w:rsid w:val="00C532B8"/>
    <w:rsid w:val="00C5546A"/>
    <w:rsid w:val="00C56FDE"/>
    <w:rsid w:val="00C57934"/>
    <w:rsid w:val="00C6050A"/>
    <w:rsid w:val="00C6064B"/>
    <w:rsid w:val="00C61430"/>
    <w:rsid w:val="00C634FC"/>
    <w:rsid w:val="00C63809"/>
    <w:rsid w:val="00C63F2A"/>
    <w:rsid w:val="00C64095"/>
    <w:rsid w:val="00C6416D"/>
    <w:rsid w:val="00C64968"/>
    <w:rsid w:val="00C64A3F"/>
    <w:rsid w:val="00C64FAF"/>
    <w:rsid w:val="00C65156"/>
    <w:rsid w:val="00C65504"/>
    <w:rsid w:val="00C656EA"/>
    <w:rsid w:val="00C66F89"/>
    <w:rsid w:val="00C710CC"/>
    <w:rsid w:val="00C7248E"/>
    <w:rsid w:val="00C7285E"/>
    <w:rsid w:val="00C73313"/>
    <w:rsid w:val="00C73A3A"/>
    <w:rsid w:val="00C7721B"/>
    <w:rsid w:val="00C80EF4"/>
    <w:rsid w:val="00C81DF7"/>
    <w:rsid w:val="00C820CC"/>
    <w:rsid w:val="00C8216A"/>
    <w:rsid w:val="00C84F76"/>
    <w:rsid w:val="00C85AF0"/>
    <w:rsid w:val="00C85F8E"/>
    <w:rsid w:val="00C860EC"/>
    <w:rsid w:val="00C86CE4"/>
    <w:rsid w:val="00C900DB"/>
    <w:rsid w:val="00C9056A"/>
    <w:rsid w:val="00C90DE3"/>
    <w:rsid w:val="00C90EC0"/>
    <w:rsid w:val="00C9159A"/>
    <w:rsid w:val="00C91916"/>
    <w:rsid w:val="00C928DB"/>
    <w:rsid w:val="00C93B02"/>
    <w:rsid w:val="00C93C5A"/>
    <w:rsid w:val="00C94AF4"/>
    <w:rsid w:val="00C950A8"/>
    <w:rsid w:val="00C95310"/>
    <w:rsid w:val="00C962C7"/>
    <w:rsid w:val="00C97A5F"/>
    <w:rsid w:val="00C97B81"/>
    <w:rsid w:val="00C97E94"/>
    <w:rsid w:val="00CA0525"/>
    <w:rsid w:val="00CA0960"/>
    <w:rsid w:val="00CA138A"/>
    <w:rsid w:val="00CA3B85"/>
    <w:rsid w:val="00CA46AE"/>
    <w:rsid w:val="00CA4EEA"/>
    <w:rsid w:val="00CA515F"/>
    <w:rsid w:val="00CA5961"/>
    <w:rsid w:val="00CA7401"/>
    <w:rsid w:val="00CA79FE"/>
    <w:rsid w:val="00CB020D"/>
    <w:rsid w:val="00CB45AE"/>
    <w:rsid w:val="00CB4836"/>
    <w:rsid w:val="00CB48BE"/>
    <w:rsid w:val="00CB48E5"/>
    <w:rsid w:val="00CB49F0"/>
    <w:rsid w:val="00CB4DB9"/>
    <w:rsid w:val="00CB5C33"/>
    <w:rsid w:val="00CB73D6"/>
    <w:rsid w:val="00CB7B6B"/>
    <w:rsid w:val="00CC0DD2"/>
    <w:rsid w:val="00CC115A"/>
    <w:rsid w:val="00CC1CDF"/>
    <w:rsid w:val="00CC2157"/>
    <w:rsid w:val="00CC3A55"/>
    <w:rsid w:val="00CC5246"/>
    <w:rsid w:val="00CC584A"/>
    <w:rsid w:val="00CC6B48"/>
    <w:rsid w:val="00CC7FF1"/>
    <w:rsid w:val="00CD1213"/>
    <w:rsid w:val="00CD3AEC"/>
    <w:rsid w:val="00CD4E07"/>
    <w:rsid w:val="00CD5538"/>
    <w:rsid w:val="00CD567F"/>
    <w:rsid w:val="00CD56E9"/>
    <w:rsid w:val="00CD65D7"/>
    <w:rsid w:val="00CD7088"/>
    <w:rsid w:val="00CE1DE6"/>
    <w:rsid w:val="00CE4457"/>
    <w:rsid w:val="00CE57D0"/>
    <w:rsid w:val="00CE67BE"/>
    <w:rsid w:val="00CE6AF5"/>
    <w:rsid w:val="00CE756D"/>
    <w:rsid w:val="00CE76B0"/>
    <w:rsid w:val="00CE798C"/>
    <w:rsid w:val="00CF03D4"/>
    <w:rsid w:val="00CF041A"/>
    <w:rsid w:val="00CF28FF"/>
    <w:rsid w:val="00CF379F"/>
    <w:rsid w:val="00CF3E80"/>
    <w:rsid w:val="00CF3EFD"/>
    <w:rsid w:val="00CF43CB"/>
    <w:rsid w:val="00CF46CE"/>
    <w:rsid w:val="00CF6D35"/>
    <w:rsid w:val="00CF6EF4"/>
    <w:rsid w:val="00CF7611"/>
    <w:rsid w:val="00D00921"/>
    <w:rsid w:val="00D031ED"/>
    <w:rsid w:val="00D04209"/>
    <w:rsid w:val="00D0451B"/>
    <w:rsid w:val="00D05BEE"/>
    <w:rsid w:val="00D0649D"/>
    <w:rsid w:val="00D06A3F"/>
    <w:rsid w:val="00D07788"/>
    <w:rsid w:val="00D0796F"/>
    <w:rsid w:val="00D104E2"/>
    <w:rsid w:val="00D1053D"/>
    <w:rsid w:val="00D1166A"/>
    <w:rsid w:val="00D11F09"/>
    <w:rsid w:val="00D1499B"/>
    <w:rsid w:val="00D149FB"/>
    <w:rsid w:val="00D151AE"/>
    <w:rsid w:val="00D156FC"/>
    <w:rsid w:val="00D15EEA"/>
    <w:rsid w:val="00D16209"/>
    <w:rsid w:val="00D168E6"/>
    <w:rsid w:val="00D16FEA"/>
    <w:rsid w:val="00D17C0B"/>
    <w:rsid w:val="00D17CB8"/>
    <w:rsid w:val="00D20FC6"/>
    <w:rsid w:val="00D21055"/>
    <w:rsid w:val="00D219A2"/>
    <w:rsid w:val="00D2311F"/>
    <w:rsid w:val="00D23734"/>
    <w:rsid w:val="00D251CE"/>
    <w:rsid w:val="00D2577D"/>
    <w:rsid w:val="00D25D27"/>
    <w:rsid w:val="00D25DA9"/>
    <w:rsid w:val="00D27838"/>
    <w:rsid w:val="00D27BD8"/>
    <w:rsid w:val="00D302DF"/>
    <w:rsid w:val="00D313E3"/>
    <w:rsid w:val="00D32433"/>
    <w:rsid w:val="00D33B43"/>
    <w:rsid w:val="00D35221"/>
    <w:rsid w:val="00D3576A"/>
    <w:rsid w:val="00D40532"/>
    <w:rsid w:val="00D4064F"/>
    <w:rsid w:val="00D40BEA"/>
    <w:rsid w:val="00D421BD"/>
    <w:rsid w:val="00D4288D"/>
    <w:rsid w:val="00D428BE"/>
    <w:rsid w:val="00D43423"/>
    <w:rsid w:val="00D4399B"/>
    <w:rsid w:val="00D441BE"/>
    <w:rsid w:val="00D44D23"/>
    <w:rsid w:val="00D44D97"/>
    <w:rsid w:val="00D45446"/>
    <w:rsid w:val="00D50336"/>
    <w:rsid w:val="00D50516"/>
    <w:rsid w:val="00D50F1B"/>
    <w:rsid w:val="00D5106B"/>
    <w:rsid w:val="00D51A28"/>
    <w:rsid w:val="00D53337"/>
    <w:rsid w:val="00D536DF"/>
    <w:rsid w:val="00D5465A"/>
    <w:rsid w:val="00D55165"/>
    <w:rsid w:val="00D55347"/>
    <w:rsid w:val="00D55AD2"/>
    <w:rsid w:val="00D56B05"/>
    <w:rsid w:val="00D56CB5"/>
    <w:rsid w:val="00D57A1C"/>
    <w:rsid w:val="00D57E3D"/>
    <w:rsid w:val="00D609D4"/>
    <w:rsid w:val="00D60CFD"/>
    <w:rsid w:val="00D60F32"/>
    <w:rsid w:val="00D61910"/>
    <w:rsid w:val="00D61D57"/>
    <w:rsid w:val="00D62262"/>
    <w:rsid w:val="00D6326E"/>
    <w:rsid w:val="00D63B14"/>
    <w:rsid w:val="00D64A3F"/>
    <w:rsid w:val="00D65E94"/>
    <w:rsid w:val="00D66401"/>
    <w:rsid w:val="00D66571"/>
    <w:rsid w:val="00D66C49"/>
    <w:rsid w:val="00D67A56"/>
    <w:rsid w:val="00D67C22"/>
    <w:rsid w:val="00D701FF"/>
    <w:rsid w:val="00D702E1"/>
    <w:rsid w:val="00D72619"/>
    <w:rsid w:val="00D733F6"/>
    <w:rsid w:val="00D74071"/>
    <w:rsid w:val="00D758BA"/>
    <w:rsid w:val="00D762EF"/>
    <w:rsid w:val="00D77395"/>
    <w:rsid w:val="00D80BD5"/>
    <w:rsid w:val="00D80C30"/>
    <w:rsid w:val="00D81B57"/>
    <w:rsid w:val="00D82568"/>
    <w:rsid w:val="00D827B9"/>
    <w:rsid w:val="00D83333"/>
    <w:rsid w:val="00D83447"/>
    <w:rsid w:val="00D83AE7"/>
    <w:rsid w:val="00D8679A"/>
    <w:rsid w:val="00D876B3"/>
    <w:rsid w:val="00D87ECC"/>
    <w:rsid w:val="00D90799"/>
    <w:rsid w:val="00D916F9"/>
    <w:rsid w:val="00D91AD2"/>
    <w:rsid w:val="00D92832"/>
    <w:rsid w:val="00D938B8"/>
    <w:rsid w:val="00D94A13"/>
    <w:rsid w:val="00D9508F"/>
    <w:rsid w:val="00D9533B"/>
    <w:rsid w:val="00D968F4"/>
    <w:rsid w:val="00D971D3"/>
    <w:rsid w:val="00DA014D"/>
    <w:rsid w:val="00DA076F"/>
    <w:rsid w:val="00DA1345"/>
    <w:rsid w:val="00DA1E04"/>
    <w:rsid w:val="00DA2E2C"/>
    <w:rsid w:val="00DA456C"/>
    <w:rsid w:val="00DA4596"/>
    <w:rsid w:val="00DA4958"/>
    <w:rsid w:val="00DA5590"/>
    <w:rsid w:val="00DA5D0B"/>
    <w:rsid w:val="00DA67BD"/>
    <w:rsid w:val="00DB008D"/>
    <w:rsid w:val="00DB19AC"/>
    <w:rsid w:val="00DB1D4B"/>
    <w:rsid w:val="00DB1F8F"/>
    <w:rsid w:val="00DB3152"/>
    <w:rsid w:val="00DB3A71"/>
    <w:rsid w:val="00DB4D14"/>
    <w:rsid w:val="00DB5246"/>
    <w:rsid w:val="00DB52A7"/>
    <w:rsid w:val="00DB5E35"/>
    <w:rsid w:val="00DB619B"/>
    <w:rsid w:val="00DB7FBA"/>
    <w:rsid w:val="00DC01D9"/>
    <w:rsid w:val="00DC1FD0"/>
    <w:rsid w:val="00DC208E"/>
    <w:rsid w:val="00DC2E1A"/>
    <w:rsid w:val="00DC3B7C"/>
    <w:rsid w:val="00DC5731"/>
    <w:rsid w:val="00DD1001"/>
    <w:rsid w:val="00DD26C7"/>
    <w:rsid w:val="00DD3AB9"/>
    <w:rsid w:val="00DD4AB7"/>
    <w:rsid w:val="00DD5DAE"/>
    <w:rsid w:val="00DD6DA2"/>
    <w:rsid w:val="00DD73C2"/>
    <w:rsid w:val="00DD7DBE"/>
    <w:rsid w:val="00DD7EFF"/>
    <w:rsid w:val="00DE01CB"/>
    <w:rsid w:val="00DE0502"/>
    <w:rsid w:val="00DE314D"/>
    <w:rsid w:val="00DE3D02"/>
    <w:rsid w:val="00DE4D6E"/>
    <w:rsid w:val="00DE4FA3"/>
    <w:rsid w:val="00DE5D07"/>
    <w:rsid w:val="00DE6A81"/>
    <w:rsid w:val="00DE72BA"/>
    <w:rsid w:val="00DE791E"/>
    <w:rsid w:val="00DE7C4D"/>
    <w:rsid w:val="00DE7CE1"/>
    <w:rsid w:val="00DF13B5"/>
    <w:rsid w:val="00DF1E11"/>
    <w:rsid w:val="00DF233E"/>
    <w:rsid w:val="00DF2B5F"/>
    <w:rsid w:val="00DF35A0"/>
    <w:rsid w:val="00DF40F7"/>
    <w:rsid w:val="00DF46D8"/>
    <w:rsid w:val="00DF4F85"/>
    <w:rsid w:val="00DF54E4"/>
    <w:rsid w:val="00DF72B0"/>
    <w:rsid w:val="00DF766C"/>
    <w:rsid w:val="00DF7773"/>
    <w:rsid w:val="00E00029"/>
    <w:rsid w:val="00E01FE8"/>
    <w:rsid w:val="00E02A3C"/>
    <w:rsid w:val="00E03BEC"/>
    <w:rsid w:val="00E05F37"/>
    <w:rsid w:val="00E06195"/>
    <w:rsid w:val="00E063EB"/>
    <w:rsid w:val="00E06E66"/>
    <w:rsid w:val="00E07149"/>
    <w:rsid w:val="00E074AD"/>
    <w:rsid w:val="00E07D1A"/>
    <w:rsid w:val="00E10440"/>
    <w:rsid w:val="00E10766"/>
    <w:rsid w:val="00E11EB8"/>
    <w:rsid w:val="00E12BCB"/>
    <w:rsid w:val="00E12C7E"/>
    <w:rsid w:val="00E13CFC"/>
    <w:rsid w:val="00E1475C"/>
    <w:rsid w:val="00E14892"/>
    <w:rsid w:val="00E14C08"/>
    <w:rsid w:val="00E14D50"/>
    <w:rsid w:val="00E14E32"/>
    <w:rsid w:val="00E14E7E"/>
    <w:rsid w:val="00E15EAA"/>
    <w:rsid w:val="00E20016"/>
    <w:rsid w:val="00E2083D"/>
    <w:rsid w:val="00E21FC9"/>
    <w:rsid w:val="00E233A1"/>
    <w:rsid w:val="00E2343D"/>
    <w:rsid w:val="00E24117"/>
    <w:rsid w:val="00E241ED"/>
    <w:rsid w:val="00E26630"/>
    <w:rsid w:val="00E307D3"/>
    <w:rsid w:val="00E3167A"/>
    <w:rsid w:val="00E316E2"/>
    <w:rsid w:val="00E32038"/>
    <w:rsid w:val="00E32932"/>
    <w:rsid w:val="00E334C2"/>
    <w:rsid w:val="00E3367A"/>
    <w:rsid w:val="00E34BA0"/>
    <w:rsid w:val="00E354D3"/>
    <w:rsid w:val="00E367B5"/>
    <w:rsid w:val="00E4011D"/>
    <w:rsid w:val="00E4029E"/>
    <w:rsid w:val="00E40464"/>
    <w:rsid w:val="00E41559"/>
    <w:rsid w:val="00E417B8"/>
    <w:rsid w:val="00E41C16"/>
    <w:rsid w:val="00E42EE5"/>
    <w:rsid w:val="00E4476D"/>
    <w:rsid w:val="00E45B70"/>
    <w:rsid w:val="00E46886"/>
    <w:rsid w:val="00E47095"/>
    <w:rsid w:val="00E47F84"/>
    <w:rsid w:val="00E50613"/>
    <w:rsid w:val="00E50BA4"/>
    <w:rsid w:val="00E50C3B"/>
    <w:rsid w:val="00E51064"/>
    <w:rsid w:val="00E51300"/>
    <w:rsid w:val="00E51E3D"/>
    <w:rsid w:val="00E5209C"/>
    <w:rsid w:val="00E56A6E"/>
    <w:rsid w:val="00E56B56"/>
    <w:rsid w:val="00E56FD9"/>
    <w:rsid w:val="00E57749"/>
    <w:rsid w:val="00E607E6"/>
    <w:rsid w:val="00E614A4"/>
    <w:rsid w:val="00E6169A"/>
    <w:rsid w:val="00E643A9"/>
    <w:rsid w:val="00E64EA4"/>
    <w:rsid w:val="00E65446"/>
    <w:rsid w:val="00E654FF"/>
    <w:rsid w:val="00E65B24"/>
    <w:rsid w:val="00E66A31"/>
    <w:rsid w:val="00E67CCB"/>
    <w:rsid w:val="00E67E63"/>
    <w:rsid w:val="00E70316"/>
    <w:rsid w:val="00E71B17"/>
    <w:rsid w:val="00E720F6"/>
    <w:rsid w:val="00E731C6"/>
    <w:rsid w:val="00E7616A"/>
    <w:rsid w:val="00E76FAF"/>
    <w:rsid w:val="00E7729E"/>
    <w:rsid w:val="00E7739F"/>
    <w:rsid w:val="00E777E0"/>
    <w:rsid w:val="00E808FF"/>
    <w:rsid w:val="00E80B2E"/>
    <w:rsid w:val="00E80DFC"/>
    <w:rsid w:val="00E8198E"/>
    <w:rsid w:val="00E81F2A"/>
    <w:rsid w:val="00E8289C"/>
    <w:rsid w:val="00E82BA7"/>
    <w:rsid w:val="00E843FD"/>
    <w:rsid w:val="00E8594B"/>
    <w:rsid w:val="00E86339"/>
    <w:rsid w:val="00E87E10"/>
    <w:rsid w:val="00E911E5"/>
    <w:rsid w:val="00E91C53"/>
    <w:rsid w:val="00E92A97"/>
    <w:rsid w:val="00E92CED"/>
    <w:rsid w:val="00E92FAC"/>
    <w:rsid w:val="00E93C8F"/>
    <w:rsid w:val="00E9565E"/>
    <w:rsid w:val="00E956CF"/>
    <w:rsid w:val="00E96079"/>
    <w:rsid w:val="00E963C9"/>
    <w:rsid w:val="00E965C0"/>
    <w:rsid w:val="00EA0456"/>
    <w:rsid w:val="00EA40E1"/>
    <w:rsid w:val="00EA4429"/>
    <w:rsid w:val="00EA4D51"/>
    <w:rsid w:val="00EA774C"/>
    <w:rsid w:val="00EA7F92"/>
    <w:rsid w:val="00EB0841"/>
    <w:rsid w:val="00EB0FD1"/>
    <w:rsid w:val="00EB237C"/>
    <w:rsid w:val="00EB28EC"/>
    <w:rsid w:val="00EB29B9"/>
    <w:rsid w:val="00EB2EC8"/>
    <w:rsid w:val="00EB33EE"/>
    <w:rsid w:val="00EB348D"/>
    <w:rsid w:val="00EB3829"/>
    <w:rsid w:val="00EB38CA"/>
    <w:rsid w:val="00EB42AB"/>
    <w:rsid w:val="00EB5608"/>
    <w:rsid w:val="00EB7103"/>
    <w:rsid w:val="00EC15FD"/>
    <w:rsid w:val="00EC1A41"/>
    <w:rsid w:val="00EC20C4"/>
    <w:rsid w:val="00EC245C"/>
    <w:rsid w:val="00EC30C7"/>
    <w:rsid w:val="00EC352B"/>
    <w:rsid w:val="00EC429C"/>
    <w:rsid w:val="00EC4846"/>
    <w:rsid w:val="00EC491A"/>
    <w:rsid w:val="00EC4B5C"/>
    <w:rsid w:val="00EC4E25"/>
    <w:rsid w:val="00EC4ECD"/>
    <w:rsid w:val="00EC5AEC"/>
    <w:rsid w:val="00EC6423"/>
    <w:rsid w:val="00EC6A37"/>
    <w:rsid w:val="00EC6A92"/>
    <w:rsid w:val="00EC7D2A"/>
    <w:rsid w:val="00EC7FA0"/>
    <w:rsid w:val="00ED105D"/>
    <w:rsid w:val="00ED1AD8"/>
    <w:rsid w:val="00ED1D3D"/>
    <w:rsid w:val="00ED2839"/>
    <w:rsid w:val="00ED2FEC"/>
    <w:rsid w:val="00ED67B7"/>
    <w:rsid w:val="00ED6A1F"/>
    <w:rsid w:val="00ED6B0B"/>
    <w:rsid w:val="00ED7160"/>
    <w:rsid w:val="00EE1D98"/>
    <w:rsid w:val="00EE2767"/>
    <w:rsid w:val="00EE2A7D"/>
    <w:rsid w:val="00EE2E91"/>
    <w:rsid w:val="00EE3554"/>
    <w:rsid w:val="00EE3851"/>
    <w:rsid w:val="00EE3CF6"/>
    <w:rsid w:val="00EE47E0"/>
    <w:rsid w:val="00EE60C7"/>
    <w:rsid w:val="00EE6296"/>
    <w:rsid w:val="00EF0E77"/>
    <w:rsid w:val="00EF2049"/>
    <w:rsid w:val="00EF23FC"/>
    <w:rsid w:val="00EF289F"/>
    <w:rsid w:val="00EF4ACE"/>
    <w:rsid w:val="00EF4AD9"/>
    <w:rsid w:val="00EF56D4"/>
    <w:rsid w:val="00EF605B"/>
    <w:rsid w:val="00EF7646"/>
    <w:rsid w:val="00EF7894"/>
    <w:rsid w:val="00EF7A05"/>
    <w:rsid w:val="00EF7CD5"/>
    <w:rsid w:val="00EF7CDC"/>
    <w:rsid w:val="00F0186C"/>
    <w:rsid w:val="00F01982"/>
    <w:rsid w:val="00F02B81"/>
    <w:rsid w:val="00F03208"/>
    <w:rsid w:val="00F03A12"/>
    <w:rsid w:val="00F04A32"/>
    <w:rsid w:val="00F06008"/>
    <w:rsid w:val="00F06325"/>
    <w:rsid w:val="00F070F6"/>
    <w:rsid w:val="00F119E4"/>
    <w:rsid w:val="00F1255E"/>
    <w:rsid w:val="00F12F39"/>
    <w:rsid w:val="00F13F8F"/>
    <w:rsid w:val="00F144CB"/>
    <w:rsid w:val="00F149C1"/>
    <w:rsid w:val="00F163BF"/>
    <w:rsid w:val="00F165BD"/>
    <w:rsid w:val="00F167A0"/>
    <w:rsid w:val="00F17269"/>
    <w:rsid w:val="00F17DC7"/>
    <w:rsid w:val="00F17E69"/>
    <w:rsid w:val="00F20565"/>
    <w:rsid w:val="00F21405"/>
    <w:rsid w:val="00F23117"/>
    <w:rsid w:val="00F23D2B"/>
    <w:rsid w:val="00F243B5"/>
    <w:rsid w:val="00F2564D"/>
    <w:rsid w:val="00F25B94"/>
    <w:rsid w:val="00F25BF0"/>
    <w:rsid w:val="00F25D04"/>
    <w:rsid w:val="00F25E94"/>
    <w:rsid w:val="00F261AD"/>
    <w:rsid w:val="00F26A06"/>
    <w:rsid w:val="00F2779E"/>
    <w:rsid w:val="00F300B2"/>
    <w:rsid w:val="00F31515"/>
    <w:rsid w:val="00F3177F"/>
    <w:rsid w:val="00F33F2A"/>
    <w:rsid w:val="00F346F2"/>
    <w:rsid w:val="00F34EE1"/>
    <w:rsid w:val="00F356E9"/>
    <w:rsid w:val="00F35FDB"/>
    <w:rsid w:val="00F36257"/>
    <w:rsid w:val="00F4063F"/>
    <w:rsid w:val="00F410B2"/>
    <w:rsid w:val="00F41B27"/>
    <w:rsid w:val="00F428AD"/>
    <w:rsid w:val="00F435E4"/>
    <w:rsid w:val="00F4364B"/>
    <w:rsid w:val="00F44870"/>
    <w:rsid w:val="00F44F9A"/>
    <w:rsid w:val="00F459F3"/>
    <w:rsid w:val="00F46752"/>
    <w:rsid w:val="00F47D1A"/>
    <w:rsid w:val="00F50974"/>
    <w:rsid w:val="00F52211"/>
    <w:rsid w:val="00F52346"/>
    <w:rsid w:val="00F53BAC"/>
    <w:rsid w:val="00F53CAD"/>
    <w:rsid w:val="00F54E6F"/>
    <w:rsid w:val="00F55AF7"/>
    <w:rsid w:val="00F568DB"/>
    <w:rsid w:val="00F5727F"/>
    <w:rsid w:val="00F57E6B"/>
    <w:rsid w:val="00F60C25"/>
    <w:rsid w:val="00F60D26"/>
    <w:rsid w:val="00F626F0"/>
    <w:rsid w:val="00F6317A"/>
    <w:rsid w:val="00F63FEF"/>
    <w:rsid w:val="00F65620"/>
    <w:rsid w:val="00F656B3"/>
    <w:rsid w:val="00F664F1"/>
    <w:rsid w:val="00F66808"/>
    <w:rsid w:val="00F66C68"/>
    <w:rsid w:val="00F66DF2"/>
    <w:rsid w:val="00F6750A"/>
    <w:rsid w:val="00F677E2"/>
    <w:rsid w:val="00F67CD8"/>
    <w:rsid w:val="00F71DCE"/>
    <w:rsid w:val="00F720DF"/>
    <w:rsid w:val="00F73411"/>
    <w:rsid w:val="00F734F6"/>
    <w:rsid w:val="00F74331"/>
    <w:rsid w:val="00F74587"/>
    <w:rsid w:val="00F74C6D"/>
    <w:rsid w:val="00F7605D"/>
    <w:rsid w:val="00F76BD2"/>
    <w:rsid w:val="00F77D52"/>
    <w:rsid w:val="00F77FA5"/>
    <w:rsid w:val="00F813E7"/>
    <w:rsid w:val="00F81902"/>
    <w:rsid w:val="00F839E2"/>
    <w:rsid w:val="00F84E4B"/>
    <w:rsid w:val="00F84F13"/>
    <w:rsid w:val="00F85811"/>
    <w:rsid w:val="00F87A22"/>
    <w:rsid w:val="00F901E8"/>
    <w:rsid w:val="00F902D1"/>
    <w:rsid w:val="00F9101E"/>
    <w:rsid w:val="00F92FF0"/>
    <w:rsid w:val="00F933DA"/>
    <w:rsid w:val="00F93C3F"/>
    <w:rsid w:val="00F93CEF"/>
    <w:rsid w:val="00F93FC7"/>
    <w:rsid w:val="00F9446F"/>
    <w:rsid w:val="00F94547"/>
    <w:rsid w:val="00F94A06"/>
    <w:rsid w:val="00F94ECB"/>
    <w:rsid w:val="00F964C6"/>
    <w:rsid w:val="00F96B3B"/>
    <w:rsid w:val="00F96DF8"/>
    <w:rsid w:val="00FA0707"/>
    <w:rsid w:val="00FA1E09"/>
    <w:rsid w:val="00FA21D6"/>
    <w:rsid w:val="00FA39C4"/>
    <w:rsid w:val="00FA3DB1"/>
    <w:rsid w:val="00FA4117"/>
    <w:rsid w:val="00FA41BB"/>
    <w:rsid w:val="00FA6F4E"/>
    <w:rsid w:val="00FA7C34"/>
    <w:rsid w:val="00FA7D27"/>
    <w:rsid w:val="00FB107A"/>
    <w:rsid w:val="00FB1D6C"/>
    <w:rsid w:val="00FB24CC"/>
    <w:rsid w:val="00FB2AE5"/>
    <w:rsid w:val="00FB3D65"/>
    <w:rsid w:val="00FB42E7"/>
    <w:rsid w:val="00FB47E1"/>
    <w:rsid w:val="00FB5F9D"/>
    <w:rsid w:val="00FB6017"/>
    <w:rsid w:val="00FB6171"/>
    <w:rsid w:val="00FB6CFE"/>
    <w:rsid w:val="00FC10E9"/>
    <w:rsid w:val="00FC1684"/>
    <w:rsid w:val="00FC17DC"/>
    <w:rsid w:val="00FC17DF"/>
    <w:rsid w:val="00FC30CB"/>
    <w:rsid w:val="00FC3407"/>
    <w:rsid w:val="00FC3498"/>
    <w:rsid w:val="00FC4CE6"/>
    <w:rsid w:val="00FC5327"/>
    <w:rsid w:val="00FC5B0F"/>
    <w:rsid w:val="00FC7C50"/>
    <w:rsid w:val="00FD0886"/>
    <w:rsid w:val="00FD1D6F"/>
    <w:rsid w:val="00FD3757"/>
    <w:rsid w:val="00FD435B"/>
    <w:rsid w:val="00FD4626"/>
    <w:rsid w:val="00FD55C6"/>
    <w:rsid w:val="00FE02E9"/>
    <w:rsid w:val="00FE1070"/>
    <w:rsid w:val="00FE314C"/>
    <w:rsid w:val="00FE3E76"/>
    <w:rsid w:val="00FE40FC"/>
    <w:rsid w:val="00FE410F"/>
    <w:rsid w:val="00FE4700"/>
    <w:rsid w:val="00FE55EB"/>
    <w:rsid w:val="00FE5A8B"/>
    <w:rsid w:val="00FE6B2C"/>
    <w:rsid w:val="00FF06AD"/>
    <w:rsid w:val="00FF09CC"/>
    <w:rsid w:val="00FF1766"/>
    <w:rsid w:val="00FF24BD"/>
    <w:rsid w:val="00FF2D35"/>
    <w:rsid w:val="00FF3362"/>
    <w:rsid w:val="00FF3ED4"/>
    <w:rsid w:val="00FF41B1"/>
    <w:rsid w:val="00FF50A1"/>
    <w:rsid w:val="00FF544B"/>
    <w:rsid w:val="00FF5720"/>
    <w:rsid w:val="00FF5987"/>
    <w:rsid w:val="00FF5AAD"/>
    <w:rsid w:val="00FF6E32"/>
    <w:rsid w:val="00FF7B80"/>
    <w:rsid w:val="00FF7C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0AB94"/>
  <w15:docId w15:val="{63FD20EA-F26E-4C60-BAD8-4F1F282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85F8D"/>
    <w:pPr>
      <w:ind w:left="1701" w:right="1701"/>
    </w:pPr>
    <w:rPr>
      <w:b/>
      <w:szCs w:val="20"/>
      <w:lang w:eastAsia="en-US"/>
    </w:rPr>
  </w:style>
  <w:style w:type="paragraph" w:styleId="PlainText">
    <w:name w:val="Plain Text"/>
    <w:basedOn w:val="Normal"/>
    <w:link w:val="PlainTextChar"/>
    <w:uiPriority w:val="99"/>
    <w:unhideWhenUsed/>
    <w:rsid w:val="00A85F8D"/>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Normal"/>
    <w:rsid w:val="00A85F8D"/>
    <w:pPr>
      <w:spacing w:line="360" w:lineRule="auto"/>
      <w:ind w:firstLine="720"/>
      <w:jc w:val="center"/>
    </w:pPr>
    <w:rPr>
      <w:rFonts w:ascii="TimesLT" w:hAnsi="TimesLT"/>
      <w:caps/>
      <w:szCs w:val="20"/>
      <w:lang w:eastAsia="en-US"/>
    </w:rPr>
  </w:style>
  <w:style w:type="paragraph" w:styleId="ListParagraph">
    <w:name w:val="List Paragraph"/>
    <w:basedOn w:val="Normal"/>
    <w:uiPriority w:val="34"/>
    <w:qFormat/>
    <w:rsid w:val="00066404"/>
    <w:pPr>
      <w:spacing w:before="100" w:beforeAutospacing="1" w:after="100" w:afterAutospacing="1"/>
    </w:pPr>
  </w:style>
  <w:style w:type="paragraph" w:styleId="BalloonText">
    <w:name w:val="Balloon Text"/>
    <w:basedOn w:val="Normal"/>
    <w:link w:val="BalloonTextChar"/>
    <w:semiHidden/>
    <w:unhideWhenUsed/>
    <w:rsid w:val="00343CF5"/>
    <w:rPr>
      <w:rFonts w:ascii="Tahoma" w:hAnsi="Tahoma" w:cs="Tahoma"/>
      <w:sz w:val="16"/>
      <w:szCs w:val="16"/>
    </w:rPr>
  </w:style>
  <w:style w:type="character" w:customStyle="1" w:styleId="BalloonTextChar">
    <w:name w:val="Balloon Text Char"/>
    <w:basedOn w:val="DefaultParagraphFont"/>
    <w:link w:val="BalloonText"/>
    <w:uiPriority w:val="99"/>
    <w:semiHidden/>
    <w:rsid w:val="00343CF5"/>
    <w:rPr>
      <w:rFonts w:ascii="Tahoma" w:eastAsia="Times New Roman" w:hAnsi="Tahoma" w:cs="Tahoma"/>
      <w:sz w:val="16"/>
      <w:szCs w:val="16"/>
      <w:lang w:eastAsia="lt-LT"/>
    </w:rPr>
  </w:style>
  <w:style w:type="paragraph" w:styleId="Header">
    <w:name w:val="header"/>
    <w:basedOn w:val="Normal"/>
    <w:link w:val="HeaderChar"/>
    <w:unhideWhenUsed/>
    <w:rsid w:val="002E4284"/>
    <w:pPr>
      <w:tabs>
        <w:tab w:val="center" w:pos="4819"/>
        <w:tab w:val="right" w:pos="9638"/>
      </w:tabs>
    </w:pPr>
  </w:style>
  <w:style w:type="character" w:customStyle="1" w:styleId="HeaderChar">
    <w:name w:val="Header Char"/>
    <w:basedOn w:val="DefaultParagraphFont"/>
    <w:link w:val="Header"/>
    <w:uiPriority w:val="99"/>
    <w:rsid w:val="002E428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E4284"/>
    <w:pPr>
      <w:tabs>
        <w:tab w:val="center" w:pos="4819"/>
        <w:tab w:val="right" w:pos="9638"/>
      </w:tabs>
    </w:pPr>
  </w:style>
  <w:style w:type="character" w:customStyle="1" w:styleId="FooterChar">
    <w:name w:val="Footer Char"/>
    <w:basedOn w:val="DefaultParagraphFont"/>
    <w:link w:val="Footer"/>
    <w:uiPriority w:val="99"/>
    <w:rsid w:val="002E4284"/>
    <w:rPr>
      <w:rFonts w:ascii="Times New Roman" w:eastAsia="Times New Roman" w:hAnsi="Times New Roman" w:cs="Times New Roman"/>
      <w:sz w:val="24"/>
      <w:szCs w:val="24"/>
      <w:lang w:eastAsia="lt-LT"/>
    </w:rPr>
  </w:style>
  <w:style w:type="table" w:styleId="TableGrid">
    <w:name w:val="Table Grid"/>
    <w:basedOn w:val="TableNormal"/>
    <w:uiPriority w:val="39"/>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24D7F"/>
    <w:pPr>
      <w:jc w:val="both"/>
    </w:pPr>
    <w:rPr>
      <w:sz w:val="22"/>
      <w:szCs w:val="20"/>
    </w:rPr>
  </w:style>
  <w:style w:type="character" w:customStyle="1" w:styleId="BodyText2Char">
    <w:name w:val="Body Text 2 Char"/>
    <w:basedOn w:val="DefaultParagraphFont"/>
    <w:link w:val="BodyText2"/>
    <w:rsid w:val="00224D7F"/>
    <w:rPr>
      <w:rFonts w:ascii="Times New Roman" w:eastAsia="Times New Roman" w:hAnsi="Times New Roman" w:cs="Times New Roman"/>
      <w:szCs w:val="20"/>
      <w:lang w:eastAsia="lt-LT"/>
    </w:rPr>
  </w:style>
  <w:style w:type="character" w:customStyle="1" w:styleId="right">
    <w:name w:val="right"/>
    <w:basedOn w:val="DefaultParagraphFont"/>
    <w:rsid w:val="00224D7F"/>
  </w:style>
  <w:style w:type="character" w:customStyle="1" w:styleId="FontStyle11">
    <w:name w:val="Font Style11"/>
    <w:rsid w:val="0088334B"/>
    <w:rPr>
      <w:rFonts w:ascii="Times New Roman" w:hAnsi="Times New Roman" w:cs="Times New Roman"/>
      <w:sz w:val="22"/>
      <w:szCs w:val="22"/>
    </w:rPr>
  </w:style>
  <w:style w:type="paragraph" w:styleId="NoSpacing">
    <w:name w:val="No Spacing"/>
    <w:uiPriority w:val="1"/>
    <w:qFormat/>
    <w:rsid w:val="0088334B"/>
    <w:pPr>
      <w:spacing w:after="0" w:line="240" w:lineRule="auto"/>
    </w:pPr>
    <w:rPr>
      <w:rFonts w:ascii="Calibri" w:eastAsia="Calibri" w:hAnsi="Calibri" w:cs="Times New Roman"/>
    </w:rPr>
  </w:style>
  <w:style w:type="character" w:styleId="PageNumber">
    <w:name w:val="page number"/>
    <w:basedOn w:val="DefaultParagraphFont"/>
    <w:semiHidden/>
    <w:rsid w:val="00106994"/>
  </w:style>
  <w:style w:type="character" w:styleId="Hyperlink">
    <w:name w:val="Hyperlink"/>
    <w:basedOn w:val="DefaultParagraphFont"/>
    <w:uiPriority w:val="99"/>
    <w:unhideWhenUsed/>
    <w:rsid w:val="00277B03"/>
    <w:rPr>
      <w:color w:val="0000FF" w:themeColor="hyperlink"/>
      <w:u w:val="single"/>
    </w:rPr>
  </w:style>
  <w:style w:type="paragraph" w:customStyle="1" w:styleId="ISTATYMAS">
    <w:name w:val="ISTATYMAS"/>
    <w:basedOn w:val="Normal"/>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DefaultParagraphFont"/>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Normal"/>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tekstas">
    <w:name w:val="tekstas"/>
    <w:basedOn w:val="Normal"/>
    <w:rsid w:val="00347877"/>
    <w:pPr>
      <w:spacing w:before="100" w:beforeAutospacing="1" w:after="100" w:afterAutospacing="1"/>
    </w:pPr>
  </w:style>
  <w:style w:type="paragraph" w:styleId="CommentText">
    <w:name w:val="annotation text"/>
    <w:basedOn w:val="Normal"/>
    <w:link w:val="CommentTextChar"/>
    <w:unhideWhenUsed/>
    <w:rsid w:val="002075E8"/>
    <w:pPr>
      <w:spacing w:before="100" w:beforeAutospacing="1" w:after="100" w:afterAutospacing="1"/>
    </w:pPr>
  </w:style>
  <w:style w:type="character" w:customStyle="1" w:styleId="CommentTextChar">
    <w:name w:val="Comment Text Char"/>
    <w:basedOn w:val="DefaultParagraphFont"/>
    <w:link w:val="CommentText"/>
    <w:rsid w:val="002075E8"/>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075E8"/>
    <w:rPr>
      <w:b/>
      <w:bCs/>
    </w:rPr>
  </w:style>
  <w:style w:type="character" w:customStyle="1" w:styleId="st">
    <w:name w:val="st"/>
    <w:basedOn w:val="DefaultParagraphFont"/>
    <w:rsid w:val="002075E8"/>
  </w:style>
  <w:style w:type="character" w:customStyle="1" w:styleId="bold1">
    <w:name w:val="bold1"/>
    <w:basedOn w:val="DefaultParagraphFont"/>
    <w:rsid w:val="00761E64"/>
    <w:rPr>
      <w:b/>
      <w:bCs/>
    </w:rPr>
  </w:style>
  <w:style w:type="paragraph" w:styleId="FootnoteText">
    <w:name w:val="footnote text"/>
    <w:basedOn w:val="Normal"/>
    <w:link w:val="FootnoteTextChar"/>
    <w:uiPriority w:val="99"/>
    <w:semiHidden/>
    <w:unhideWhenUsed/>
    <w:rsid w:val="00CC7FF1"/>
    <w:rPr>
      <w:sz w:val="20"/>
      <w:szCs w:val="20"/>
      <w:lang w:eastAsia="en-US"/>
    </w:rPr>
  </w:style>
  <w:style w:type="character" w:customStyle="1" w:styleId="FootnoteTextChar">
    <w:name w:val="Footnote Text Char"/>
    <w:basedOn w:val="DefaultParagraphFont"/>
    <w:link w:val="FootnoteText"/>
    <w:uiPriority w:val="99"/>
    <w:semiHidden/>
    <w:rsid w:val="00CC7F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7FF1"/>
    <w:rPr>
      <w:vertAlign w:val="superscript"/>
    </w:rPr>
  </w:style>
  <w:style w:type="character" w:styleId="FollowedHyperlink">
    <w:name w:val="FollowedHyperlink"/>
    <w:basedOn w:val="DefaultParagraphFont"/>
    <w:uiPriority w:val="99"/>
    <w:semiHidden/>
    <w:unhideWhenUsed/>
    <w:rsid w:val="008D721A"/>
    <w:rPr>
      <w:color w:val="800080" w:themeColor="followedHyperlink"/>
      <w:u w:val="single"/>
    </w:rPr>
  </w:style>
  <w:style w:type="character" w:customStyle="1" w:styleId="tlid-translation">
    <w:name w:val="tlid-translation"/>
    <w:basedOn w:val="DefaultParagraphFont"/>
    <w:rsid w:val="00F070F6"/>
  </w:style>
  <w:style w:type="character" w:styleId="CommentReference">
    <w:name w:val="annotation reference"/>
    <w:basedOn w:val="DefaultParagraphFont"/>
    <w:uiPriority w:val="99"/>
    <w:semiHidden/>
    <w:unhideWhenUsed/>
    <w:rsid w:val="00693A41"/>
    <w:rPr>
      <w:sz w:val="16"/>
      <w:szCs w:val="16"/>
    </w:rPr>
  </w:style>
  <w:style w:type="paragraph" w:styleId="CommentSubject">
    <w:name w:val="annotation subject"/>
    <w:basedOn w:val="CommentText"/>
    <w:next w:val="CommentText"/>
    <w:link w:val="CommentSubjectChar"/>
    <w:uiPriority w:val="99"/>
    <w:semiHidden/>
    <w:unhideWhenUsed/>
    <w:rsid w:val="00693A41"/>
    <w:pPr>
      <w:spacing w:before="0" w:beforeAutospacing="0" w:after="0" w:afterAutospacing="0"/>
    </w:pPr>
    <w:rPr>
      <w:b/>
      <w:bCs/>
      <w:sz w:val="20"/>
      <w:szCs w:val="20"/>
    </w:rPr>
  </w:style>
  <w:style w:type="character" w:customStyle="1" w:styleId="CommentSubjectChar">
    <w:name w:val="Comment Subject Char"/>
    <w:basedOn w:val="CommentTextChar"/>
    <w:link w:val="CommentSubject"/>
    <w:uiPriority w:val="99"/>
    <w:semiHidden/>
    <w:rsid w:val="00693A41"/>
    <w:rPr>
      <w:rFonts w:ascii="Times New Roman" w:eastAsia="Times New Roman" w:hAnsi="Times New Roman" w:cs="Times New Roman"/>
      <w:b/>
      <w:bCs/>
      <w:sz w:val="20"/>
      <w:szCs w:val="20"/>
      <w:lang w:eastAsia="lt-LT"/>
    </w:rPr>
  </w:style>
  <w:style w:type="paragraph" w:styleId="EndnoteText">
    <w:name w:val="endnote text"/>
    <w:basedOn w:val="Normal"/>
    <w:link w:val="EndnoteTextChar"/>
    <w:uiPriority w:val="99"/>
    <w:semiHidden/>
    <w:unhideWhenUsed/>
    <w:rsid w:val="00DB19AC"/>
    <w:rPr>
      <w:sz w:val="20"/>
      <w:szCs w:val="20"/>
    </w:rPr>
  </w:style>
  <w:style w:type="character" w:customStyle="1" w:styleId="EndnoteTextChar">
    <w:name w:val="Endnote Text Char"/>
    <w:basedOn w:val="DefaultParagraphFont"/>
    <w:link w:val="EndnoteText"/>
    <w:uiPriority w:val="99"/>
    <w:semiHidden/>
    <w:rsid w:val="00DB19AC"/>
    <w:rPr>
      <w:rFonts w:ascii="Times New Roman" w:eastAsia="Times New Roman" w:hAnsi="Times New Roman" w:cs="Times New Roman"/>
      <w:sz w:val="20"/>
      <w:szCs w:val="20"/>
      <w:lang w:eastAsia="lt-LT"/>
    </w:rPr>
  </w:style>
  <w:style w:type="character" w:styleId="EndnoteReference">
    <w:name w:val="endnote reference"/>
    <w:basedOn w:val="DefaultParagraphFont"/>
    <w:uiPriority w:val="99"/>
    <w:semiHidden/>
    <w:unhideWhenUsed/>
    <w:rsid w:val="00DB19AC"/>
    <w:rPr>
      <w:vertAlign w:val="superscript"/>
    </w:rPr>
  </w:style>
  <w:style w:type="character" w:customStyle="1" w:styleId="normaltextrun1">
    <w:name w:val="normaltextrun1"/>
    <w:basedOn w:val="DefaultParagraphFont"/>
    <w:rsid w:val="00795159"/>
  </w:style>
  <w:style w:type="paragraph" w:customStyle="1" w:styleId="gmail-msocommenttext">
    <w:name w:val="gmail-msocommenttext"/>
    <w:basedOn w:val="Normal"/>
    <w:rsid w:val="00654DAC"/>
    <w:pPr>
      <w:spacing w:before="100" w:beforeAutospacing="1" w:after="100" w:afterAutospacing="1"/>
    </w:pPr>
  </w:style>
  <w:style w:type="paragraph" w:customStyle="1" w:styleId="tajtip">
    <w:name w:val="tajtip"/>
    <w:basedOn w:val="Normal"/>
    <w:rsid w:val="00DC3B7C"/>
    <w:pPr>
      <w:spacing w:after="150"/>
    </w:pPr>
  </w:style>
  <w:style w:type="paragraph" w:styleId="Revision">
    <w:name w:val="Revision"/>
    <w:hidden/>
    <w:uiPriority w:val="99"/>
    <w:semiHidden/>
    <w:rsid w:val="00D302DF"/>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941">
      <w:bodyDiv w:val="1"/>
      <w:marLeft w:val="0"/>
      <w:marRight w:val="0"/>
      <w:marTop w:val="0"/>
      <w:marBottom w:val="0"/>
      <w:divBdr>
        <w:top w:val="none" w:sz="0" w:space="0" w:color="auto"/>
        <w:left w:val="none" w:sz="0" w:space="0" w:color="auto"/>
        <w:bottom w:val="none" w:sz="0" w:space="0" w:color="auto"/>
        <w:right w:val="none" w:sz="0" w:space="0" w:color="auto"/>
      </w:divBdr>
    </w:div>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4947">
      <w:bodyDiv w:val="1"/>
      <w:marLeft w:val="0"/>
      <w:marRight w:val="0"/>
      <w:marTop w:val="0"/>
      <w:marBottom w:val="0"/>
      <w:divBdr>
        <w:top w:val="none" w:sz="0" w:space="0" w:color="auto"/>
        <w:left w:val="none" w:sz="0" w:space="0" w:color="auto"/>
        <w:bottom w:val="none" w:sz="0" w:space="0" w:color="auto"/>
        <w:right w:val="none" w:sz="0" w:space="0" w:color="auto"/>
      </w:divBdr>
    </w:div>
    <w:div w:id="343750015">
      <w:bodyDiv w:val="1"/>
      <w:marLeft w:val="0"/>
      <w:marRight w:val="0"/>
      <w:marTop w:val="0"/>
      <w:marBottom w:val="0"/>
      <w:divBdr>
        <w:top w:val="none" w:sz="0" w:space="0" w:color="auto"/>
        <w:left w:val="none" w:sz="0" w:space="0" w:color="auto"/>
        <w:bottom w:val="none" w:sz="0" w:space="0" w:color="auto"/>
        <w:right w:val="none" w:sz="0" w:space="0" w:color="auto"/>
      </w:divBdr>
    </w:div>
    <w:div w:id="389575500">
      <w:bodyDiv w:val="1"/>
      <w:marLeft w:val="0"/>
      <w:marRight w:val="0"/>
      <w:marTop w:val="0"/>
      <w:marBottom w:val="0"/>
      <w:divBdr>
        <w:top w:val="none" w:sz="0" w:space="0" w:color="auto"/>
        <w:left w:val="none" w:sz="0" w:space="0" w:color="auto"/>
        <w:bottom w:val="none" w:sz="0" w:space="0" w:color="auto"/>
        <w:right w:val="none" w:sz="0" w:space="0" w:color="auto"/>
      </w:divBdr>
      <w:divsChild>
        <w:div w:id="120654287">
          <w:marLeft w:val="0"/>
          <w:marRight w:val="0"/>
          <w:marTop w:val="0"/>
          <w:marBottom w:val="0"/>
          <w:divBdr>
            <w:top w:val="none" w:sz="0" w:space="0" w:color="auto"/>
            <w:left w:val="none" w:sz="0" w:space="0" w:color="auto"/>
            <w:bottom w:val="none" w:sz="0" w:space="0" w:color="auto"/>
            <w:right w:val="none" w:sz="0" w:space="0" w:color="auto"/>
          </w:divBdr>
        </w:div>
        <w:div w:id="1105422813">
          <w:marLeft w:val="0"/>
          <w:marRight w:val="0"/>
          <w:marTop w:val="0"/>
          <w:marBottom w:val="0"/>
          <w:divBdr>
            <w:top w:val="none" w:sz="0" w:space="0" w:color="auto"/>
            <w:left w:val="none" w:sz="0" w:space="0" w:color="auto"/>
            <w:bottom w:val="none" w:sz="0" w:space="0" w:color="auto"/>
            <w:right w:val="none" w:sz="0" w:space="0" w:color="auto"/>
          </w:divBdr>
        </w:div>
        <w:div w:id="1507548619">
          <w:marLeft w:val="0"/>
          <w:marRight w:val="0"/>
          <w:marTop w:val="0"/>
          <w:marBottom w:val="0"/>
          <w:divBdr>
            <w:top w:val="none" w:sz="0" w:space="0" w:color="auto"/>
            <w:left w:val="none" w:sz="0" w:space="0" w:color="auto"/>
            <w:bottom w:val="none" w:sz="0" w:space="0" w:color="auto"/>
            <w:right w:val="none" w:sz="0" w:space="0" w:color="auto"/>
          </w:divBdr>
        </w:div>
        <w:div w:id="1780487096">
          <w:marLeft w:val="0"/>
          <w:marRight w:val="0"/>
          <w:marTop w:val="0"/>
          <w:marBottom w:val="0"/>
          <w:divBdr>
            <w:top w:val="none" w:sz="0" w:space="0" w:color="auto"/>
            <w:left w:val="none" w:sz="0" w:space="0" w:color="auto"/>
            <w:bottom w:val="none" w:sz="0" w:space="0" w:color="auto"/>
            <w:right w:val="none" w:sz="0" w:space="0" w:color="auto"/>
          </w:divBdr>
        </w:div>
        <w:div w:id="249433680">
          <w:marLeft w:val="0"/>
          <w:marRight w:val="0"/>
          <w:marTop w:val="0"/>
          <w:marBottom w:val="0"/>
          <w:divBdr>
            <w:top w:val="none" w:sz="0" w:space="0" w:color="auto"/>
            <w:left w:val="none" w:sz="0" w:space="0" w:color="auto"/>
            <w:bottom w:val="none" w:sz="0" w:space="0" w:color="auto"/>
            <w:right w:val="none" w:sz="0" w:space="0" w:color="auto"/>
          </w:divBdr>
        </w:div>
        <w:div w:id="671490507">
          <w:marLeft w:val="0"/>
          <w:marRight w:val="0"/>
          <w:marTop w:val="0"/>
          <w:marBottom w:val="0"/>
          <w:divBdr>
            <w:top w:val="none" w:sz="0" w:space="0" w:color="auto"/>
            <w:left w:val="none" w:sz="0" w:space="0" w:color="auto"/>
            <w:bottom w:val="none" w:sz="0" w:space="0" w:color="auto"/>
            <w:right w:val="none" w:sz="0" w:space="0" w:color="auto"/>
          </w:divBdr>
        </w:div>
        <w:div w:id="198511828">
          <w:marLeft w:val="0"/>
          <w:marRight w:val="0"/>
          <w:marTop w:val="0"/>
          <w:marBottom w:val="0"/>
          <w:divBdr>
            <w:top w:val="none" w:sz="0" w:space="0" w:color="auto"/>
            <w:left w:val="none" w:sz="0" w:space="0" w:color="auto"/>
            <w:bottom w:val="none" w:sz="0" w:space="0" w:color="auto"/>
            <w:right w:val="none" w:sz="0" w:space="0" w:color="auto"/>
          </w:divBdr>
        </w:div>
        <w:div w:id="706955079">
          <w:marLeft w:val="0"/>
          <w:marRight w:val="0"/>
          <w:marTop w:val="0"/>
          <w:marBottom w:val="0"/>
          <w:divBdr>
            <w:top w:val="none" w:sz="0" w:space="0" w:color="auto"/>
            <w:left w:val="none" w:sz="0" w:space="0" w:color="auto"/>
            <w:bottom w:val="none" w:sz="0" w:space="0" w:color="auto"/>
            <w:right w:val="none" w:sz="0" w:space="0" w:color="auto"/>
          </w:divBdr>
        </w:div>
      </w:divsChild>
    </w:div>
    <w:div w:id="750541254">
      <w:bodyDiv w:val="1"/>
      <w:marLeft w:val="0"/>
      <w:marRight w:val="0"/>
      <w:marTop w:val="0"/>
      <w:marBottom w:val="0"/>
      <w:divBdr>
        <w:top w:val="none" w:sz="0" w:space="0" w:color="auto"/>
        <w:left w:val="none" w:sz="0" w:space="0" w:color="auto"/>
        <w:bottom w:val="none" w:sz="0" w:space="0" w:color="auto"/>
        <w:right w:val="none" w:sz="0" w:space="0" w:color="auto"/>
      </w:divBdr>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29715521">
      <w:bodyDiv w:val="1"/>
      <w:marLeft w:val="0"/>
      <w:marRight w:val="0"/>
      <w:marTop w:val="0"/>
      <w:marBottom w:val="0"/>
      <w:divBdr>
        <w:top w:val="none" w:sz="0" w:space="0" w:color="auto"/>
        <w:left w:val="none" w:sz="0" w:space="0" w:color="auto"/>
        <w:bottom w:val="none" w:sz="0" w:space="0" w:color="auto"/>
        <w:right w:val="none" w:sz="0" w:space="0" w:color="auto"/>
      </w:divBdr>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6473">
      <w:bodyDiv w:val="1"/>
      <w:marLeft w:val="0"/>
      <w:marRight w:val="0"/>
      <w:marTop w:val="0"/>
      <w:marBottom w:val="0"/>
      <w:divBdr>
        <w:top w:val="none" w:sz="0" w:space="0" w:color="auto"/>
        <w:left w:val="none" w:sz="0" w:space="0" w:color="auto"/>
        <w:bottom w:val="none" w:sz="0" w:space="0" w:color="auto"/>
        <w:right w:val="none" w:sz="0" w:space="0" w:color="auto"/>
      </w:divBdr>
      <w:divsChild>
        <w:div w:id="136185095">
          <w:marLeft w:val="0"/>
          <w:marRight w:val="0"/>
          <w:marTop w:val="0"/>
          <w:marBottom w:val="0"/>
          <w:divBdr>
            <w:top w:val="none" w:sz="0" w:space="0" w:color="auto"/>
            <w:left w:val="none" w:sz="0" w:space="0" w:color="auto"/>
            <w:bottom w:val="none" w:sz="0" w:space="0" w:color="auto"/>
            <w:right w:val="none" w:sz="0" w:space="0" w:color="auto"/>
          </w:divBdr>
        </w:div>
        <w:div w:id="1639339299">
          <w:marLeft w:val="0"/>
          <w:marRight w:val="0"/>
          <w:marTop w:val="0"/>
          <w:marBottom w:val="0"/>
          <w:divBdr>
            <w:top w:val="none" w:sz="0" w:space="0" w:color="auto"/>
            <w:left w:val="none" w:sz="0" w:space="0" w:color="auto"/>
            <w:bottom w:val="none" w:sz="0" w:space="0" w:color="auto"/>
            <w:right w:val="none" w:sz="0" w:space="0" w:color="auto"/>
          </w:divBdr>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95354">
      <w:bodyDiv w:val="1"/>
      <w:marLeft w:val="0"/>
      <w:marRight w:val="0"/>
      <w:marTop w:val="0"/>
      <w:marBottom w:val="0"/>
      <w:divBdr>
        <w:top w:val="none" w:sz="0" w:space="0" w:color="auto"/>
        <w:left w:val="none" w:sz="0" w:space="0" w:color="auto"/>
        <w:bottom w:val="none" w:sz="0" w:space="0" w:color="auto"/>
        <w:right w:val="none" w:sz="0" w:space="0" w:color="auto"/>
      </w:divBdr>
    </w:div>
    <w:div w:id="1225751987">
      <w:bodyDiv w:val="1"/>
      <w:marLeft w:val="0"/>
      <w:marRight w:val="0"/>
      <w:marTop w:val="0"/>
      <w:marBottom w:val="0"/>
      <w:divBdr>
        <w:top w:val="none" w:sz="0" w:space="0" w:color="auto"/>
        <w:left w:val="none" w:sz="0" w:space="0" w:color="auto"/>
        <w:bottom w:val="none" w:sz="0" w:space="0" w:color="auto"/>
        <w:right w:val="none" w:sz="0" w:space="0" w:color="auto"/>
      </w:divBdr>
    </w:div>
    <w:div w:id="1236360410">
      <w:bodyDiv w:val="1"/>
      <w:marLeft w:val="0"/>
      <w:marRight w:val="0"/>
      <w:marTop w:val="0"/>
      <w:marBottom w:val="0"/>
      <w:divBdr>
        <w:top w:val="none" w:sz="0" w:space="0" w:color="auto"/>
        <w:left w:val="none" w:sz="0" w:space="0" w:color="auto"/>
        <w:bottom w:val="none" w:sz="0" w:space="0" w:color="auto"/>
        <w:right w:val="none" w:sz="0" w:space="0" w:color="auto"/>
      </w:divBdr>
      <w:divsChild>
        <w:div w:id="1890916845">
          <w:marLeft w:val="0"/>
          <w:marRight w:val="0"/>
          <w:marTop w:val="0"/>
          <w:marBottom w:val="0"/>
          <w:divBdr>
            <w:top w:val="none" w:sz="0" w:space="0" w:color="auto"/>
            <w:left w:val="none" w:sz="0" w:space="0" w:color="auto"/>
            <w:bottom w:val="none" w:sz="0" w:space="0" w:color="auto"/>
            <w:right w:val="none" w:sz="0" w:space="0" w:color="auto"/>
          </w:divBdr>
        </w:div>
        <w:div w:id="681130478">
          <w:marLeft w:val="0"/>
          <w:marRight w:val="0"/>
          <w:marTop w:val="0"/>
          <w:marBottom w:val="0"/>
          <w:divBdr>
            <w:top w:val="none" w:sz="0" w:space="0" w:color="auto"/>
            <w:left w:val="none" w:sz="0" w:space="0" w:color="auto"/>
            <w:bottom w:val="none" w:sz="0" w:space="0" w:color="auto"/>
            <w:right w:val="none" w:sz="0" w:space="0" w:color="auto"/>
          </w:divBdr>
        </w:div>
        <w:div w:id="2070183676">
          <w:marLeft w:val="0"/>
          <w:marRight w:val="0"/>
          <w:marTop w:val="0"/>
          <w:marBottom w:val="0"/>
          <w:divBdr>
            <w:top w:val="none" w:sz="0" w:space="0" w:color="auto"/>
            <w:left w:val="none" w:sz="0" w:space="0" w:color="auto"/>
            <w:bottom w:val="none" w:sz="0" w:space="0" w:color="auto"/>
            <w:right w:val="none" w:sz="0" w:space="0" w:color="auto"/>
          </w:divBdr>
        </w:div>
      </w:divsChild>
    </w:div>
    <w:div w:id="1267039819">
      <w:bodyDiv w:val="1"/>
      <w:marLeft w:val="0"/>
      <w:marRight w:val="0"/>
      <w:marTop w:val="0"/>
      <w:marBottom w:val="0"/>
      <w:divBdr>
        <w:top w:val="none" w:sz="0" w:space="0" w:color="auto"/>
        <w:left w:val="none" w:sz="0" w:space="0" w:color="auto"/>
        <w:bottom w:val="none" w:sz="0" w:space="0" w:color="auto"/>
        <w:right w:val="none" w:sz="0" w:space="0" w:color="auto"/>
      </w:divBdr>
      <w:divsChild>
        <w:div w:id="55393630">
          <w:marLeft w:val="0"/>
          <w:marRight w:val="0"/>
          <w:marTop w:val="0"/>
          <w:marBottom w:val="0"/>
          <w:divBdr>
            <w:top w:val="none" w:sz="0" w:space="0" w:color="auto"/>
            <w:left w:val="none" w:sz="0" w:space="0" w:color="auto"/>
            <w:bottom w:val="none" w:sz="0" w:space="0" w:color="auto"/>
            <w:right w:val="none" w:sz="0" w:space="0" w:color="auto"/>
          </w:divBdr>
          <w:divsChild>
            <w:div w:id="453250753">
              <w:marLeft w:val="0"/>
              <w:marRight w:val="0"/>
              <w:marTop w:val="0"/>
              <w:marBottom w:val="0"/>
              <w:divBdr>
                <w:top w:val="none" w:sz="0" w:space="0" w:color="auto"/>
                <w:left w:val="none" w:sz="0" w:space="0" w:color="auto"/>
                <w:bottom w:val="none" w:sz="0" w:space="0" w:color="auto"/>
                <w:right w:val="none" w:sz="0" w:space="0" w:color="auto"/>
              </w:divBdr>
              <w:divsChild>
                <w:div w:id="598297082">
                  <w:marLeft w:val="0"/>
                  <w:marRight w:val="0"/>
                  <w:marTop w:val="0"/>
                  <w:marBottom w:val="0"/>
                  <w:divBdr>
                    <w:top w:val="none" w:sz="0" w:space="0" w:color="auto"/>
                    <w:left w:val="none" w:sz="0" w:space="0" w:color="auto"/>
                    <w:bottom w:val="none" w:sz="0" w:space="0" w:color="auto"/>
                    <w:right w:val="none" w:sz="0" w:space="0" w:color="auto"/>
                  </w:divBdr>
                  <w:divsChild>
                    <w:div w:id="1473790508">
                      <w:marLeft w:val="0"/>
                      <w:marRight w:val="0"/>
                      <w:marTop w:val="0"/>
                      <w:marBottom w:val="0"/>
                      <w:divBdr>
                        <w:top w:val="none" w:sz="0" w:space="0" w:color="auto"/>
                        <w:left w:val="none" w:sz="0" w:space="0" w:color="auto"/>
                        <w:bottom w:val="none" w:sz="0" w:space="0" w:color="auto"/>
                        <w:right w:val="none" w:sz="0" w:space="0" w:color="auto"/>
                      </w:divBdr>
                      <w:divsChild>
                        <w:div w:id="19510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00343158">
      <w:bodyDiv w:val="1"/>
      <w:marLeft w:val="0"/>
      <w:marRight w:val="0"/>
      <w:marTop w:val="0"/>
      <w:marBottom w:val="0"/>
      <w:divBdr>
        <w:top w:val="none" w:sz="0" w:space="0" w:color="auto"/>
        <w:left w:val="none" w:sz="0" w:space="0" w:color="auto"/>
        <w:bottom w:val="none" w:sz="0" w:space="0" w:color="auto"/>
        <w:right w:val="none" w:sz="0" w:space="0" w:color="auto"/>
      </w:divBdr>
    </w:div>
    <w:div w:id="1522628195">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84085145">
      <w:bodyDiv w:val="1"/>
      <w:marLeft w:val="0"/>
      <w:marRight w:val="0"/>
      <w:marTop w:val="0"/>
      <w:marBottom w:val="0"/>
      <w:divBdr>
        <w:top w:val="none" w:sz="0" w:space="0" w:color="auto"/>
        <w:left w:val="none" w:sz="0" w:space="0" w:color="auto"/>
        <w:bottom w:val="none" w:sz="0" w:space="0" w:color="auto"/>
        <w:right w:val="none" w:sz="0" w:space="0" w:color="auto"/>
      </w:divBdr>
    </w:div>
    <w:div w:id="1817795807">
      <w:bodyDiv w:val="1"/>
      <w:marLeft w:val="0"/>
      <w:marRight w:val="0"/>
      <w:marTop w:val="0"/>
      <w:marBottom w:val="0"/>
      <w:divBdr>
        <w:top w:val="none" w:sz="0" w:space="0" w:color="auto"/>
        <w:left w:val="none" w:sz="0" w:space="0" w:color="auto"/>
        <w:bottom w:val="none" w:sz="0" w:space="0" w:color="auto"/>
        <w:right w:val="none" w:sz="0" w:space="0" w:color="auto"/>
      </w:divBdr>
    </w:div>
    <w:div w:id="19824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B0F5-F8F1-451D-911A-53C80B93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1792</Words>
  <Characters>10215</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2022-01-25T08:47:00Z</dcterms:created>
  <dc:creator>a.vagelaite</dc:creator>
  <cp:lastModifiedBy>Tautginas Mickevicius</cp:lastModifiedBy>
  <cp:lastPrinted>2021-08-10T06:05:00Z</cp:lastPrinted>
  <dcterms:modified xsi:type="dcterms:W3CDTF">2022-01-25T12:03:00Z</dcterms:modified>
  <cp:revision>4</cp:revision>
</cp:coreProperties>
</file>