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5F87" w14:textId="77777777" w:rsidR="008A0947" w:rsidRDefault="008A0947" w:rsidP="008A0947">
      <w:pPr>
        <w:jc w:val="center"/>
        <w:rPr>
          <w:b/>
          <w:color w:val="0D0D0D"/>
          <w:szCs w:val="24"/>
        </w:rPr>
      </w:pPr>
      <w:r w:rsidRPr="004433F8">
        <w:rPr>
          <w:b/>
          <w:color w:val="0D0D0D"/>
          <w:szCs w:val="24"/>
        </w:rPr>
        <w:t>DERINIMO PAŽYMA</w:t>
      </w:r>
    </w:p>
    <w:p w14:paraId="1EB93C89" w14:textId="77777777" w:rsidR="00E21CD7" w:rsidRPr="004433F8" w:rsidRDefault="00E21CD7" w:rsidP="008A0947">
      <w:pPr>
        <w:jc w:val="center"/>
        <w:rPr>
          <w:b/>
          <w:color w:val="0D0D0D"/>
          <w:szCs w:val="24"/>
        </w:rPr>
      </w:pPr>
    </w:p>
    <w:p w14:paraId="6FC50B72" w14:textId="77777777" w:rsidR="00496F03" w:rsidRDefault="00496F03" w:rsidP="008A0947">
      <w:pPr>
        <w:jc w:val="center"/>
        <w:rPr>
          <w:szCs w:val="24"/>
        </w:rPr>
      </w:pPr>
      <w:r w:rsidRPr="00526DE6">
        <w:rPr>
          <w:szCs w:val="24"/>
        </w:rPr>
        <w:t xml:space="preserve">Lietuvos Respublikos Vyriausybės nutarimo „Dėl Lietuvos Respublikos teritorijos administracinių vienetų ir jų ribų įstatymo Nr. I-558 </w:t>
      </w:r>
    </w:p>
    <w:p w14:paraId="0AFFBE0B" w14:textId="6E41DCEB" w:rsidR="00E21CD7" w:rsidRDefault="00496F03" w:rsidP="008A0947">
      <w:pPr>
        <w:jc w:val="center"/>
        <w:rPr>
          <w:szCs w:val="24"/>
        </w:rPr>
      </w:pPr>
      <w:r w:rsidRPr="00526DE6">
        <w:rPr>
          <w:szCs w:val="24"/>
        </w:rPr>
        <w:t>3 straipsnio pakeitimo įstatymo projekto Nr. XIVP-429“ projekt</w:t>
      </w:r>
      <w:r>
        <w:rPr>
          <w:szCs w:val="24"/>
        </w:rPr>
        <w:t>o</w:t>
      </w:r>
    </w:p>
    <w:p w14:paraId="740ACF38" w14:textId="77777777" w:rsidR="00496F03" w:rsidRDefault="00496F03" w:rsidP="008A0947">
      <w:pPr>
        <w:jc w:val="center"/>
        <w:rPr>
          <w:b/>
          <w:szCs w:val="24"/>
        </w:rPr>
      </w:pPr>
    </w:p>
    <w:tbl>
      <w:tblPr>
        <w:tblStyle w:val="TableGrid"/>
        <w:tblW w:w="15026" w:type="dxa"/>
        <w:tblInd w:w="-34" w:type="dxa"/>
        <w:tblLook w:val="04A0" w:firstRow="1" w:lastRow="0" w:firstColumn="1" w:lastColumn="0" w:noHBand="0" w:noVBand="1"/>
      </w:tblPr>
      <w:tblGrid>
        <w:gridCol w:w="3742"/>
        <w:gridCol w:w="6323"/>
        <w:gridCol w:w="4961"/>
      </w:tblGrid>
      <w:tr w:rsidR="0065462A" w14:paraId="3EB45F8D" w14:textId="77777777" w:rsidTr="008100BE">
        <w:tc>
          <w:tcPr>
            <w:tcW w:w="3742" w:type="dxa"/>
          </w:tcPr>
          <w:p w14:paraId="3EB45F8A" w14:textId="77777777" w:rsidR="0065462A" w:rsidRDefault="0065462A" w:rsidP="0065462A">
            <w:pPr>
              <w:jc w:val="center"/>
              <w:rPr>
                <w:b/>
                <w:szCs w:val="24"/>
              </w:rPr>
            </w:pPr>
            <w:r>
              <w:rPr>
                <w:b/>
                <w:color w:val="0D0D0D"/>
                <w:szCs w:val="24"/>
              </w:rPr>
              <w:t xml:space="preserve">Institucijos pavadinimas, rašto data ir numeris </w:t>
            </w:r>
          </w:p>
        </w:tc>
        <w:tc>
          <w:tcPr>
            <w:tcW w:w="6323" w:type="dxa"/>
          </w:tcPr>
          <w:p w14:paraId="3EB45F8B" w14:textId="77777777" w:rsidR="0065462A" w:rsidRPr="004433F8" w:rsidRDefault="0065462A" w:rsidP="0065462A">
            <w:pPr>
              <w:jc w:val="center"/>
              <w:rPr>
                <w:b/>
                <w:color w:val="0D0D0D"/>
                <w:szCs w:val="24"/>
              </w:rPr>
            </w:pPr>
            <w:r>
              <w:rPr>
                <w:b/>
                <w:color w:val="0D0D0D"/>
                <w:szCs w:val="24"/>
              </w:rPr>
              <w:t>Pastabos ir pasiūlymai</w:t>
            </w:r>
          </w:p>
        </w:tc>
        <w:tc>
          <w:tcPr>
            <w:tcW w:w="4961" w:type="dxa"/>
          </w:tcPr>
          <w:p w14:paraId="3EB45F8C" w14:textId="77777777" w:rsidR="0065462A" w:rsidRDefault="0065462A" w:rsidP="000E3493">
            <w:pPr>
              <w:jc w:val="both"/>
              <w:rPr>
                <w:b/>
                <w:szCs w:val="24"/>
              </w:rPr>
            </w:pPr>
            <w:r w:rsidRPr="004433F8">
              <w:rPr>
                <w:b/>
                <w:color w:val="0D0D0D"/>
                <w:szCs w:val="24"/>
              </w:rPr>
              <w:t>Žyma apie pastabas ir pasiūlymus, į kuriuos nebuvo atsižvelgta arba atsižvelgta iš dalies</w:t>
            </w:r>
            <w:r>
              <w:rPr>
                <w:b/>
                <w:color w:val="0D0D0D"/>
                <w:szCs w:val="24"/>
              </w:rPr>
              <w:t xml:space="preserve"> (nurodyti motyvus)</w:t>
            </w:r>
          </w:p>
        </w:tc>
      </w:tr>
      <w:tr w:rsidR="0065462A" w14:paraId="3EB45F91" w14:textId="77777777" w:rsidTr="008100BE">
        <w:tc>
          <w:tcPr>
            <w:tcW w:w="3742" w:type="dxa"/>
          </w:tcPr>
          <w:p w14:paraId="3EB45F8E" w14:textId="4DD17C95" w:rsidR="0065462A" w:rsidRPr="0065462A" w:rsidRDefault="005D132A" w:rsidP="00180CB1">
            <w:pPr>
              <w:jc w:val="both"/>
              <w:rPr>
                <w:szCs w:val="24"/>
              </w:rPr>
            </w:pPr>
            <w:r>
              <w:rPr>
                <w:szCs w:val="24"/>
              </w:rPr>
              <w:t xml:space="preserve">Lietuvos Respublikos </w:t>
            </w:r>
            <w:r w:rsidR="007C2A22">
              <w:rPr>
                <w:szCs w:val="24"/>
              </w:rPr>
              <w:t>vidaus reikalų</w:t>
            </w:r>
            <w:r w:rsidR="00570EEC">
              <w:rPr>
                <w:szCs w:val="24"/>
              </w:rPr>
              <w:t xml:space="preserve"> ministerijos </w:t>
            </w:r>
            <w:r w:rsidR="008100BE" w:rsidRPr="0065462A">
              <w:rPr>
                <w:szCs w:val="24"/>
              </w:rPr>
              <w:t>20</w:t>
            </w:r>
            <w:r w:rsidR="00570EEC">
              <w:rPr>
                <w:szCs w:val="24"/>
              </w:rPr>
              <w:t>2</w:t>
            </w:r>
            <w:r w:rsidR="007C2A22">
              <w:rPr>
                <w:szCs w:val="24"/>
              </w:rPr>
              <w:t>1</w:t>
            </w:r>
            <w:r w:rsidR="008100BE" w:rsidRPr="0065462A">
              <w:rPr>
                <w:szCs w:val="24"/>
              </w:rPr>
              <w:t>-0</w:t>
            </w:r>
            <w:r w:rsidR="007C2A22">
              <w:rPr>
                <w:szCs w:val="24"/>
              </w:rPr>
              <w:t>6</w:t>
            </w:r>
            <w:r w:rsidR="008100BE" w:rsidRPr="0065462A">
              <w:rPr>
                <w:szCs w:val="24"/>
              </w:rPr>
              <w:t>-</w:t>
            </w:r>
            <w:r w:rsidR="007C2A22">
              <w:rPr>
                <w:szCs w:val="24"/>
              </w:rPr>
              <w:t>11</w:t>
            </w:r>
            <w:r w:rsidR="008100BE" w:rsidRPr="0065462A">
              <w:rPr>
                <w:szCs w:val="24"/>
              </w:rPr>
              <w:t xml:space="preserve"> raštas </w:t>
            </w:r>
            <w:r w:rsidR="007C2A22">
              <w:rPr>
                <w:szCs w:val="24"/>
              </w:rPr>
              <w:t xml:space="preserve">     </w:t>
            </w:r>
            <w:r w:rsidR="008100BE" w:rsidRPr="0065462A">
              <w:rPr>
                <w:szCs w:val="24"/>
              </w:rPr>
              <w:t xml:space="preserve">Nr. </w:t>
            </w:r>
            <w:r w:rsidR="007C2A22">
              <w:rPr>
                <w:bCs/>
                <w:szCs w:val="24"/>
                <w:lang w:eastAsia="lt-LT"/>
              </w:rPr>
              <w:t>1</w:t>
            </w:r>
            <w:r w:rsidR="00180CB1" w:rsidRPr="00180CB1">
              <w:rPr>
                <w:bCs/>
                <w:szCs w:val="24"/>
                <w:lang w:eastAsia="lt-LT"/>
              </w:rPr>
              <w:t>D-</w:t>
            </w:r>
            <w:r w:rsidR="007C2A22">
              <w:rPr>
                <w:bCs/>
                <w:szCs w:val="24"/>
                <w:lang w:eastAsia="lt-LT"/>
              </w:rPr>
              <w:t>3426</w:t>
            </w:r>
          </w:p>
        </w:tc>
        <w:tc>
          <w:tcPr>
            <w:tcW w:w="6323" w:type="dxa"/>
          </w:tcPr>
          <w:p w14:paraId="464B8ACE" w14:textId="48854078" w:rsidR="007C2A22" w:rsidRDefault="007C2A22" w:rsidP="005A68CC">
            <w:pPr>
              <w:jc w:val="both"/>
              <w:rPr>
                <w:szCs w:val="24"/>
              </w:rPr>
            </w:pPr>
            <w:r>
              <w:rPr>
                <w:szCs w:val="24"/>
              </w:rPr>
              <w:t>1. Nepritariame Įstatymo projektu siūlomoms teisinio reguliavimo priemonėms, nes:</w:t>
            </w:r>
          </w:p>
          <w:p w14:paraId="5B18CE63" w14:textId="7A4C1FF2" w:rsidR="007C2A22" w:rsidRDefault="007C2A22" w:rsidP="005A68CC">
            <w:pPr>
              <w:ind w:firstLine="851"/>
              <w:jc w:val="both"/>
              <w:rPr>
                <w:szCs w:val="24"/>
              </w:rPr>
            </w:pPr>
            <w:r>
              <w:rPr>
                <w:szCs w:val="24"/>
              </w:rPr>
              <w:t>atkreipiame dėmesį į Lietuvos Respublikos teritorijos administracinių vienetų ir jų ribų įstatymo tikslą ir paskirtį – nustatyti teritorinio administravimo subjektus (apskritis, savivaldybes, gyvenamąsias vietoves, seniūnijas), jų sampratas, tvarkymą nustatančias institucijas, registravimą, t. y. teisinį reguliavimą, susijusį su tam tikru administravimu (pvz., gyvenamosios vietos deklaravimu, adresų suteikimu, viešųjų paslaugų teikimu), ir manome, kad nuostatos dėl atitinkamo statuso, nesusijusios su teritoriniu administravimu, gyvenamajai vietovei suteikimo turėtų būtų dėstomos kitame teisės akte (pvz.,</w:t>
            </w:r>
            <w:r w:rsidRPr="00773396">
              <w:rPr>
                <w:szCs w:val="24"/>
              </w:rPr>
              <w:t xml:space="preserve"> </w:t>
            </w:r>
            <w:r w:rsidRPr="00773396">
              <w:rPr>
                <w:bCs/>
                <w:color w:val="333333"/>
                <w:szCs w:val="24"/>
                <w:shd w:val="clear" w:color="auto" w:fill="FFFFFF"/>
              </w:rPr>
              <w:t>Lietuvos Respublikos nekilnojamojo kultūros paveldo apsaugos</w:t>
            </w:r>
            <w:r w:rsidRPr="008424B5">
              <w:rPr>
                <w:bCs/>
                <w:color w:val="333333"/>
                <w:szCs w:val="24"/>
                <w:shd w:val="clear" w:color="auto" w:fill="FFFFFF"/>
              </w:rPr>
              <w:t xml:space="preserve"> </w:t>
            </w:r>
            <w:r>
              <w:rPr>
                <w:bCs/>
                <w:color w:val="333333"/>
                <w:szCs w:val="24"/>
                <w:shd w:val="clear" w:color="auto" w:fill="FFFFFF"/>
              </w:rPr>
              <w:t>įstatyme</w:t>
            </w:r>
            <w:r w:rsidRPr="00773396">
              <w:rPr>
                <w:bCs/>
                <w:color w:val="333333"/>
                <w:szCs w:val="24"/>
                <w:shd w:val="clear" w:color="auto" w:fill="FFFFFF"/>
              </w:rPr>
              <w:t xml:space="preserve"> </w:t>
            </w:r>
            <w:r>
              <w:rPr>
                <w:bCs/>
                <w:color w:val="333333"/>
                <w:szCs w:val="24"/>
                <w:shd w:val="clear" w:color="auto" w:fill="FFFFFF"/>
              </w:rPr>
              <w:t>ar Lietuvos Respublikos turizmo įstatyme</w:t>
            </w:r>
            <w:r>
              <w:rPr>
                <w:szCs w:val="24"/>
              </w:rPr>
              <w:t xml:space="preserve">). Taip pat manome, kad šių nuostatų dėstymas kitame, o ne Teritorijos administracinių vienetų ir jų ribų įstatyme sistemiškai leis pasiekti minėtame aiškinamajame rašte išdėstytus Įstatymo projekto tikslus, ypač susijusius su tokių teritorijų plėtra ir jų finansavimu. </w:t>
            </w:r>
          </w:p>
          <w:p w14:paraId="27D424EE" w14:textId="3650A627" w:rsidR="005A68CC" w:rsidRDefault="005A68CC" w:rsidP="005A68CC">
            <w:pPr>
              <w:jc w:val="both"/>
              <w:rPr>
                <w:szCs w:val="24"/>
              </w:rPr>
            </w:pPr>
          </w:p>
          <w:p w14:paraId="4F02F8D0" w14:textId="40102AD0" w:rsidR="00D46350" w:rsidRDefault="00D46350" w:rsidP="005A68CC">
            <w:pPr>
              <w:jc w:val="both"/>
              <w:rPr>
                <w:szCs w:val="24"/>
              </w:rPr>
            </w:pPr>
          </w:p>
          <w:p w14:paraId="474752F1" w14:textId="1645B82D" w:rsidR="00D46350" w:rsidRDefault="00D46350" w:rsidP="005A68CC">
            <w:pPr>
              <w:jc w:val="both"/>
              <w:rPr>
                <w:szCs w:val="24"/>
              </w:rPr>
            </w:pPr>
          </w:p>
          <w:p w14:paraId="0BB75AE9" w14:textId="142757D7" w:rsidR="00D46350" w:rsidRDefault="00D46350" w:rsidP="005A68CC">
            <w:pPr>
              <w:jc w:val="both"/>
              <w:rPr>
                <w:szCs w:val="24"/>
              </w:rPr>
            </w:pPr>
          </w:p>
          <w:p w14:paraId="4461999D" w14:textId="6F4EF2F3" w:rsidR="00D46350" w:rsidRDefault="00D46350" w:rsidP="005A68CC">
            <w:pPr>
              <w:jc w:val="both"/>
              <w:rPr>
                <w:szCs w:val="24"/>
              </w:rPr>
            </w:pPr>
          </w:p>
          <w:p w14:paraId="42CB4917" w14:textId="6911D44C" w:rsidR="00D46350" w:rsidRDefault="00D46350" w:rsidP="005A68CC">
            <w:pPr>
              <w:jc w:val="both"/>
              <w:rPr>
                <w:szCs w:val="24"/>
              </w:rPr>
            </w:pPr>
          </w:p>
          <w:p w14:paraId="6C0A4E2F" w14:textId="77777777" w:rsidR="00D46350" w:rsidRDefault="00D46350" w:rsidP="005A68CC">
            <w:pPr>
              <w:jc w:val="both"/>
              <w:rPr>
                <w:szCs w:val="24"/>
              </w:rPr>
            </w:pPr>
          </w:p>
          <w:p w14:paraId="59D1B0F0" w14:textId="77777777" w:rsidR="00D46350" w:rsidRDefault="00D46350" w:rsidP="005A68CC">
            <w:pPr>
              <w:jc w:val="both"/>
              <w:rPr>
                <w:szCs w:val="24"/>
              </w:rPr>
            </w:pPr>
          </w:p>
          <w:p w14:paraId="259F5CAF" w14:textId="22D03028" w:rsidR="005A68CC" w:rsidRPr="00040E82" w:rsidRDefault="005A68CC" w:rsidP="005A68CC">
            <w:pPr>
              <w:jc w:val="both"/>
              <w:rPr>
                <w:szCs w:val="24"/>
              </w:rPr>
            </w:pPr>
            <w:r>
              <w:rPr>
                <w:szCs w:val="24"/>
              </w:rPr>
              <w:lastRenderedPageBreak/>
              <w:t>2. S</w:t>
            </w:r>
            <w:r w:rsidRPr="00556474">
              <w:rPr>
                <w:szCs w:val="24"/>
              </w:rPr>
              <w:t xml:space="preserve">iūlome </w:t>
            </w:r>
            <w:r w:rsidRPr="00526DE6">
              <w:rPr>
                <w:szCs w:val="24"/>
              </w:rPr>
              <w:t>tikslinti Nutarimo projektą</w:t>
            </w:r>
            <w:r w:rsidRPr="00556474">
              <w:rPr>
                <w:szCs w:val="24"/>
              </w:rPr>
              <w:t xml:space="preserve"> ir </w:t>
            </w:r>
            <w:r w:rsidRPr="00040E82">
              <w:rPr>
                <w:szCs w:val="24"/>
                <w:lang w:eastAsia="ru-RU"/>
              </w:rPr>
              <w:t>pasiūlyti Lietuvos Respublikos Seimui tobulinti</w:t>
            </w:r>
            <w:r w:rsidRPr="00040E82">
              <w:rPr>
                <w:szCs w:val="24"/>
              </w:rPr>
              <w:t xml:space="preserve"> Įstatymo projektą</w:t>
            </w:r>
            <w:r>
              <w:rPr>
                <w:szCs w:val="24"/>
              </w:rPr>
              <w:t xml:space="preserve"> šiais aspektais:</w:t>
            </w:r>
          </w:p>
          <w:p w14:paraId="6DB35A2C" w14:textId="77777777" w:rsidR="005A68CC" w:rsidRDefault="005A68CC" w:rsidP="005A68CC">
            <w:pPr>
              <w:ind w:firstLine="851"/>
              <w:jc w:val="both"/>
              <w:rPr>
                <w:szCs w:val="24"/>
              </w:rPr>
            </w:pPr>
            <w:r w:rsidRPr="00040E82">
              <w:rPr>
                <w:szCs w:val="24"/>
              </w:rPr>
              <w:t>1</w:t>
            </w:r>
            <w:r>
              <w:rPr>
                <w:szCs w:val="24"/>
              </w:rPr>
              <w:t>)</w:t>
            </w:r>
            <w:r w:rsidRPr="00040E82">
              <w:rPr>
                <w:szCs w:val="24"/>
              </w:rPr>
              <w:t xml:space="preserve"> vadovaujantis </w:t>
            </w:r>
            <w:r>
              <w:rPr>
                <w:szCs w:val="24"/>
              </w:rPr>
              <w:t>sistemiškumo principu, siūlytina Įstatymo projekte, nustatant istorinės sostinės teritorijos statusą, atsižvelgti į bendrų požymių visumą ir taikyti kurortinės teritorijos statuso suteikimo</w:t>
            </w:r>
            <w:r w:rsidRPr="004C3792">
              <w:rPr>
                <w:szCs w:val="24"/>
              </w:rPr>
              <w:t xml:space="preserve"> </w:t>
            </w:r>
            <w:r>
              <w:rPr>
                <w:szCs w:val="24"/>
              </w:rPr>
              <w:t xml:space="preserve">analogiją, pvz., kad šį statusą suteiktų Lietuvos Respublikos Vyriausybė; taip pat siūlytina Įstatymo projekte atsisakyti įvardijamų gyvenamųjų vietovių ar jų dalių, turinčių istorinės sostinės teritorijos statusą, ir atitinkamai papildyti Įstatymo projektą Teritorijos administracinių vienetų ir jų ribų įstatymo 13 straipsnio 2 ir 4 dalių pakeitimu. </w:t>
            </w:r>
          </w:p>
          <w:p w14:paraId="55728684" w14:textId="14973775" w:rsidR="005A68CC" w:rsidRDefault="005A68CC" w:rsidP="005A68CC">
            <w:pPr>
              <w:ind w:firstLine="851"/>
              <w:jc w:val="both"/>
              <w:rPr>
                <w:szCs w:val="24"/>
              </w:rPr>
            </w:pPr>
            <w:r>
              <w:rPr>
                <w:szCs w:val="24"/>
              </w:rPr>
              <w:t xml:space="preserve">Atsižvelgdami į šio pasiūlymo turinį, atkreipiame dėmesį, kad nepritariame Nutarimo projekto 4 punkto nuostatoms ir siūlome jas tikslinti, pasiūlant ne tik atsisakyti reikalavimų istorinės sostinės teritorijos statusui suteikti nustatymo, bet ir papildyti Įstatymo projektą pirmiau minėtu aspektu, t. y. nustatyti, kad Lietuvos Respublikos Vyriausybė ar jos įgaliota institucija nagrinėja pasiūlymus suteikti ar panaikinti istorinės sostinės teritorijos </w:t>
            </w:r>
            <w:r w:rsidRPr="008424B5">
              <w:rPr>
                <w:szCs w:val="24"/>
              </w:rPr>
              <w:t>statusą ir teikia Lietuvos Respublikos Vyriausybei nuomonę šiais klausimais, prireikus ir atitinkamus teisės aktų projektus</w:t>
            </w:r>
            <w:r>
              <w:rPr>
                <w:szCs w:val="24"/>
              </w:rPr>
              <w:t>, taip pat pasiūlant, kad</w:t>
            </w:r>
            <w:r w:rsidRPr="008424B5">
              <w:rPr>
                <w:szCs w:val="24"/>
              </w:rPr>
              <w:t xml:space="preserve"> d</w:t>
            </w:r>
            <w:r w:rsidRPr="008424B5">
              <w:rPr>
                <w:color w:val="000000"/>
                <w:szCs w:val="24"/>
              </w:rPr>
              <w:t>okumentų ir pasiūlymų, reikalingų istorinės sostinės teritorijos statusui suteikti ar panaikinti, pateikimo ir nagrinėjimo tvarką nustato Lietuvos Respublikos Vyriausybė ar jos įgaliota institucija</w:t>
            </w:r>
            <w:r>
              <w:rPr>
                <w:color w:val="000000"/>
                <w:szCs w:val="24"/>
              </w:rPr>
              <w:t>. Šį savo pasiūlymą grindžiame susiklosčiusia praktika, kai statuso suteikimui reikalingi atitinkami dokumentai (pvz., teritoriją nustatantys planai, aiškinamieji raštai ir pan.), pagrindžiantys priimamo sprendimo dėl suteikiamo statuso tam tikrai teritorijai apimtis;</w:t>
            </w:r>
          </w:p>
          <w:p w14:paraId="3EB45F8F" w14:textId="0160D4B0" w:rsidR="0065462A" w:rsidRPr="000055EE" w:rsidRDefault="0065462A" w:rsidP="005A68CC">
            <w:pPr>
              <w:tabs>
                <w:tab w:val="left" w:pos="1134"/>
                <w:tab w:val="left" w:pos="1560"/>
              </w:tabs>
              <w:jc w:val="both"/>
              <w:rPr>
                <w:szCs w:val="24"/>
              </w:rPr>
            </w:pPr>
          </w:p>
        </w:tc>
        <w:tc>
          <w:tcPr>
            <w:tcW w:w="4961" w:type="dxa"/>
          </w:tcPr>
          <w:p w14:paraId="5723C3F9" w14:textId="5985476C" w:rsidR="00DA5025" w:rsidRPr="00D46350" w:rsidRDefault="007C2A22" w:rsidP="00E87490">
            <w:pPr>
              <w:pStyle w:val="Preformatted"/>
              <w:tabs>
                <w:tab w:val="clear" w:pos="959"/>
                <w:tab w:val="clear" w:pos="1918"/>
                <w:tab w:val="clear" w:pos="2877"/>
                <w:tab w:val="clear" w:pos="3836"/>
                <w:tab w:val="clear" w:pos="4795"/>
                <w:tab w:val="left" w:pos="851"/>
                <w:tab w:val="left" w:pos="1134"/>
              </w:tabs>
              <w:jc w:val="both"/>
              <w:rPr>
                <w:rFonts w:ascii="Times New Roman" w:hAnsi="Times New Roman"/>
                <w:bCs/>
                <w:color w:val="000000"/>
                <w:sz w:val="24"/>
                <w:szCs w:val="24"/>
              </w:rPr>
            </w:pPr>
            <w:r w:rsidRPr="00DA5025">
              <w:rPr>
                <w:rFonts w:ascii="Times New Roman" w:hAnsi="Times New Roman"/>
                <w:b/>
                <w:sz w:val="24"/>
                <w:szCs w:val="24"/>
              </w:rPr>
              <w:lastRenderedPageBreak/>
              <w:t>1. Nea</w:t>
            </w:r>
            <w:r w:rsidR="00180CB1" w:rsidRPr="00DA5025">
              <w:rPr>
                <w:rFonts w:ascii="Times New Roman" w:hAnsi="Times New Roman"/>
                <w:b/>
                <w:sz w:val="24"/>
                <w:szCs w:val="24"/>
              </w:rPr>
              <w:t xml:space="preserve">tsižvelgta. </w:t>
            </w:r>
            <w:r w:rsidRPr="00DA5025">
              <w:rPr>
                <w:rFonts w:ascii="Times New Roman" w:hAnsi="Times New Roman"/>
                <w:sz w:val="24"/>
                <w:szCs w:val="24"/>
              </w:rPr>
              <w:t>Lietuvos Respublikos teritorijos administracinių vienetų ir jų ribų įstatymo</w:t>
            </w:r>
            <w:r w:rsidR="00DA5025" w:rsidRPr="00DA5025">
              <w:rPr>
                <w:rFonts w:ascii="Times New Roman" w:hAnsi="Times New Roman"/>
                <w:sz w:val="24"/>
                <w:szCs w:val="24"/>
              </w:rPr>
              <w:t xml:space="preserve"> (toliau – Įstatymas)</w:t>
            </w:r>
            <w:r w:rsidRPr="00DA5025">
              <w:rPr>
                <w:rFonts w:ascii="Times New Roman" w:hAnsi="Times New Roman"/>
                <w:sz w:val="24"/>
                <w:szCs w:val="24"/>
              </w:rPr>
              <w:t xml:space="preserve"> 1 st</w:t>
            </w:r>
            <w:r w:rsidR="00DA5025" w:rsidRPr="00DA5025">
              <w:rPr>
                <w:rFonts w:ascii="Times New Roman" w:hAnsi="Times New Roman"/>
                <w:sz w:val="24"/>
                <w:szCs w:val="24"/>
              </w:rPr>
              <w:t>r</w:t>
            </w:r>
            <w:r w:rsidRPr="00DA5025">
              <w:rPr>
                <w:rFonts w:ascii="Times New Roman" w:hAnsi="Times New Roman"/>
                <w:sz w:val="24"/>
                <w:szCs w:val="24"/>
              </w:rPr>
              <w:t xml:space="preserve">aipsnyje yra nustatyta, kad </w:t>
            </w:r>
            <w:r w:rsidRPr="00DA5025">
              <w:rPr>
                <w:rFonts w:ascii="Times New Roman" w:hAnsi="Times New Roman"/>
                <w:color w:val="000000"/>
                <w:sz w:val="24"/>
                <w:szCs w:val="24"/>
              </w:rPr>
              <w:t>gyvenamosioms vietovėms gali būti suteiktas kurorto arba kurortinės teritorijos statusas.</w:t>
            </w:r>
            <w:r w:rsidR="00DA5025">
              <w:rPr>
                <w:rFonts w:ascii="Times New Roman" w:hAnsi="Times New Roman"/>
                <w:color w:val="000000"/>
                <w:sz w:val="24"/>
                <w:szCs w:val="24"/>
              </w:rPr>
              <w:t xml:space="preserve"> </w:t>
            </w:r>
            <w:r w:rsidR="00DA5025" w:rsidRPr="00DA5025">
              <w:rPr>
                <w:rFonts w:ascii="Times New Roman" w:hAnsi="Times New Roman"/>
                <w:color w:val="000000"/>
                <w:sz w:val="24"/>
                <w:szCs w:val="24"/>
              </w:rPr>
              <w:t>Į</w:t>
            </w:r>
            <w:r w:rsidRPr="00DA5025">
              <w:rPr>
                <w:rFonts w:ascii="Times New Roman" w:hAnsi="Times New Roman"/>
                <w:color w:val="000000"/>
                <w:sz w:val="24"/>
                <w:szCs w:val="24"/>
              </w:rPr>
              <w:t xml:space="preserve">statymo 3 straipsniu kurorto statusas yra suteiktas Birštonui, Druskininkams, Neringai, Palangai. </w:t>
            </w:r>
            <w:r w:rsidR="00DA5025" w:rsidRPr="00DA5025">
              <w:rPr>
                <w:rFonts w:ascii="Times New Roman" w:hAnsi="Times New Roman"/>
                <w:color w:val="000000"/>
                <w:sz w:val="24"/>
                <w:szCs w:val="24"/>
              </w:rPr>
              <w:t>Todėl</w:t>
            </w:r>
            <w:r w:rsidRPr="00DA5025">
              <w:rPr>
                <w:rFonts w:ascii="Times New Roman" w:hAnsi="Times New Roman"/>
                <w:color w:val="000000"/>
                <w:sz w:val="24"/>
                <w:szCs w:val="24"/>
              </w:rPr>
              <w:t xml:space="preserve"> </w:t>
            </w:r>
            <w:r w:rsidR="00F96D19">
              <w:rPr>
                <w:rFonts w:ascii="Times New Roman" w:hAnsi="Times New Roman"/>
                <w:color w:val="000000"/>
                <w:sz w:val="24"/>
                <w:szCs w:val="24"/>
              </w:rPr>
              <w:t xml:space="preserve">siekiant teisėkūros </w:t>
            </w:r>
            <w:proofErr w:type="spellStart"/>
            <w:r w:rsidR="00F96D19">
              <w:rPr>
                <w:rFonts w:ascii="Times New Roman" w:hAnsi="Times New Roman"/>
                <w:color w:val="000000"/>
                <w:sz w:val="24"/>
                <w:szCs w:val="24"/>
              </w:rPr>
              <w:t>sistematiškumo</w:t>
            </w:r>
            <w:proofErr w:type="spellEnd"/>
            <w:r w:rsidR="00F96D19">
              <w:rPr>
                <w:rFonts w:ascii="Times New Roman" w:hAnsi="Times New Roman"/>
                <w:color w:val="000000"/>
                <w:sz w:val="24"/>
                <w:szCs w:val="24"/>
              </w:rPr>
              <w:t xml:space="preserve"> ir aiškumo</w:t>
            </w:r>
            <w:r w:rsidR="00F96D19" w:rsidRPr="00DA5025">
              <w:rPr>
                <w:rFonts w:ascii="Times New Roman" w:hAnsi="Times New Roman"/>
                <w:color w:val="000000"/>
                <w:sz w:val="24"/>
                <w:szCs w:val="24"/>
              </w:rPr>
              <w:t xml:space="preserve"> </w:t>
            </w:r>
            <w:r w:rsidR="00496F03">
              <w:rPr>
                <w:rFonts w:ascii="Times New Roman" w:hAnsi="Times New Roman"/>
                <w:color w:val="000000"/>
                <w:sz w:val="24"/>
                <w:szCs w:val="24"/>
              </w:rPr>
              <w:t xml:space="preserve">pirmiausiai </w:t>
            </w:r>
            <w:r w:rsidR="00DA5025" w:rsidRPr="00DA5025">
              <w:rPr>
                <w:rFonts w:ascii="Times New Roman" w:hAnsi="Times New Roman"/>
                <w:color w:val="000000"/>
                <w:sz w:val="24"/>
                <w:szCs w:val="24"/>
              </w:rPr>
              <w:t xml:space="preserve">Įstatyme </w:t>
            </w:r>
            <w:r w:rsidR="005A68CC">
              <w:rPr>
                <w:rFonts w:ascii="Times New Roman" w:hAnsi="Times New Roman"/>
                <w:color w:val="000000"/>
                <w:sz w:val="24"/>
                <w:szCs w:val="24"/>
              </w:rPr>
              <w:t>turėtų</w:t>
            </w:r>
            <w:r w:rsidR="00DA5025" w:rsidRPr="00DA5025">
              <w:rPr>
                <w:rFonts w:ascii="Times New Roman" w:hAnsi="Times New Roman"/>
                <w:color w:val="000000"/>
                <w:sz w:val="24"/>
                <w:szCs w:val="24"/>
              </w:rPr>
              <w:t xml:space="preserve"> būti nurodyta, kad </w:t>
            </w:r>
            <w:r w:rsidR="00DA5025" w:rsidRPr="00DA5025">
              <w:rPr>
                <w:rFonts w:ascii="Times New Roman" w:hAnsi="Times New Roman"/>
                <w:sz w:val="24"/>
                <w:szCs w:val="24"/>
              </w:rPr>
              <w:t xml:space="preserve">gyvenamosioms vietovėms gali būti suteiktas ne tik kurorto ar kurortinės teritorijos, bet ir istorinės sostinės teritorijos statusas ir šis statusas suteiktas </w:t>
            </w:r>
            <w:r w:rsidR="00DA5025" w:rsidRPr="00DA5025">
              <w:rPr>
                <w:rFonts w:ascii="Times New Roman" w:hAnsi="Times New Roman"/>
                <w:bCs/>
                <w:color w:val="000000"/>
                <w:sz w:val="24"/>
                <w:szCs w:val="24"/>
              </w:rPr>
              <w:t>Kauno miesto senamiesčiui ir naujamiesčiui, Kernavei su Kernavės archeologine vietove, Trakams, Seniesiems Trakams ir Vilniaus miesto senamiesčiui.</w:t>
            </w:r>
            <w:r w:rsidR="006958CE">
              <w:rPr>
                <w:rFonts w:ascii="Times New Roman" w:hAnsi="Times New Roman"/>
                <w:bCs/>
                <w:color w:val="000000"/>
                <w:sz w:val="24"/>
                <w:szCs w:val="24"/>
              </w:rPr>
              <w:t xml:space="preserve"> </w:t>
            </w:r>
            <w:r w:rsidR="006958CE" w:rsidRPr="00D46350">
              <w:rPr>
                <w:rFonts w:ascii="Times New Roman" w:hAnsi="Times New Roman"/>
                <w:bCs/>
                <w:color w:val="000000"/>
                <w:sz w:val="24"/>
                <w:szCs w:val="24"/>
              </w:rPr>
              <w:t xml:space="preserve">Pagal </w:t>
            </w:r>
            <w:r w:rsidR="006958CE" w:rsidRPr="00D46350">
              <w:rPr>
                <w:rFonts w:ascii="Times New Roman" w:hAnsi="Times New Roman"/>
                <w:bCs/>
                <w:color w:val="333333"/>
                <w:sz w:val="24"/>
                <w:szCs w:val="24"/>
                <w:shd w:val="clear" w:color="auto" w:fill="FFFFFF"/>
              </w:rPr>
              <w:t>Lietuvos Respublikos nekilnojamojo kultūros paveldo apsaugos įstatym</w:t>
            </w:r>
            <w:r w:rsidR="006958CE" w:rsidRPr="00D46350">
              <w:rPr>
                <w:rFonts w:ascii="Times New Roman" w:hAnsi="Times New Roman"/>
                <w:bCs/>
                <w:color w:val="333333"/>
                <w:sz w:val="24"/>
                <w:szCs w:val="24"/>
                <w:shd w:val="clear" w:color="auto" w:fill="FFFFFF"/>
              </w:rPr>
              <w:t>o nuostatas minėtoms gyvenamosioms vietovėms jau yra suteikta teisinė apsauga. Šios vietovės Kultūros vertybių registre yra registruotos</w:t>
            </w:r>
            <w:r w:rsidR="00D46350">
              <w:rPr>
                <w:rFonts w:ascii="Times New Roman" w:hAnsi="Times New Roman"/>
                <w:bCs/>
                <w:color w:val="333333"/>
                <w:sz w:val="24"/>
                <w:szCs w:val="24"/>
                <w:shd w:val="clear" w:color="auto" w:fill="FFFFFF"/>
              </w:rPr>
              <w:t>, kaip kultūros paveldo vietovės.</w:t>
            </w:r>
            <w:r w:rsidR="006958CE" w:rsidRPr="00D46350">
              <w:rPr>
                <w:rFonts w:ascii="Times New Roman" w:hAnsi="Times New Roman"/>
                <w:bCs/>
                <w:color w:val="333333"/>
                <w:sz w:val="24"/>
                <w:szCs w:val="24"/>
                <w:shd w:val="clear" w:color="auto" w:fill="FFFFFF"/>
              </w:rPr>
              <w:t xml:space="preserve"> Todėl istorinių sostinių statuso įteisinimas šiame įstatyme</w:t>
            </w:r>
            <w:r w:rsidR="00D46350" w:rsidRPr="00D46350">
              <w:rPr>
                <w:rFonts w:ascii="Times New Roman" w:hAnsi="Times New Roman"/>
                <w:bCs/>
                <w:color w:val="333333"/>
                <w:sz w:val="24"/>
                <w:szCs w:val="24"/>
                <w:shd w:val="clear" w:color="auto" w:fill="FFFFFF"/>
              </w:rPr>
              <w:t xml:space="preserve"> papildomos teisinės apsaugo šioms vietovėms nesuteiktų ir nesudarytų sąlygų </w:t>
            </w:r>
            <w:r w:rsidR="00D46350">
              <w:rPr>
                <w:rFonts w:ascii="Times New Roman" w:hAnsi="Times New Roman"/>
                <w:bCs/>
                <w:color w:val="333333"/>
                <w:sz w:val="24"/>
                <w:szCs w:val="24"/>
                <w:shd w:val="clear" w:color="auto" w:fill="FFFFFF"/>
              </w:rPr>
              <w:t>jų</w:t>
            </w:r>
            <w:r w:rsidR="00D46350" w:rsidRPr="00D46350">
              <w:rPr>
                <w:rFonts w:ascii="Times New Roman" w:hAnsi="Times New Roman"/>
                <w:bCs/>
                <w:color w:val="333333"/>
                <w:sz w:val="24"/>
                <w:szCs w:val="24"/>
                <w:shd w:val="clear" w:color="auto" w:fill="FFFFFF"/>
              </w:rPr>
              <w:t xml:space="preserve"> </w:t>
            </w:r>
            <w:r w:rsidR="00D46350" w:rsidRPr="00D46350">
              <w:rPr>
                <w:rFonts w:ascii="Times New Roman" w:hAnsi="Times New Roman"/>
                <w:sz w:val="24"/>
                <w:szCs w:val="24"/>
              </w:rPr>
              <w:t xml:space="preserve"> plėtra</w:t>
            </w:r>
            <w:r w:rsidR="00D46350" w:rsidRPr="00D46350">
              <w:rPr>
                <w:rFonts w:ascii="Times New Roman" w:hAnsi="Times New Roman"/>
                <w:sz w:val="24"/>
                <w:szCs w:val="24"/>
              </w:rPr>
              <w:t>i</w:t>
            </w:r>
            <w:r w:rsidR="00D46350" w:rsidRPr="00D46350">
              <w:rPr>
                <w:rFonts w:ascii="Times New Roman" w:hAnsi="Times New Roman"/>
                <w:sz w:val="24"/>
                <w:szCs w:val="24"/>
              </w:rPr>
              <w:t xml:space="preserve"> ir finansavimu</w:t>
            </w:r>
            <w:r w:rsidR="00D46350" w:rsidRPr="00D46350">
              <w:rPr>
                <w:rFonts w:ascii="Times New Roman" w:hAnsi="Times New Roman"/>
                <w:sz w:val="24"/>
                <w:szCs w:val="24"/>
              </w:rPr>
              <w:t xml:space="preserve">i. </w:t>
            </w:r>
          </w:p>
          <w:p w14:paraId="75B2F9E0" w14:textId="1222153B" w:rsidR="00DA5025" w:rsidRPr="00DA5025" w:rsidRDefault="00DA5025" w:rsidP="00E87490">
            <w:pPr>
              <w:jc w:val="both"/>
              <w:rPr>
                <w:szCs w:val="24"/>
              </w:rPr>
            </w:pPr>
          </w:p>
          <w:p w14:paraId="0E84936B" w14:textId="0BB80751" w:rsidR="00141A4D" w:rsidRPr="00E87490" w:rsidRDefault="00141A4D" w:rsidP="00E87490">
            <w:pPr>
              <w:pStyle w:val="Preformatted"/>
              <w:tabs>
                <w:tab w:val="clear" w:pos="959"/>
                <w:tab w:val="clear" w:pos="1918"/>
                <w:tab w:val="clear" w:pos="2877"/>
                <w:tab w:val="clear" w:pos="3836"/>
                <w:tab w:val="clear" w:pos="4795"/>
                <w:tab w:val="left" w:pos="851"/>
                <w:tab w:val="left" w:pos="1134"/>
              </w:tabs>
              <w:jc w:val="both"/>
              <w:rPr>
                <w:rFonts w:ascii="Times New Roman" w:hAnsi="Times New Roman"/>
                <w:sz w:val="24"/>
                <w:szCs w:val="24"/>
              </w:rPr>
            </w:pPr>
            <w:r w:rsidRPr="00E87490">
              <w:rPr>
                <w:rFonts w:ascii="Times New Roman" w:hAnsi="Times New Roman"/>
                <w:b/>
                <w:bCs/>
                <w:color w:val="000000"/>
                <w:sz w:val="24"/>
                <w:szCs w:val="24"/>
              </w:rPr>
              <w:lastRenderedPageBreak/>
              <w:t>2. Neatsižvelgt</w:t>
            </w:r>
            <w:r w:rsidR="00E87490" w:rsidRPr="00E87490">
              <w:rPr>
                <w:rFonts w:ascii="Times New Roman" w:hAnsi="Times New Roman"/>
                <w:b/>
                <w:bCs/>
                <w:color w:val="000000"/>
                <w:sz w:val="24"/>
                <w:szCs w:val="24"/>
              </w:rPr>
              <w:t>a</w:t>
            </w:r>
            <w:r w:rsidRPr="00E87490">
              <w:rPr>
                <w:rFonts w:ascii="Times New Roman" w:hAnsi="Times New Roman"/>
                <w:color w:val="000000"/>
                <w:sz w:val="24"/>
                <w:szCs w:val="24"/>
              </w:rPr>
              <w:t>.</w:t>
            </w:r>
            <w:r>
              <w:rPr>
                <w:color w:val="000000"/>
              </w:rPr>
              <w:t xml:space="preserve"> </w:t>
            </w:r>
            <w:r>
              <w:rPr>
                <w:rFonts w:ascii="Times New Roman" w:hAnsi="Times New Roman"/>
                <w:color w:val="000000"/>
                <w:sz w:val="24"/>
                <w:szCs w:val="24"/>
                <w:shd w:val="clear" w:color="auto" w:fill="FFFFFF"/>
              </w:rPr>
              <w:t>Pagal šiuo metu turimus istorinių šalinių ir kitus duomenis</w:t>
            </w:r>
            <w:r w:rsidR="00E87490">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dabartinės Lietuvos teritorijoje Lietuvos valstybės sostinės statusą turėjo Kernavė, Trakai su Senaisiais Trakais, Vilnius</w:t>
            </w:r>
            <w:r>
              <w:rPr>
                <w:rFonts w:ascii="Times New Roman" w:hAnsi="Times New Roman"/>
                <w:sz w:val="24"/>
                <w:szCs w:val="24"/>
              </w:rPr>
              <w:t xml:space="preserve"> ir Kaunas. Šiuo metu nėra patikimų istorinių ar kitų duomenų, kad kuri nors kita Lietuvos gyvenamoji vietovė būtų turėjusi Lietuvos valstybės sostinės statusą, t. y. vietovių, kurioms šiuo metu gali būti suteiktas šis statusas, sąrašas, iš esmės yra baigtinis</w:t>
            </w:r>
            <w:r w:rsidR="00D46350">
              <w:rPr>
                <w:rFonts w:ascii="Times New Roman" w:hAnsi="Times New Roman"/>
                <w:sz w:val="24"/>
                <w:szCs w:val="24"/>
              </w:rPr>
              <w:t>.</w:t>
            </w:r>
            <w:r>
              <w:rPr>
                <w:rFonts w:ascii="Times New Roman" w:hAnsi="Times New Roman"/>
                <w:sz w:val="24"/>
                <w:szCs w:val="24"/>
              </w:rPr>
              <w:t xml:space="preserve"> </w:t>
            </w:r>
            <w:r w:rsidR="00D46350">
              <w:rPr>
                <w:rFonts w:ascii="Times New Roman" w:hAnsi="Times New Roman"/>
                <w:sz w:val="24"/>
                <w:szCs w:val="24"/>
              </w:rPr>
              <w:t>T</w:t>
            </w:r>
            <w:r>
              <w:rPr>
                <w:rFonts w:ascii="Times New Roman" w:hAnsi="Times New Roman"/>
                <w:sz w:val="24"/>
                <w:szCs w:val="24"/>
              </w:rPr>
              <w:t xml:space="preserve">odėl Įstatymo projekte naujai </w:t>
            </w:r>
            <w:r>
              <w:rPr>
                <w:rFonts w:ascii="Times New Roman" w:hAnsi="Times New Roman"/>
                <w:color w:val="000000"/>
                <w:sz w:val="24"/>
                <w:szCs w:val="24"/>
                <w:shd w:val="clear" w:color="auto" w:fill="FFFFFF"/>
              </w:rPr>
              <w:t>reglamentuoti</w:t>
            </w:r>
            <w:r w:rsidRPr="00427B57">
              <w:rPr>
                <w:rFonts w:ascii="Times New Roman" w:hAnsi="Times New Roman"/>
                <w:color w:val="000000"/>
                <w:sz w:val="24"/>
                <w:szCs w:val="24"/>
                <w:shd w:val="clear" w:color="auto" w:fill="FFFFFF"/>
              </w:rPr>
              <w:t xml:space="preserve"> sąlyga</w:t>
            </w:r>
            <w:r w:rsidR="00E87490">
              <w:rPr>
                <w:rFonts w:ascii="Times New Roman" w:hAnsi="Times New Roman"/>
                <w:color w:val="000000"/>
                <w:sz w:val="24"/>
                <w:szCs w:val="24"/>
                <w:shd w:val="clear" w:color="auto" w:fill="FFFFFF"/>
              </w:rPr>
              <w:t xml:space="preserve">s ir tvarką pagal kurią Lietuvos Respublikos Vyriausybė </w:t>
            </w:r>
            <w:r w:rsidRPr="00427B57">
              <w:rPr>
                <w:rFonts w:ascii="Times New Roman" w:hAnsi="Times New Roman"/>
                <w:color w:val="000000"/>
                <w:sz w:val="24"/>
                <w:szCs w:val="24"/>
                <w:shd w:val="clear" w:color="auto" w:fill="FFFFFF"/>
              </w:rPr>
              <w:t xml:space="preserve">gyvenamosioms vietovėms ar jų dalims </w:t>
            </w:r>
            <w:r w:rsidR="00E87490">
              <w:rPr>
                <w:rFonts w:ascii="Times New Roman" w:hAnsi="Times New Roman"/>
                <w:color w:val="000000"/>
                <w:sz w:val="24"/>
                <w:szCs w:val="24"/>
                <w:shd w:val="clear" w:color="auto" w:fill="FFFFFF"/>
              </w:rPr>
              <w:t>suteiktų</w:t>
            </w:r>
            <w:r w:rsidRPr="00427B57">
              <w:rPr>
                <w:rFonts w:ascii="Times New Roman" w:hAnsi="Times New Roman"/>
                <w:color w:val="000000"/>
                <w:sz w:val="24"/>
                <w:szCs w:val="24"/>
                <w:shd w:val="clear" w:color="auto" w:fill="FFFFFF"/>
              </w:rPr>
              <w:t> Lietuvos istorinės sostinės status</w:t>
            </w:r>
            <w:r w:rsidR="00E87490">
              <w:rPr>
                <w:rFonts w:ascii="Times New Roman" w:hAnsi="Times New Roman"/>
                <w:color w:val="000000"/>
                <w:sz w:val="24"/>
                <w:szCs w:val="24"/>
                <w:shd w:val="clear" w:color="auto" w:fill="FFFFFF"/>
              </w:rPr>
              <w:t>ą</w:t>
            </w:r>
            <w:r>
              <w:rPr>
                <w:rFonts w:ascii="Times New Roman" w:hAnsi="Times New Roman"/>
                <w:color w:val="000000"/>
                <w:sz w:val="24"/>
                <w:szCs w:val="24"/>
                <w:shd w:val="clear" w:color="auto" w:fill="FFFFFF"/>
              </w:rPr>
              <w:t xml:space="preserve"> netiks</w:t>
            </w:r>
            <w:r w:rsidR="00E87490">
              <w:rPr>
                <w:rFonts w:ascii="Times New Roman" w:hAnsi="Times New Roman"/>
                <w:color w:val="000000"/>
                <w:sz w:val="24"/>
                <w:szCs w:val="24"/>
                <w:shd w:val="clear" w:color="auto" w:fill="FFFFFF"/>
              </w:rPr>
              <w:t>l</w:t>
            </w:r>
            <w:r>
              <w:rPr>
                <w:rFonts w:ascii="Times New Roman" w:hAnsi="Times New Roman"/>
                <w:color w:val="000000"/>
                <w:sz w:val="24"/>
                <w:szCs w:val="24"/>
                <w:shd w:val="clear" w:color="auto" w:fill="FFFFFF"/>
              </w:rPr>
              <w:t xml:space="preserve">inga. </w:t>
            </w:r>
            <w:r w:rsidRPr="00E87490">
              <w:rPr>
                <w:rFonts w:ascii="Times New Roman" w:hAnsi="Times New Roman"/>
                <w:color w:val="000000"/>
                <w:sz w:val="24"/>
                <w:szCs w:val="24"/>
              </w:rPr>
              <w:t>Įstatymo projektu įteisinus Lietuvos istorinių sostinių statusą</w:t>
            </w:r>
            <w:r w:rsidR="00E87490" w:rsidRPr="00E87490">
              <w:rPr>
                <w:rFonts w:ascii="Times New Roman" w:hAnsi="Times New Roman"/>
                <w:color w:val="000000"/>
                <w:sz w:val="24"/>
                <w:szCs w:val="24"/>
              </w:rPr>
              <w:t xml:space="preserve"> ir jį suteikus aukščiau nurodytoms vietovėms</w:t>
            </w:r>
            <w:r w:rsidRPr="00E87490">
              <w:rPr>
                <w:rFonts w:ascii="Times New Roman" w:hAnsi="Times New Roman"/>
                <w:color w:val="000000"/>
                <w:sz w:val="24"/>
                <w:szCs w:val="24"/>
              </w:rPr>
              <w:t xml:space="preserve">, </w:t>
            </w:r>
            <w:r w:rsidRPr="00E87490">
              <w:rPr>
                <w:rFonts w:ascii="Times New Roman" w:hAnsi="Times New Roman"/>
                <w:color w:val="000000"/>
                <w:sz w:val="24"/>
                <w:szCs w:val="24"/>
                <w:shd w:val="clear" w:color="auto" w:fill="FFFFFF"/>
              </w:rPr>
              <w:t>a</w:t>
            </w:r>
            <w:r w:rsidRPr="00E87490">
              <w:rPr>
                <w:rFonts w:ascii="Times New Roman" w:hAnsi="Times New Roman"/>
                <w:sz w:val="24"/>
                <w:szCs w:val="24"/>
              </w:rPr>
              <w:t xml:space="preserve">tradus naujus istorinius šaltinius, pagal kurių duomenis būtų galima identifikuoti Lietuvos vietovę, kurioje buvo </w:t>
            </w:r>
            <w:proofErr w:type="spellStart"/>
            <w:r w:rsidRPr="00E87490">
              <w:rPr>
                <w:rFonts w:ascii="Times New Roman" w:hAnsi="Times New Roman"/>
                <w:sz w:val="24"/>
                <w:szCs w:val="24"/>
              </w:rPr>
              <w:t>Volynės</w:t>
            </w:r>
            <w:proofErr w:type="spellEnd"/>
            <w:r w:rsidRPr="00E87490">
              <w:rPr>
                <w:rFonts w:ascii="Times New Roman" w:hAnsi="Times New Roman"/>
                <w:sz w:val="24"/>
                <w:szCs w:val="24"/>
              </w:rPr>
              <w:t xml:space="preserve"> metraštyje minima Karaliaus Mindaugo pilis – Voruta, šiai vietovei būtų galima suteikti Lietuvos istorinės sotinės statusą atitinkamai papildžius </w:t>
            </w:r>
            <w:r w:rsidR="00E87490" w:rsidRPr="00E87490">
              <w:rPr>
                <w:rFonts w:ascii="Times New Roman" w:hAnsi="Times New Roman"/>
                <w:sz w:val="24"/>
                <w:szCs w:val="24"/>
              </w:rPr>
              <w:t>Įstatymą.</w:t>
            </w:r>
          </w:p>
          <w:p w14:paraId="3EB45F90" w14:textId="335A3FBE" w:rsidR="00141A4D" w:rsidRPr="00DA5025" w:rsidRDefault="00141A4D" w:rsidP="00E87490">
            <w:pPr>
              <w:jc w:val="both"/>
              <w:rPr>
                <w:szCs w:val="24"/>
              </w:rPr>
            </w:pPr>
          </w:p>
        </w:tc>
      </w:tr>
    </w:tbl>
    <w:p w14:paraId="3EB45F92" w14:textId="77777777" w:rsidR="00E1496B" w:rsidRDefault="00C63905"/>
    <w:sectPr w:rsidR="00E1496B" w:rsidSect="00E21CD7">
      <w:headerReference w:type="even" r:id="rId7"/>
      <w:headerReference w:type="default" r:id="rId8"/>
      <w:footerReference w:type="even" r:id="rId9"/>
      <w:footerReference w:type="default" r:id="rId10"/>
      <w:headerReference w:type="first" r:id="rId11"/>
      <w:footerReference w:type="first" r:id="rId12"/>
      <w:pgSz w:w="16838" w:h="11906" w:orient="landscape"/>
      <w:pgMar w:top="127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7F8D" w14:textId="77777777" w:rsidR="00C63905" w:rsidRDefault="00C63905" w:rsidP="00325D9F">
      <w:r>
        <w:separator/>
      </w:r>
    </w:p>
  </w:endnote>
  <w:endnote w:type="continuationSeparator" w:id="0">
    <w:p w14:paraId="76E72E09" w14:textId="77777777" w:rsidR="00C63905" w:rsidRDefault="00C63905" w:rsidP="0032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F858" w14:textId="77777777" w:rsidR="00325D9F" w:rsidRDefault="00325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D7E6" w14:textId="77777777" w:rsidR="00325D9F" w:rsidRDefault="00325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CCDA" w14:textId="77777777" w:rsidR="00325D9F" w:rsidRDefault="0032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3244" w14:textId="77777777" w:rsidR="00C63905" w:rsidRDefault="00C63905" w:rsidP="00325D9F">
      <w:r>
        <w:separator/>
      </w:r>
    </w:p>
  </w:footnote>
  <w:footnote w:type="continuationSeparator" w:id="0">
    <w:p w14:paraId="1D661B3E" w14:textId="77777777" w:rsidR="00C63905" w:rsidRDefault="00C63905" w:rsidP="00325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F801" w14:textId="77777777" w:rsidR="00325D9F" w:rsidRDefault="00325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288014"/>
      <w:docPartObj>
        <w:docPartGallery w:val="Page Numbers (Top of Page)"/>
        <w:docPartUnique/>
      </w:docPartObj>
    </w:sdtPr>
    <w:sdtEndPr>
      <w:rPr>
        <w:noProof/>
      </w:rPr>
    </w:sdtEndPr>
    <w:sdtContent>
      <w:p w14:paraId="0196B438" w14:textId="631D85F3" w:rsidR="00325D9F" w:rsidRDefault="00325D9F">
        <w:pPr>
          <w:pStyle w:val="Header"/>
          <w:jc w:val="center"/>
        </w:pPr>
        <w:r>
          <w:fldChar w:fldCharType="begin"/>
        </w:r>
        <w:r>
          <w:instrText xml:space="preserve"> PAGE   \* MERGEFORMAT </w:instrText>
        </w:r>
        <w:r>
          <w:fldChar w:fldCharType="separate"/>
        </w:r>
        <w:r w:rsidR="000534B4">
          <w:rPr>
            <w:noProof/>
          </w:rPr>
          <w:t>3</w:t>
        </w:r>
        <w:r>
          <w:rPr>
            <w:noProof/>
          </w:rPr>
          <w:fldChar w:fldCharType="end"/>
        </w:r>
      </w:p>
    </w:sdtContent>
  </w:sdt>
  <w:p w14:paraId="2767695F" w14:textId="77777777" w:rsidR="00325D9F" w:rsidRDefault="00325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D1FD" w14:textId="77777777" w:rsidR="00325D9F" w:rsidRDefault="00325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4430D"/>
    <w:multiLevelType w:val="hybridMultilevel"/>
    <w:tmpl w:val="22CC5C7E"/>
    <w:lvl w:ilvl="0" w:tplc="B05E80F8">
      <w:start w:val="1"/>
      <w:numFmt w:val="decimal"/>
      <w:suff w:val="space"/>
      <w:lvlText w:val="%1."/>
      <w:lvlJc w:val="left"/>
      <w:pPr>
        <w:ind w:left="0" w:firstLine="6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40360AE"/>
    <w:multiLevelType w:val="multilevel"/>
    <w:tmpl w:val="8C5AF97C"/>
    <w:lvl w:ilvl="0">
      <w:start w:val="2018"/>
      <w:numFmt w:val="decimal"/>
      <w:lvlText w:val="%1"/>
      <w:lvlJc w:val="left"/>
      <w:pPr>
        <w:ind w:left="1110" w:hanging="1110"/>
      </w:pPr>
      <w:rPr>
        <w:rFonts w:hint="default"/>
      </w:rPr>
    </w:lvl>
    <w:lvl w:ilvl="1">
      <w:start w:val="4"/>
      <w:numFmt w:val="decimalZero"/>
      <w:lvlText w:val="%1-%2"/>
      <w:lvlJc w:val="left"/>
      <w:pPr>
        <w:ind w:left="1110" w:hanging="1110"/>
      </w:pPr>
      <w:rPr>
        <w:rFonts w:hint="default"/>
      </w:rPr>
    </w:lvl>
    <w:lvl w:ilvl="2">
      <w:start w:val="6"/>
      <w:numFmt w:val="decimalZero"/>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C10CF0"/>
    <w:multiLevelType w:val="multilevel"/>
    <w:tmpl w:val="2C0A0A00"/>
    <w:lvl w:ilvl="0">
      <w:start w:val="1"/>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Zero"/>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5CF57AF9"/>
    <w:multiLevelType w:val="multilevel"/>
    <w:tmpl w:val="EA88094E"/>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15:restartNumberingAfterBreak="0">
    <w:nsid w:val="678B0578"/>
    <w:multiLevelType w:val="hybridMultilevel"/>
    <w:tmpl w:val="D398F48A"/>
    <w:lvl w:ilvl="0" w:tplc="5DF05E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947"/>
    <w:rsid w:val="000055EE"/>
    <w:rsid w:val="00006265"/>
    <w:rsid w:val="00035DA0"/>
    <w:rsid w:val="000534B4"/>
    <w:rsid w:val="000A52D2"/>
    <w:rsid w:val="000E3493"/>
    <w:rsid w:val="000F30EF"/>
    <w:rsid w:val="0011393B"/>
    <w:rsid w:val="001261E6"/>
    <w:rsid w:val="00141A4D"/>
    <w:rsid w:val="00180CB1"/>
    <w:rsid w:val="002146BA"/>
    <w:rsid w:val="0021700C"/>
    <w:rsid w:val="00236D28"/>
    <w:rsid w:val="0025155A"/>
    <w:rsid w:val="00325D9F"/>
    <w:rsid w:val="00364E33"/>
    <w:rsid w:val="003A220F"/>
    <w:rsid w:val="003E105A"/>
    <w:rsid w:val="0040143B"/>
    <w:rsid w:val="00432BE9"/>
    <w:rsid w:val="00442963"/>
    <w:rsid w:val="00453BC4"/>
    <w:rsid w:val="004907CD"/>
    <w:rsid w:val="00496F03"/>
    <w:rsid w:val="00570EEC"/>
    <w:rsid w:val="005A68CC"/>
    <w:rsid w:val="005C304E"/>
    <w:rsid w:val="005D132A"/>
    <w:rsid w:val="005F68B6"/>
    <w:rsid w:val="0061573B"/>
    <w:rsid w:val="0065462A"/>
    <w:rsid w:val="0066495D"/>
    <w:rsid w:val="006942B8"/>
    <w:rsid w:val="006958CE"/>
    <w:rsid w:val="006D0D21"/>
    <w:rsid w:val="006F428B"/>
    <w:rsid w:val="00716D25"/>
    <w:rsid w:val="007B3713"/>
    <w:rsid w:val="007B6492"/>
    <w:rsid w:val="007C2A22"/>
    <w:rsid w:val="008100BE"/>
    <w:rsid w:val="00812546"/>
    <w:rsid w:val="00823619"/>
    <w:rsid w:val="00851CB8"/>
    <w:rsid w:val="008835A3"/>
    <w:rsid w:val="008A0947"/>
    <w:rsid w:val="00A169BA"/>
    <w:rsid w:val="00B20DB2"/>
    <w:rsid w:val="00B409EF"/>
    <w:rsid w:val="00B64D65"/>
    <w:rsid w:val="00B81967"/>
    <w:rsid w:val="00B93E6E"/>
    <w:rsid w:val="00BE7D60"/>
    <w:rsid w:val="00BF781E"/>
    <w:rsid w:val="00C549E5"/>
    <w:rsid w:val="00C63905"/>
    <w:rsid w:val="00D35632"/>
    <w:rsid w:val="00D45F88"/>
    <w:rsid w:val="00D46350"/>
    <w:rsid w:val="00DA5025"/>
    <w:rsid w:val="00E21CD7"/>
    <w:rsid w:val="00E2716C"/>
    <w:rsid w:val="00E67FE6"/>
    <w:rsid w:val="00E87490"/>
    <w:rsid w:val="00EA0420"/>
    <w:rsid w:val="00EB1927"/>
    <w:rsid w:val="00EB7436"/>
    <w:rsid w:val="00EC6638"/>
    <w:rsid w:val="00ED2FE6"/>
    <w:rsid w:val="00F30D90"/>
    <w:rsid w:val="00F450F7"/>
    <w:rsid w:val="00F9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5F87"/>
  <w15:docId w15:val="{C9514F3E-ED16-4E1E-AD41-3CD99234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947"/>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947"/>
    <w:pPr>
      <w:suppressAutoHyphens/>
      <w:ind w:left="720"/>
      <w:contextualSpacing/>
    </w:pPr>
    <w:rPr>
      <w:rFonts w:eastAsia="Times New Roman"/>
      <w:szCs w:val="24"/>
      <w:lang w:eastAsia="ar-SA"/>
    </w:rPr>
  </w:style>
  <w:style w:type="character" w:styleId="CommentReference">
    <w:name w:val="annotation reference"/>
    <w:basedOn w:val="DefaultParagraphFont"/>
    <w:uiPriority w:val="99"/>
    <w:semiHidden/>
    <w:unhideWhenUsed/>
    <w:rsid w:val="0065462A"/>
    <w:rPr>
      <w:sz w:val="16"/>
      <w:szCs w:val="16"/>
    </w:rPr>
  </w:style>
  <w:style w:type="paragraph" w:styleId="CommentText">
    <w:name w:val="annotation text"/>
    <w:basedOn w:val="Normal"/>
    <w:link w:val="CommentTextChar"/>
    <w:uiPriority w:val="99"/>
    <w:semiHidden/>
    <w:unhideWhenUsed/>
    <w:rsid w:val="0065462A"/>
    <w:rPr>
      <w:sz w:val="20"/>
    </w:rPr>
  </w:style>
  <w:style w:type="character" w:customStyle="1" w:styleId="CommentTextChar">
    <w:name w:val="Comment Text Char"/>
    <w:basedOn w:val="DefaultParagraphFont"/>
    <w:link w:val="CommentText"/>
    <w:uiPriority w:val="99"/>
    <w:semiHidden/>
    <w:rsid w:val="006546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462A"/>
    <w:rPr>
      <w:b/>
      <w:bCs/>
    </w:rPr>
  </w:style>
  <w:style w:type="character" w:customStyle="1" w:styleId="CommentSubjectChar">
    <w:name w:val="Comment Subject Char"/>
    <w:basedOn w:val="CommentTextChar"/>
    <w:link w:val="CommentSubject"/>
    <w:uiPriority w:val="99"/>
    <w:semiHidden/>
    <w:rsid w:val="0065462A"/>
    <w:rPr>
      <w:rFonts w:ascii="Times New Roman" w:eastAsia="Calibri" w:hAnsi="Times New Roman" w:cs="Times New Roman"/>
      <w:b/>
      <w:bCs/>
      <w:sz w:val="20"/>
      <w:szCs w:val="20"/>
    </w:rPr>
  </w:style>
  <w:style w:type="paragraph" w:styleId="Revision">
    <w:name w:val="Revision"/>
    <w:hidden/>
    <w:uiPriority w:val="99"/>
    <w:semiHidden/>
    <w:rsid w:val="0065462A"/>
    <w:pPr>
      <w:spacing w:after="0" w:line="240" w:lineRule="auto"/>
    </w:pPr>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65462A"/>
    <w:rPr>
      <w:rFonts w:ascii="Tahoma" w:hAnsi="Tahoma" w:cs="Tahoma"/>
      <w:sz w:val="16"/>
      <w:szCs w:val="16"/>
    </w:rPr>
  </w:style>
  <w:style w:type="character" w:customStyle="1" w:styleId="BalloonTextChar">
    <w:name w:val="Balloon Text Char"/>
    <w:basedOn w:val="DefaultParagraphFont"/>
    <w:link w:val="BalloonText"/>
    <w:uiPriority w:val="99"/>
    <w:semiHidden/>
    <w:rsid w:val="0065462A"/>
    <w:rPr>
      <w:rFonts w:ascii="Tahoma" w:eastAsia="Calibri" w:hAnsi="Tahoma" w:cs="Tahoma"/>
      <w:sz w:val="16"/>
      <w:szCs w:val="16"/>
    </w:rPr>
  </w:style>
  <w:style w:type="character" w:customStyle="1" w:styleId="dlxnowrap1">
    <w:name w:val="dlxnowrap1"/>
    <w:basedOn w:val="DefaultParagraphFont"/>
    <w:rsid w:val="00D35632"/>
  </w:style>
  <w:style w:type="paragraph" w:styleId="Header">
    <w:name w:val="header"/>
    <w:basedOn w:val="Normal"/>
    <w:link w:val="HeaderChar"/>
    <w:uiPriority w:val="99"/>
    <w:unhideWhenUsed/>
    <w:rsid w:val="00325D9F"/>
    <w:pPr>
      <w:tabs>
        <w:tab w:val="center" w:pos="4819"/>
        <w:tab w:val="right" w:pos="9638"/>
      </w:tabs>
    </w:pPr>
  </w:style>
  <w:style w:type="character" w:customStyle="1" w:styleId="HeaderChar">
    <w:name w:val="Header Char"/>
    <w:basedOn w:val="DefaultParagraphFont"/>
    <w:link w:val="Header"/>
    <w:uiPriority w:val="99"/>
    <w:rsid w:val="00325D9F"/>
    <w:rPr>
      <w:rFonts w:ascii="Times New Roman" w:eastAsia="Calibri" w:hAnsi="Times New Roman" w:cs="Times New Roman"/>
      <w:sz w:val="24"/>
      <w:szCs w:val="20"/>
    </w:rPr>
  </w:style>
  <w:style w:type="paragraph" w:styleId="Footer">
    <w:name w:val="footer"/>
    <w:basedOn w:val="Normal"/>
    <w:link w:val="FooterChar"/>
    <w:uiPriority w:val="99"/>
    <w:unhideWhenUsed/>
    <w:rsid w:val="00325D9F"/>
    <w:pPr>
      <w:tabs>
        <w:tab w:val="center" w:pos="4819"/>
        <w:tab w:val="right" w:pos="9638"/>
      </w:tabs>
    </w:pPr>
  </w:style>
  <w:style w:type="character" w:customStyle="1" w:styleId="FooterChar">
    <w:name w:val="Footer Char"/>
    <w:basedOn w:val="DefaultParagraphFont"/>
    <w:link w:val="Footer"/>
    <w:uiPriority w:val="99"/>
    <w:rsid w:val="00325D9F"/>
    <w:rPr>
      <w:rFonts w:ascii="Times New Roman" w:eastAsia="Calibri" w:hAnsi="Times New Roman" w:cs="Times New Roman"/>
      <w:sz w:val="24"/>
      <w:szCs w:val="20"/>
    </w:rPr>
  </w:style>
  <w:style w:type="paragraph" w:customStyle="1" w:styleId="AssecoParagraphNormalFirstLine">
    <w:name w:val="Asseco Paragraph Normal First Line"/>
    <w:basedOn w:val="Normal"/>
    <w:qFormat/>
    <w:rsid w:val="00570EEC"/>
    <w:pPr>
      <w:ind w:firstLine="709"/>
      <w:jc w:val="both"/>
    </w:pPr>
    <w:rPr>
      <w:rFonts w:ascii="Calibri" w:eastAsia="Times New Roman" w:hAnsi="Calibri"/>
      <w:sz w:val="22"/>
      <w:lang w:eastAsia="pl-PL"/>
    </w:rPr>
  </w:style>
  <w:style w:type="paragraph" w:customStyle="1" w:styleId="Preformatted">
    <w:name w:val="Preformatted"/>
    <w:basedOn w:val="Normal"/>
    <w:rsid w:val="00DA502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3524</Words>
  <Characters>2010</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Maliavkina</dc:creator>
  <cp:lastModifiedBy>Gintaras Džiovėnas</cp:lastModifiedBy>
  <cp:revision>3</cp:revision>
  <dcterms:created xsi:type="dcterms:W3CDTF">2021-07-15T09:11:00Z</dcterms:created>
  <dcterms:modified xsi:type="dcterms:W3CDTF">2021-07-19T10:19:00Z</dcterms:modified>
</cp:coreProperties>
</file>