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5FC73" w14:textId="02A0C2BD" w:rsidR="00110169" w:rsidRPr="00EB25A8" w:rsidRDefault="00110169" w:rsidP="001006EE">
      <w:pPr>
        <w:spacing w:after="0"/>
        <w:jc w:val="center"/>
        <w:rPr>
          <w:rFonts w:ascii="Times New Roman Bold" w:hAnsi="Times New Roman Bold" w:cs="Times New Roman"/>
          <w:b/>
          <w:bCs/>
          <w:caps/>
          <w:sz w:val="24"/>
          <w:szCs w:val="24"/>
          <w:lang w:val="lt-LT"/>
        </w:rPr>
      </w:pPr>
      <w:r w:rsidRPr="00EB25A8">
        <w:rPr>
          <w:rFonts w:ascii="Times New Roman Bold" w:hAnsi="Times New Roman Bold"/>
          <w:b/>
          <w:bCs/>
          <w:caps/>
          <w:noProof/>
          <w:color w:val="000000"/>
          <w:sz w:val="24"/>
          <w:szCs w:val="24"/>
          <w:lang w:val="lt-LT"/>
        </w:rPr>
        <w:t>Lietuvos Respublikos Vyriausybės nutarimo</w:t>
      </w:r>
      <w:bookmarkStart w:id="0" w:name="_Hlk88639201"/>
      <w:r w:rsidRPr="00EB25A8">
        <w:rPr>
          <w:rFonts w:ascii="Times New Roman Bold" w:hAnsi="Times New Roman Bold"/>
          <w:b/>
          <w:bCs/>
          <w:caps/>
          <w:noProof/>
          <w:color w:val="000000"/>
          <w:sz w:val="24"/>
          <w:szCs w:val="24"/>
          <w:lang w:val="lt-LT"/>
        </w:rPr>
        <w:t xml:space="preserve"> </w:t>
      </w:r>
      <w:r w:rsidRPr="00EB25A8">
        <w:rPr>
          <w:rFonts w:ascii="Times New Roman Bold" w:hAnsi="Times New Roman Bold"/>
          <w:b/>
          <w:bCs/>
          <w:caps/>
          <w:sz w:val="24"/>
          <w:szCs w:val="24"/>
          <w:lang w:val="lt-LT"/>
        </w:rPr>
        <w:t>„Dėl Lietuvos Respublikos Vyriausybės 2012 m. lapkričio 14 d. nutarimo Nr. 1373 „Dėl Kompetencijų vertinimo lėšų skaičiavimo vienam asmeniui metodikos patvirtinimo“</w:t>
      </w:r>
      <w:bookmarkEnd w:id="0"/>
      <w:r w:rsidRPr="00EB25A8">
        <w:rPr>
          <w:rFonts w:ascii="Times New Roman Bold" w:hAnsi="Times New Roman Bold"/>
          <w:b/>
          <w:bCs/>
          <w:caps/>
          <w:sz w:val="24"/>
          <w:szCs w:val="24"/>
          <w:lang w:val="lt-LT"/>
        </w:rPr>
        <w:t xml:space="preserve"> pakeitimo“ projekto</w:t>
      </w:r>
    </w:p>
    <w:p w14:paraId="2FA936E3" w14:textId="31BDDB8D" w:rsidR="003B032C" w:rsidRDefault="001006EE" w:rsidP="001006EE">
      <w:pPr>
        <w:spacing w:after="0"/>
        <w:jc w:val="center"/>
        <w:rPr>
          <w:rFonts w:ascii="Times New Roman" w:hAnsi="Times New Roman" w:cs="Times New Roman"/>
          <w:b/>
          <w:caps/>
          <w:sz w:val="24"/>
          <w:szCs w:val="24"/>
          <w:lang w:val="lt-LT"/>
        </w:rPr>
      </w:pPr>
      <w:r w:rsidRPr="00EB25A8">
        <w:rPr>
          <w:rFonts w:ascii="Times New Roman" w:hAnsi="Times New Roman" w:cs="Times New Roman"/>
          <w:b/>
          <w:caps/>
          <w:sz w:val="24"/>
          <w:szCs w:val="24"/>
          <w:lang w:val="lt-LT"/>
        </w:rPr>
        <w:t>DERINIMO PAŽYMA</w:t>
      </w:r>
    </w:p>
    <w:p w14:paraId="5B9C7681" w14:textId="77777777" w:rsidR="00FD5049" w:rsidRPr="00EB25A8" w:rsidRDefault="00FD5049" w:rsidP="001006EE">
      <w:pPr>
        <w:spacing w:after="0"/>
        <w:jc w:val="center"/>
        <w:rPr>
          <w:rFonts w:ascii="Times New Roman" w:hAnsi="Times New Roman" w:cs="Times New Roman"/>
          <w:b/>
          <w:caps/>
          <w:sz w:val="24"/>
          <w:szCs w:val="24"/>
          <w:lang w:val="lt-LT"/>
        </w:rPr>
      </w:pPr>
    </w:p>
    <w:tbl>
      <w:tblPr>
        <w:tblStyle w:val="Lentelstinklelis"/>
        <w:tblW w:w="0" w:type="auto"/>
        <w:tblLook w:val="04A0" w:firstRow="1" w:lastRow="0" w:firstColumn="1" w:lastColumn="0" w:noHBand="0" w:noVBand="1"/>
      </w:tblPr>
      <w:tblGrid>
        <w:gridCol w:w="2122"/>
        <w:gridCol w:w="5811"/>
        <w:gridCol w:w="6763"/>
      </w:tblGrid>
      <w:tr w:rsidR="00FD5049" w:rsidRPr="0090147E" w14:paraId="3089A95D" w14:textId="77777777" w:rsidTr="00FB2253">
        <w:tc>
          <w:tcPr>
            <w:tcW w:w="2122" w:type="dxa"/>
            <w:tcBorders>
              <w:bottom w:val="single" w:sz="4" w:space="0" w:color="auto"/>
            </w:tcBorders>
            <w:vAlign w:val="center"/>
          </w:tcPr>
          <w:p w14:paraId="4E0D43EC" w14:textId="2CFDAC25" w:rsidR="00FD5049" w:rsidRPr="0090147E" w:rsidRDefault="00FD5049" w:rsidP="00090B1F">
            <w:pPr>
              <w:ind w:left="-110" w:right="-107"/>
              <w:jc w:val="center"/>
              <w:rPr>
                <w:rFonts w:ascii="Times New Roman" w:hAnsi="Times New Roman"/>
                <w:sz w:val="24"/>
                <w:szCs w:val="24"/>
                <w:lang w:val="lt-LT"/>
              </w:rPr>
            </w:pPr>
            <w:r w:rsidRPr="0090147E">
              <w:rPr>
                <w:rFonts w:ascii="Times New Roman" w:hAnsi="Times New Roman" w:cs="Times New Roman"/>
                <w:b/>
                <w:bCs/>
                <w:sz w:val="24"/>
                <w:szCs w:val="24"/>
                <w:lang w:val="lt-LT"/>
              </w:rPr>
              <w:t>Institucijos pavadinimas, rašto data</w:t>
            </w:r>
            <w:r w:rsidR="00A83476">
              <w:rPr>
                <w:rFonts w:ascii="Times New Roman" w:hAnsi="Times New Roman" w:cs="Times New Roman"/>
                <w:b/>
                <w:bCs/>
                <w:sz w:val="24"/>
                <w:szCs w:val="24"/>
                <w:lang w:val="lt-LT"/>
              </w:rPr>
              <w:t xml:space="preserve">, </w:t>
            </w:r>
            <w:r w:rsidRPr="0090147E">
              <w:rPr>
                <w:rFonts w:ascii="Times New Roman" w:hAnsi="Times New Roman" w:cs="Times New Roman"/>
                <w:b/>
                <w:bCs/>
                <w:sz w:val="24"/>
                <w:szCs w:val="24"/>
                <w:lang w:val="lt-LT"/>
              </w:rPr>
              <w:t>numeris</w:t>
            </w:r>
          </w:p>
        </w:tc>
        <w:tc>
          <w:tcPr>
            <w:tcW w:w="5811" w:type="dxa"/>
            <w:vAlign w:val="center"/>
          </w:tcPr>
          <w:p w14:paraId="6DF3A5E0" w14:textId="505177D4" w:rsidR="00FD5049" w:rsidRPr="0090147E" w:rsidRDefault="00FD5049" w:rsidP="00FD5049">
            <w:pPr>
              <w:jc w:val="center"/>
              <w:rPr>
                <w:rFonts w:ascii="Times New Roman" w:hAnsi="Times New Roman" w:cs="Times New Roman"/>
                <w:sz w:val="24"/>
                <w:szCs w:val="24"/>
                <w:lang w:val="lt-LT"/>
              </w:rPr>
            </w:pPr>
            <w:r w:rsidRPr="0090147E">
              <w:rPr>
                <w:rFonts w:ascii="Times New Roman" w:hAnsi="Times New Roman" w:cs="Times New Roman"/>
                <w:b/>
                <w:bCs/>
                <w:sz w:val="24"/>
                <w:szCs w:val="24"/>
                <w:lang w:val="lt-LT"/>
              </w:rPr>
              <w:t>Pastabos ir pasiūlymai</w:t>
            </w:r>
          </w:p>
        </w:tc>
        <w:tc>
          <w:tcPr>
            <w:tcW w:w="6763" w:type="dxa"/>
            <w:vAlign w:val="center"/>
          </w:tcPr>
          <w:p w14:paraId="372F66DB" w14:textId="606ED55B" w:rsidR="00FD5049" w:rsidRPr="0090147E" w:rsidRDefault="00FD5049" w:rsidP="00FD5049">
            <w:pPr>
              <w:jc w:val="center"/>
              <w:rPr>
                <w:rFonts w:ascii="Times New Roman" w:hAnsi="Times New Roman" w:cs="Times New Roman"/>
                <w:b/>
                <w:bCs/>
                <w:sz w:val="24"/>
                <w:szCs w:val="24"/>
                <w:lang w:val="lt-LT"/>
              </w:rPr>
            </w:pPr>
            <w:r w:rsidRPr="0090147E">
              <w:rPr>
                <w:rFonts w:ascii="Times New Roman" w:hAnsi="Times New Roman" w:cs="Times New Roman"/>
                <w:b/>
                <w:bCs/>
                <w:sz w:val="24"/>
                <w:szCs w:val="24"/>
                <w:lang w:val="lt-LT"/>
              </w:rPr>
              <w:t>Žyma apie pastabas ir pasiūlymus, į kuriuos neatsižvelgta arba atsižvelgta iš dalies</w:t>
            </w:r>
          </w:p>
        </w:tc>
      </w:tr>
      <w:tr w:rsidR="00FD5049" w:rsidRPr="0090147E" w14:paraId="18D3B76F" w14:textId="77777777" w:rsidTr="00FB2253">
        <w:tc>
          <w:tcPr>
            <w:tcW w:w="2122" w:type="dxa"/>
            <w:tcBorders>
              <w:bottom w:val="nil"/>
            </w:tcBorders>
          </w:tcPr>
          <w:p w14:paraId="5D74F10A" w14:textId="722E07D6" w:rsidR="00FD5049" w:rsidRPr="0090147E" w:rsidRDefault="00FD5049" w:rsidP="00FD5049">
            <w:pPr>
              <w:rPr>
                <w:rFonts w:ascii="Times New Roman" w:hAnsi="Times New Roman" w:cs="Times New Roman"/>
                <w:sz w:val="24"/>
                <w:szCs w:val="24"/>
                <w:lang w:val="lt-LT"/>
              </w:rPr>
            </w:pPr>
            <w:r w:rsidRPr="0090147E">
              <w:rPr>
                <w:rFonts w:ascii="Times New Roman" w:hAnsi="Times New Roman"/>
                <w:sz w:val="24"/>
                <w:szCs w:val="24"/>
                <w:lang w:val="lt-LT"/>
              </w:rPr>
              <w:t>Vairavimo mokytojų gildija (2021-12-13 raštas Nr. 50)</w:t>
            </w:r>
          </w:p>
        </w:tc>
        <w:tc>
          <w:tcPr>
            <w:tcW w:w="5811" w:type="dxa"/>
          </w:tcPr>
          <w:p w14:paraId="6AEF99DF" w14:textId="77777777" w:rsidR="00FD5049" w:rsidRPr="0090147E" w:rsidRDefault="00FD5049" w:rsidP="007A6EB1">
            <w:pPr>
              <w:jc w:val="both"/>
              <w:rPr>
                <w:rFonts w:ascii="Times New Roman" w:hAnsi="Times New Roman" w:cs="Times New Roman"/>
                <w:sz w:val="24"/>
                <w:szCs w:val="24"/>
                <w:lang w:val="lt-LT"/>
              </w:rPr>
            </w:pPr>
            <w:r w:rsidRPr="0090147E">
              <w:rPr>
                <w:rFonts w:ascii="Times New Roman" w:hAnsi="Times New Roman" w:cs="Times New Roman"/>
                <w:sz w:val="24"/>
                <w:szCs w:val="24"/>
                <w:lang w:val="lt-LT"/>
              </w:rPr>
              <w:t xml:space="preserve">1. Metodikos 2.3 papunktyje nurodoma, kad Metodika taikoma, kai kompetencijų vertinimas apmokamas privačių asmenų ar kitomis lėšomis. </w:t>
            </w:r>
          </w:p>
          <w:p w14:paraId="6A4FEFB0" w14:textId="04EEE70B" w:rsidR="00FD5049" w:rsidRPr="0090147E" w:rsidRDefault="00FD5049" w:rsidP="007A6EB1">
            <w:pPr>
              <w:jc w:val="both"/>
              <w:rPr>
                <w:rFonts w:ascii="Times New Roman" w:hAnsi="Times New Roman" w:cs="Times New Roman"/>
                <w:sz w:val="24"/>
                <w:szCs w:val="24"/>
                <w:lang w:val="lt-LT"/>
              </w:rPr>
            </w:pPr>
            <w:r w:rsidRPr="0090147E">
              <w:rPr>
                <w:rFonts w:ascii="Times New Roman" w:hAnsi="Times New Roman" w:cs="Times New Roman"/>
                <w:sz w:val="24"/>
                <w:szCs w:val="24"/>
                <w:lang w:val="lt-LT"/>
              </w:rPr>
              <w:t>Keliamas klausimas, ar Metodika taikoma privatiems asmenims (pvz., ar galima privačiam asmeniui nustatyti didesnę arba mažesnę kainą), todėl siūloma Metodikos 5 punkte patikslinti, kad lėšos asmens kompetencijoms vertinti yra vienodos visiems asmenims, dalyvaujantiems kompetencijų vertinime, siekiant kvalifikacijos, arba kad Metodikos 2.3 papunktyje nurodytu atveju Metodikos nuostatos yra rekomendacinės.</w:t>
            </w:r>
          </w:p>
        </w:tc>
        <w:tc>
          <w:tcPr>
            <w:tcW w:w="6763" w:type="dxa"/>
          </w:tcPr>
          <w:p w14:paraId="5C223B2E" w14:textId="77777777" w:rsidR="00FD5049" w:rsidRPr="0090147E" w:rsidRDefault="00FD5049" w:rsidP="007A6EB1">
            <w:pPr>
              <w:jc w:val="both"/>
              <w:rPr>
                <w:rFonts w:ascii="Times New Roman" w:hAnsi="Times New Roman" w:cs="Times New Roman"/>
                <w:sz w:val="24"/>
                <w:szCs w:val="24"/>
                <w:lang w:val="lt-LT"/>
              </w:rPr>
            </w:pPr>
            <w:r w:rsidRPr="0090147E">
              <w:rPr>
                <w:rFonts w:ascii="Times New Roman" w:hAnsi="Times New Roman" w:cs="Times New Roman"/>
                <w:b/>
                <w:bCs/>
                <w:sz w:val="24"/>
                <w:szCs w:val="24"/>
                <w:lang w:val="lt-LT"/>
              </w:rPr>
              <w:t>Atsižvelgta iš dalies.</w:t>
            </w:r>
            <w:r w:rsidRPr="0090147E">
              <w:rPr>
                <w:rFonts w:ascii="Times New Roman" w:hAnsi="Times New Roman" w:cs="Times New Roman"/>
                <w:sz w:val="24"/>
                <w:szCs w:val="24"/>
                <w:lang w:val="lt-LT"/>
              </w:rPr>
              <w:t xml:space="preserve"> Patikslinta Metodikos 1 punkto redakcija ir numatyta, kad Metodika reglamentuoja asmens kompetencijų vertinimo lėšų apskaičiavimą, kai vadovaujantis švietimo, mokslo ir sporto ministro tvirtinamu Asmens įgytų kompetencijų vertinimo tvarkos aprašu yra organizuojamas asmens įgytų I–V lygio kvalifikacijų vertinimas.</w:t>
            </w:r>
          </w:p>
          <w:p w14:paraId="17AB11B9" w14:textId="284537AB" w:rsidR="00FD5049" w:rsidRPr="0090147E" w:rsidRDefault="00FD5049" w:rsidP="007A6EB1">
            <w:pPr>
              <w:jc w:val="both"/>
              <w:rPr>
                <w:rFonts w:ascii="Times New Roman" w:hAnsi="Times New Roman" w:cs="Times New Roman"/>
                <w:sz w:val="24"/>
                <w:szCs w:val="24"/>
                <w:lang w:val="lt-LT"/>
              </w:rPr>
            </w:pPr>
            <w:r w:rsidRPr="0090147E">
              <w:rPr>
                <w:rFonts w:ascii="Times New Roman" w:hAnsi="Times New Roman" w:cs="Times New Roman"/>
                <w:sz w:val="24"/>
                <w:szCs w:val="24"/>
                <w:lang w:val="lt-LT"/>
              </w:rPr>
              <w:t>Pagal šią nuostatą Metodika taikoma visais atvejais, kuomet asmens kompetencijų vertinimas organizuojamas, vadovaujantis Asmens įgytų kompetencijų vertinimo tvarkos aprašu (prireikus taikymo išimtys turi būti numatomos šiame apraše), todėl siūlomas Metodikos 5 punkto patikslinimas būtų perteklinis.</w:t>
            </w:r>
          </w:p>
        </w:tc>
      </w:tr>
      <w:tr w:rsidR="00FD5049" w:rsidRPr="0090147E" w14:paraId="44B82D0F" w14:textId="77777777" w:rsidTr="00FB2253">
        <w:tc>
          <w:tcPr>
            <w:tcW w:w="2122" w:type="dxa"/>
            <w:tcBorders>
              <w:top w:val="nil"/>
              <w:bottom w:val="nil"/>
            </w:tcBorders>
          </w:tcPr>
          <w:p w14:paraId="0D30CCE8" w14:textId="77777777" w:rsidR="00FD5049" w:rsidRPr="0090147E" w:rsidRDefault="00FD5049" w:rsidP="00FD5049">
            <w:pPr>
              <w:rPr>
                <w:rFonts w:ascii="Times New Roman" w:hAnsi="Times New Roman" w:cs="Times New Roman"/>
                <w:sz w:val="24"/>
                <w:szCs w:val="24"/>
                <w:lang w:val="lt-LT"/>
              </w:rPr>
            </w:pPr>
          </w:p>
        </w:tc>
        <w:tc>
          <w:tcPr>
            <w:tcW w:w="5811" w:type="dxa"/>
          </w:tcPr>
          <w:p w14:paraId="2431A0DF" w14:textId="02755A71" w:rsidR="00FD5049" w:rsidRPr="0090147E" w:rsidRDefault="00FD5049" w:rsidP="007A6EB1">
            <w:pPr>
              <w:jc w:val="both"/>
              <w:rPr>
                <w:rFonts w:ascii="Times New Roman" w:hAnsi="Times New Roman" w:cs="Times New Roman"/>
                <w:sz w:val="24"/>
                <w:szCs w:val="24"/>
                <w:lang w:val="lt-LT"/>
              </w:rPr>
            </w:pPr>
            <w:r w:rsidRPr="0090147E">
              <w:rPr>
                <w:rFonts w:ascii="Times New Roman" w:hAnsi="Times New Roman" w:cs="Times New Roman"/>
                <w:sz w:val="24"/>
                <w:szCs w:val="24"/>
                <w:lang w:val="lt-LT"/>
              </w:rPr>
              <w:t>2. Metodikos 4.3 papunktyje asmens įgytų kompetencijų vertinimo komisijos narių darbo užmokesčio lėšų apskaičiavimo formulėje asmenų skaičius grupėje, jei asmuo baigė formaliojo mokymo programą, yra nurodytas maksimalus – 15. Realybėje daugelio profesijų mokymo grupės yra mažiau skaitlingos. Pavyzdžiui, Užimtumo tarnyba asmenis mokytis siunčia pavieniui. Taip pat ne visuomet visi vertinamieji sugebės dalyvauti vertinime dėl pasitaikančių jiems svarbių priežasčių (ligos, negalavimų, darbinės veiklos, komandiruočių, šeimyninių priežasčių). Siūloma šį skaičių mažinti bent iki 10-12 kompetencijų vertinime dalyvaujančių asmenų.</w:t>
            </w:r>
          </w:p>
        </w:tc>
        <w:tc>
          <w:tcPr>
            <w:tcW w:w="6763" w:type="dxa"/>
          </w:tcPr>
          <w:p w14:paraId="6B1B40D1" w14:textId="77777777" w:rsidR="00FD5049" w:rsidRPr="0090147E" w:rsidRDefault="00FD5049" w:rsidP="007A6EB1">
            <w:pPr>
              <w:jc w:val="both"/>
              <w:rPr>
                <w:rFonts w:ascii="Times New Roman" w:hAnsi="Times New Roman"/>
                <w:sz w:val="24"/>
                <w:szCs w:val="32"/>
                <w:lang w:val="lt-LT"/>
              </w:rPr>
            </w:pPr>
            <w:r w:rsidRPr="0090147E">
              <w:rPr>
                <w:rFonts w:ascii="Times New Roman" w:hAnsi="Times New Roman" w:cs="Times New Roman"/>
                <w:b/>
                <w:bCs/>
                <w:sz w:val="24"/>
                <w:szCs w:val="24"/>
                <w:lang w:val="lt-LT"/>
              </w:rPr>
              <w:t xml:space="preserve">Atsižvelgta iš dalies. </w:t>
            </w:r>
            <w:r w:rsidRPr="0090147E">
              <w:rPr>
                <w:rFonts w:ascii="Times New Roman" w:hAnsi="Times New Roman" w:cs="Times New Roman"/>
                <w:sz w:val="24"/>
                <w:szCs w:val="24"/>
                <w:lang w:val="lt-LT"/>
              </w:rPr>
              <w:t xml:space="preserve">Asmens įgytų kompetencijų vertinimo tvarkos apraše nustatytas </w:t>
            </w:r>
            <w:r w:rsidRPr="0090147E">
              <w:rPr>
                <w:rFonts w:ascii="Times New Roman" w:hAnsi="Times New Roman"/>
                <w:sz w:val="24"/>
                <w:szCs w:val="32"/>
                <w:lang w:val="lt-LT"/>
              </w:rPr>
              <w:t>maksimalus vertinamų asmenų skaičius, atliekant praktinės dalies (gebėjimų) vertinimą, yra 15. Organizuojant vertinimą, reikėtų siekti, jog būtų sudaromos 15 vertinamų asmenų grupės, kad riboti ištekliai būtų panaudojami efektyviai. Įvertinant tai, kad vertinamų asmenų grupė gali sumažėti dėl asmeninių priežasčių, nepriklausančių nuo vertinimo organizatorių veiksmų, Metodikoje minėtas skaičius sumažintas iki 14.</w:t>
            </w:r>
          </w:p>
          <w:p w14:paraId="1EF55485" w14:textId="0F9292BC" w:rsidR="00FD5049" w:rsidRPr="0090147E" w:rsidRDefault="00FD5049" w:rsidP="007A6EB1">
            <w:pPr>
              <w:jc w:val="both"/>
              <w:rPr>
                <w:rFonts w:ascii="Times New Roman" w:hAnsi="Times New Roman" w:cs="Times New Roman"/>
                <w:sz w:val="24"/>
                <w:szCs w:val="24"/>
                <w:lang w:val="lt-LT"/>
              </w:rPr>
            </w:pPr>
            <w:r w:rsidRPr="0090147E">
              <w:rPr>
                <w:rFonts w:ascii="Times New Roman" w:hAnsi="Times New Roman"/>
                <w:sz w:val="24"/>
                <w:szCs w:val="32"/>
                <w:lang w:val="lt-LT"/>
              </w:rPr>
              <w:t>Daugiau mažinti šį skaičių nėra finansinių galimybių.</w:t>
            </w:r>
            <w:r w:rsidRPr="0090147E">
              <w:rPr>
                <w:rFonts w:ascii="Times New Roman" w:hAnsi="Times New Roman" w:cs="Times New Roman"/>
                <w:sz w:val="24"/>
                <w:szCs w:val="24"/>
                <w:lang w:val="lt-LT"/>
              </w:rPr>
              <w:t xml:space="preserve"> </w:t>
            </w:r>
          </w:p>
        </w:tc>
      </w:tr>
      <w:tr w:rsidR="00FD5049" w:rsidRPr="0090147E" w14:paraId="7BB17138" w14:textId="77777777" w:rsidTr="00FB2253">
        <w:tc>
          <w:tcPr>
            <w:tcW w:w="2122" w:type="dxa"/>
            <w:tcBorders>
              <w:top w:val="nil"/>
              <w:bottom w:val="single" w:sz="4" w:space="0" w:color="auto"/>
            </w:tcBorders>
          </w:tcPr>
          <w:p w14:paraId="68A581DF" w14:textId="77777777" w:rsidR="00FD5049" w:rsidRPr="0090147E" w:rsidRDefault="00FD5049" w:rsidP="00FD5049">
            <w:pPr>
              <w:rPr>
                <w:rFonts w:ascii="Times New Roman" w:hAnsi="Times New Roman" w:cs="Times New Roman"/>
                <w:sz w:val="24"/>
                <w:szCs w:val="24"/>
                <w:lang w:val="lt-LT"/>
              </w:rPr>
            </w:pPr>
          </w:p>
        </w:tc>
        <w:tc>
          <w:tcPr>
            <w:tcW w:w="5811" w:type="dxa"/>
          </w:tcPr>
          <w:p w14:paraId="307437A8" w14:textId="0513E3A2" w:rsidR="00FD5049" w:rsidRPr="0090147E" w:rsidRDefault="00FD5049" w:rsidP="007A6EB1">
            <w:pPr>
              <w:jc w:val="both"/>
              <w:rPr>
                <w:rFonts w:ascii="Times New Roman" w:hAnsi="Times New Roman" w:cs="Times New Roman"/>
                <w:sz w:val="24"/>
                <w:szCs w:val="24"/>
                <w:lang w:val="lt-LT"/>
              </w:rPr>
            </w:pPr>
            <w:r w:rsidRPr="0090147E">
              <w:rPr>
                <w:rFonts w:ascii="Times New Roman" w:hAnsi="Times New Roman" w:cs="Times New Roman"/>
                <w:sz w:val="24"/>
                <w:szCs w:val="24"/>
                <w:lang w:val="lt-LT"/>
              </w:rPr>
              <w:t>3. Kadangi vyksta įvairių interpretacijų dėl lėšų priemonėms praktinei užduočiai atlikti (ne)apmokestinimo PVM, siūloma pripažinti, kad šios lėšos yra asmenų kvalifikacijos suteikimo dalis, todėl ji visais atvejais neapmokestinama PVM. Siūloma Metodiką papildyti 4.6 papunkčiu: „4.6. Metodiką taikant apskaičiuotos kompetencijų vertinimo lėšos nėra apmokestinamos pridėtinės vertės mokesčiu.“</w:t>
            </w:r>
          </w:p>
        </w:tc>
        <w:tc>
          <w:tcPr>
            <w:tcW w:w="6763" w:type="dxa"/>
          </w:tcPr>
          <w:p w14:paraId="7587F43B" w14:textId="67106D34" w:rsidR="00FD5049" w:rsidRPr="0090147E" w:rsidRDefault="00FD5049" w:rsidP="007A6EB1">
            <w:pPr>
              <w:jc w:val="both"/>
              <w:rPr>
                <w:rFonts w:ascii="Times New Roman" w:hAnsi="Times New Roman" w:cs="Times New Roman"/>
                <w:sz w:val="24"/>
                <w:szCs w:val="24"/>
                <w:lang w:val="lt-LT"/>
              </w:rPr>
            </w:pPr>
            <w:r w:rsidRPr="0090147E">
              <w:rPr>
                <w:rFonts w:ascii="Times New Roman" w:hAnsi="Times New Roman" w:cs="Times New Roman"/>
                <w:b/>
                <w:bCs/>
                <w:sz w:val="24"/>
                <w:szCs w:val="24"/>
                <w:lang w:val="lt-LT"/>
              </w:rPr>
              <w:t xml:space="preserve">Neatsižvelgta. </w:t>
            </w:r>
            <w:r w:rsidRPr="0090147E">
              <w:rPr>
                <w:rFonts w:ascii="Times New Roman" w:hAnsi="Times New Roman" w:cs="Times New Roman"/>
                <w:sz w:val="24"/>
                <w:szCs w:val="24"/>
                <w:lang w:val="lt-LT"/>
              </w:rPr>
              <w:t xml:space="preserve">Apmokestinimo klausimai yra ne šios Metodikos reguliavimo dalykas. Paaiškinimus dėl apmokestinimo PVM prireikus galėtų pateikti Valstybinė mokesčių inspekcija. </w:t>
            </w:r>
          </w:p>
        </w:tc>
      </w:tr>
      <w:tr w:rsidR="00FD5049" w:rsidRPr="0090147E" w14:paraId="67CA4D5F" w14:textId="77777777" w:rsidTr="00FB2253">
        <w:tc>
          <w:tcPr>
            <w:tcW w:w="2122" w:type="dxa"/>
            <w:tcBorders>
              <w:bottom w:val="nil"/>
            </w:tcBorders>
          </w:tcPr>
          <w:p w14:paraId="61515FDC" w14:textId="7C3A5C4C" w:rsidR="00FD5049" w:rsidRPr="0090147E" w:rsidRDefault="00FD5049" w:rsidP="00FD5049">
            <w:pPr>
              <w:rPr>
                <w:rFonts w:ascii="Times New Roman" w:hAnsi="Times New Roman" w:cs="Times New Roman"/>
                <w:sz w:val="24"/>
                <w:szCs w:val="24"/>
                <w:lang w:val="lt-LT"/>
              </w:rPr>
            </w:pPr>
            <w:r w:rsidRPr="0090147E">
              <w:rPr>
                <w:rFonts w:ascii="Times New Roman" w:hAnsi="Times New Roman" w:cs="Times New Roman"/>
                <w:sz w:val="24"/>
                <w:szCs w:val="24"/>
                <w:lang w:val="lt-LT"/>
              </w:rPr>
              <w:lastRenderedPageBreak/>
              <w:t xml:space="preserve">Lietuvos vairuotojų mokymo ir kvalifikacijos kėlimo mokyklų asociacija (2021-12-14 pateikta </w:t>
            </w:r>
            <w:proofErr w:type="spellStart"/>
            <w:r w:rsidRPr="0090147E">
              <w:rPr>
                <w:rFonts w:ascii="Times New Roman" w:hAnsi="Times New Roman" w:cs="Times New Roman"/>
                <w:sz w:val="24"/>
                <w:szCs w:val="24"/>
                <w:lang w:val="lt-LT"/>
              </w:rPr>
              <w:t>e.paštu</w:t>
            </w:r>
            <w:proofErr w:type="spellEnd"/>
            <w:r w:rsidRPr="0090147E">
              <w:rPr>
                <w:rFonts w:ascii="Times New Roman" w:hAnsi="Times New Roman" w:cs="Times New Roman"/>
                <w:sz w:val="24"/>
                <w:szCs w:val="24"/>
                <w:lang w:val="lt-LT"/>
              </w:rPr>
              <w:t>)</w:t>
            </w:r>
          </w:p>
        </w:tc>
        <w:tc>
          <w:tcPr>
            <w:tcW w:w="5811" w:type="dxa"/>
          </w:tcPr>
          <w:p w14:paraId="65F3CBD7" w14:textId="77777777" w:rsidR="00FD5049" w:rsidRPr="0090147E" w:rsidRDefault="00FD5049" w:rsidP="007A6EB1">
            <w:pPr>
              <w:jc w:val="both"/>
              <w:rPr>
                <w:rFonts w:ascii="Times New Roman" w:hAnsi="Times New Roman" w:cs="Times New Roman"/>
                <w:sz w:val="24"/>
                <w:szCs w:val="24"/>
                <w:lang w:val="lt-LT"/>
              </w:rPr>
            </w:pPr>
            <w:r w:rsidRPr="0090147E">
              <w:rPr>
                <w:rFonts w:ascii="Times New Roman" w:hAnsi="Times New Roman" w:cs="Times New Roman"/>
                <w:sz w:val="24"/>
                <w:szCs w:val="24"/>
                <w:lang w:val="lt-LT"/>
              </w:rPr>
              <w:t xml:space="preserve">1. Metodikos 2.3 papunktyje nurodoma, kad Metodika taikoma, kai kompetencijų vertinimas apmokamas privačių asmenų ar kitomis lėšomis. </w:t>
            </w:r>
          </w:p>
          <w:p w14:paraId="09D77821" w14:textId="54DFD73D" w:rsidR="00FD5049" w:rsidRPr="0090147E" w:rsidRDefault="00FD5049" w:rsidP="007A6EB1">
            <w:pPr>
              <w:jc w:val="both"/>
              <w:rPr>
                <w:rFonts w:ascii="Times New Roman" w:hAnsi="Times New Roman" w:cs="Times New Roman"/>
                <w:sz w:val="24"/>
                <w:szCs w:val="24"/>
                <w:lang w:val="lt-LT"/>
              </w:rPr>
            </w:pPr>
            <w:r w:rsidRPr="0090147E">
              <w:rPr>
                <w:rFonts w:ascii="Times New Roman" w:hAnsi="Times New Roman" w:cs="Times New Roman"/>
                <w:sz w:val="24"/>
                <w:szCs w:val="24"/>
                <w:lang w:val="lt-LT"/>
              </w:rPr>
              <w:t>Klausiama, ar čia turimi omenyje tik tie atvejai, kai Užimtumo tarnyba finansuoja asmenų mokymąsi pas privačius mokymosi teikėjus? Ar ši metodika privaloma ir privatiems teikėjams visais atvejais?</w:t>
            </w:r>
          </w:p>
        </w:tc>
        <w:tc>
          <w:tcPr>
            <w:tcW w:w="6763" w:type="dxa"/>
          </w:tcPr>
          <w:p w14:paraId="2A511AB9" w14:textId="77777777" w:rsidR="00FD5049" w:rsidRPr="0090147E" w:rsidRDefault="00FD5049" w:rsidP="007A6EB1">
            <w:pPr>
              <w:jc w:val="both"/>
              <w:rPr>
                <w:rFonts w:ascii="Times New Roman" w:hAnsi="Times New Roman" w:cs="Times New Roman"/>
                <w:sz w:val="24"/>
                <w:szCs w:val="24"/>
                <w:lang w:val="lt-LT"/>
              </w:rPr>
            </w:pPr>
            <w:r w:rsidRPr="0090147E">
              <w:rPr>
                <w:rFonts w:ascii="Times New Roman" w:hAnsi="Times New Roman" w:cs="Times New Roman"/>
                <w:b/>
                <w:bCs/>
                <w:sz w:val="24"/>
                <w:szCs w:val="24"/>
                <w:lang w:val="lt-LT"/>
              </w:rPr>
              <w:t>Atsižvelgta iš dalies.</w:t>
            </w:r>
            <w:r w:rsidRPr="0090147E">
              <w:rPr>
                <w:rFonts w:ascii="Times New Roman" w:hAnsi="Times New Roman" w:cs="Times New Roman"/>
                <w:sz w:val="24"/>
                <w:szCs w:val="24"/>
                <w:lang w:val="lt-LT"/>
              </w:rPr>
              <w:t xml:space="preserve"> Pagal patikslintą Metodikos 1 punkto redakciją Metodika taikoma visais atvejais, kuomet asmens kompetencijų vertinimas organizuojamas, vadovaujantis Asmens įgytų kompetencijų vertinimo tvarkos aprašu, išskyrus atvejus, kai Asmens įgytų kompetencijų vertinimo tvarkos apraše yra nustatytos šio aprašo taikymo išimtys.</w:t>
            </w:r>
          </w:p>
          <w:p w14:paraId="2A285179" w14:textId="047B03B4" w:rsidR="00FD5049" w:rsidRPr="0090147E" w:rsidRDefault="00FD5049" w:rsidP="007A6EB1">
            <w:pPr>
              <w:jc w:val="both"/>
              <w:rPr>
                <w:rFonts w:ascii="Times New Roman" w:hAnsi="Times New Roman" w:cs="Times New Roman"/>
                <w:sz w:val="24"/>
                <w:szCs w:val="24"/>
                <w:lang w:val="lt-LT"/>
              </w:rPr>
            </w:pPr>
            <w:r w:rsidRPr="0090147E">
              <w:rPr>
                <w:rFonts w:ascii="Times New Roman" w:hAnsi="Times New Roman" w:cs="Times New Roman"/>
                <w:sz w:val="24"/>
                <w:szCs w:val="24"/>
                <w:lang w:val="lt-LT"/>
              </w:rPr>
              <w:t>Privatiems teikėjams</w:t>
            </w:r>
            <w:r w:rsidRPr="0090147E">
              <w:rPr>
                <w:rFonts w:ascii="Times New Roman" w:hAnsi="Times New Roman" w:cs="Times New Roman"/>
                <w:b/>
                <w:bCs/>
                <w:sz w:val="24"/>
                <w:szCs w:val="24"/>
                <w:lang w:val="lt-LT"/>
              </w:rPr>
              <w:t xml:space="preserve"> </w:t>
            </w:r>
            <w:r w:rsidRPr="0090147E">
              <w:rPr>
                <w:rFonts w:ascii="Times New Roman" w:hAnsi="Times New Roman" w:cs="Times New Roman"/>
                <w:sz w:val="24"/>
                <w:szCs w:val="24"/>
                <w:lang w:val="lt-LT"/>
              </w:rPr>
              <w:t>Asmens įgytų kompetencijų vertinimo tvarkos apraše išimčių nenumatyta, todėl Metodika jiems yra taikoma visais atvejais.</w:t>
            </w:r>
          </w:p>
        </w:tc>
      </w:tr>
      <w:tr w:rsidR="00FD5049" w:rsidRPr="0090147E" w14:paraId="724A0831" w14:textId="77777777" w:rsidTr="00FB2253">
        <w:tc>
          <w:tcPr>
            <w:tcW w:w="2122" w:type="dxa"/>
            <w:tcBorders>
              <w:top w:val="nil"/>
              <w:bottom w:val="nil"/>
            </w:tcBorders>
          </w:tcPr>
          <w:p w14:paraId="57071B1D" w14:textId="77777777" w:rsidR="00FD5049" w:rsidRPr="0090147E" w:rsidRDefault="00FD5049" w:rsidP="00FD5049">
            <w:pPr>
              <w:rPr>
                <w:rFonts w:ascii="Times New Roman" w:hAnsi="Times New Roman" w:cs="Times New Roman"/>
                <w:sz w:val="24"/>
                <w:szCs w:val="24"/>
                <w:lang w:val="lt-LT"/>
              </w:rPr>
            </w:pPr>
          </w:p>
        </w:tc>
        <w:tc>
          <w:tcPr>
            <w:tcW w:w="5811" w:type="dxa"/>
          </w:tcPr>
          <w:p w14:paraId="7E49B15B" w14:textId="77777777" w:rsidR="00FD5049" w:rsidRPr="0090147E" w:rsidRDefault="00FD5049" w:rsidP="007A6EB1">
            <w:pPr>
              <w:jc w:val="both"/>
              <w:rPr>
                <w:rFonts w:ascii="Times New Roman" w:hAnsi="Times New Roman" w:cs="Times New Roman"/>
                <w:sz w:val="24"/>
                <w:szCs w:val="24"/>
                <w:lang w:val="lt-LT"/>
              </w:rPr>
            </w:pPr>
            <w:r w:rsidRPr="0090147E">
              <w:rPr>
                <w:rFonts w:ascii="Times New Roman" w:hAnsi="Times New Roman" w:cs="Times New Roman"/>
                <w:sz w:val="24"/>
                <w:szCs w:val="24"/>
                <w:lang w:val="lt-LT"/>
              </w:rPr>
              <w:t xml:space="preserve">2. Metodikos 4.3 papunktyje asmens įgytų kompetencijų vertinimo komisijos narių darbo užmokesčio lėšų apskaičiavimo formulėje asmenų skaičius grupėje, jei asmuo baigė formaliojo mokymo programą, yra 15. </w:t>
            </w:r>
          </w:p>
          <w:p w14:paraId="46A80D10" w14:textId="6C25ED43" w:rsidR="00FD5049" w:rsidRPr="0090147E" w:rsidRDefault="00FD5049" w:rsidP="007A6EB1">
            <w:pPr>
              <w:jc w:val="both"/>
              <w:rPr>
                <w:rFonts w:ascii="Times New Roman" w:hAnsi="Times New Roman" w:cs="Times New Roman"/>
                <w:sz w:val="24"/>
                <w:szCs w:val="24"/>
                <w:lang w:val="lt-LT"/>
              </w:rPr>
            </w:pPr>
            <w:r w:rsidRPr="0090147E">
              <w:rPr>
                <w:rFonts w:ascii="Times New Roman" w:hAnsi="Times New Roman" w:cs="Times New Roman"/>
                <w:sz w:val="24"/>
                <w:szCs w:val="24"/>
                <w:lang w:val="lt-LT"/>
              </w:rPr>
              <w:t>Realybėje daugumos mokymo teikėjų surenkamos mokinių grupės, ypač kai kalbame apie Užimtumo tarnybos finansuojamus asmenis, yra ženkliai mažesnės, iki 5 asmenų, todėl tokia formulė, esant mažam besimokančiųjų skaičiui, nepadengs visų vertinimo kaštų ir vers mokymo teikėjus juos dengti savo lėšomis.</w:t>
            </w:r>
          </w:p>
        </w:tc>
        <w:tc>
          <w:tcPr>
            <w:tcW w:w="6763" w:type="dxa"/>
          </w:tcPr>
          <w:p w14:paraId="3809FD5F" w14:textId="060C1143" w:rsidR="00FD5049" w:rsidRPr="0090147E" w:rsidRDefault="00FD5049" w:rsidP="007A6EB1">
            <w:pPr>
              <w:jc w:val="both"/>
              <w:rPr>
                <w:rFonts w:ascii="Times New Roman" w:hAnsi="Times New Roman" w:cs="Times New Roman"/>
                <w:sz w:val="24"/>
                <w:szCs w:val="24"/>
                <w:lang w:val="lt-LT"/>
              </w:rPr>
            </w:pPr>
            <w:r w:rsidRPr="0090147E">
              <w:rPr>
                <w:rFonts w:ascii="Times New Roman" w:hAnsi="Times New Roman" w:cs="Times New Roman"/>
                <w:b/>
                <w:bCs/>
                <w:sz w:val="24"/>
                <w:szCs w:val="24"/>
                <w:lang w:val="lt-LT"/>
              </w:rPr>
              <w:t xml:space="preserve">Atsižvelgta iš dalies. </w:t>
            </w:r>
            <w:r w:rsidRPr="0090147E">
              <w:rPr>
                <w:rFonts w:ascii="Times New Roman" w:hAnsi="Times New Roman"/>
                <w:sz w:val="24"/>
                <w:szCs w:val="32"/>
                <w:lang w:val="lt-LT"/>
              </w:rPr>
              <w:t>Metodikoje minėtas skaičius sumažintas iki 14. Daugiau mažinti šį skaičių nėra finansinių galimybių.</w:t>
            </w:r>
          </w:p>
        </w:tc>
      </w:tr>
      <w:tr w:rsidR="00FD5049" w:rsidRPr="0090147E" w14:paraId="4ADE42B7" w14:textId="77777777" w:rsidTr="00FB2253">
        <w:tc>
          <w:tcPr>
            <w:tcW w:w="2122" w:type="dxa"/>
            <w:tcBorders>
              <w:top w:val="nil"/>
            </w:tcBorders>
          </w:tcPr>
          <w:p w14:paraId="1D29221C" w14:textId="77777777" w:rsidR="00FD5049" w:rsidRPr="0090147E" w:rsidRDefault="00FD5049" w:rsidP="00FD5049">
            <w:pPr>
              <w:rPr>
                <w:rFonts w:ascii="Times New Roman" w:hAnsi="Times New Roman" w:cs="Times New Roman"/>
                <w:sz w:val="24"/>
                <w:szCs w:val="24"/>
                <w:lang w:val="lt-LT"/>
              </w:rPr>
            </w:pPr>
          </w:p>
        </w:tc>
        <w:tc>
          <w:tcPr>
            <w:tcW w:w="5811" w:type="dxa"/>
          </w:tcPr>
          <w:p w14:paraId="4E0E4BA3" w14:textId="69A1CE6C" w:rsidR="00FD5049" w:rsidRPr="0090147E" w:rsidRDefault="00BD25BC" w:rsidP="00FD5049">
            <w:pPr>
              <w:rPr>
                <w:rFonts w:ascii="Times New Roman" w:hAnsi="Times New Roman" w:cs="Times New Roman"/>
                <w:sz w:val="24"/>
                <w:szCs w:val="24"/>
                <w:lang w:val="lt-LT"/>
              </w:rPr>
            </w:pPr>
            <w:r w:rsidRPr="0090147E">
              <w:rPr>
                <w:rFonts w:ascii="Times New Roman" w:hAnsi="Times New Roman" w:cs="Times New Roman"/>
                <w:sz w:val="24"/>
                <w:szCs w:val="24"/>
                <w:lang w:val="lt-LT"/>
              </w:rPr>
              <w:t xml:space="preserve">3. </w:t>
            </w:r>
            <w:r w:rsidR="00316C43" w:rsidRPr="0090147E">
              <w:rPr>
                <w:rFonts w:ascii="Times New Roman" w:hAnsi="Times New Roman" w:cs="Times New Roman"/>
                <w:sz w:val="24"/>
                <w:szCs w:val="24"/>
                <w:lang w:val="lt-LT"/>
              </w:rPr>
              <w:t>Kyla klausimas, ar yra pakankamai įvertintos sąnaudos praktinių užduočių atlikimui, kai dar nėra žinomos ir paskelbtos pačios užduotys?</w:t>
            </w:r>
          </w:p>
        </w:tc>
        <w:tc>
          <w:tcPr>
            <w:tcW w:w="6763" w:type="dxa"/>
          </w:tcPr>
          <w:p w14:paraId="5FCB697A" w14:textId="69AB7D53" w:rsidR="00316C43" w:rsidRPr="0090147E" w:rsidRDefault="00316C43" w:rsidP="00527413">
            <w:pPr>
              <w:pStyle w:val="prastasiniatinklio"/>
              <w:shd w:val="clear" w:color="auto" w:fill="FFFFFF"/>
              <w:spacing w:before="0" w:beforeAutospacing="0" w:after="0" w:afterAutospacing="0"/>
              <w:jc w:val="both"/>
            </w:pPr>
            <w:r w:rsidRPr="0090147E">
              <w:rPr>
                <w:b/>
                <w:bCs/>
                <w:color w:val="201F1E"/>
              </w:rPr>
              <w:t>Neatsižvelgta</w:t>
            </w:r>
            <w:r w:rsidRPr="0090147E">
              <w:rPr>
                <w:color w:val="201F1E"/>
              </w:rPr>
              <w:t xml:space="preserve">. Pažymėtina, kad nėra galimybių įvertinti kiekvienai individualiai praktinei užduočiai būtinų priemonių poreikį, todėl Metodikoje lėšos </w:t>
            </w:r>
            <w:bookmarkStart w:id="1" w:name="_Hlk88641102"/>
            <w:r w:rsidRPr="0090147E">
              <w:t>priemonėms praktinei užduočiai atlikti</w:t>
            </w:r>
            <w:bookmarkEnd w:id="1"/>
            <w:r w:rsidRPr="0090147E">
              <w:t xml:space="preserve"> yra </w:t>
            </w:r>
            <w:r w:rsidR="0090147E" w:rsidRPr="0090147E">
              <w:t>skaičiuojamos,</w:t>
            </w:r>
            <w:r w:rsidRPr="0090147E">
              <w:t xml:space="preserve"> atsižvelgiant į šių priemonių brangumą pagal švietimo </w:t>
            </w:r>
            <w:proofErr w:type="spellStart"/>
            <w:r w:rsidRPr="0090147E">
              <w:t>posričius</w:t>
            </w:r>
            <w:proofErr w:type="spellEnd"/>
            <w:r w:rsidRPr="0090147E">
              <w:t xml:space="preserve"> (taikant </w:t>
            </w:r>
            <w:r w:rsidRPr="0090147E">
              <w:rPr>
                <w:color w:val="000000"/>
              </w:rPr>
              <w:t xml:space="preserve">brangumo koeficientą, nustatytą </w:t>
            </w:r>
            <w:r w:rsidRPr="0090147E">
              <w:t>Profesinio mokymo lėšų skaičiavimo vienam mokiniui, kuris mokosi pagal formaliojo profesinio mokymo programą (išskyrus pataisos pareigūnų profesinio mokymo ir vidaus reikalų profesinio mokymo įstaigų vykdomas programas), metodikoje).</w:t>
            </w:r>
          </w:p>
          <w:p w14:paraId="1578804A" w14:textId="6BD795BD" w:rsidR="00FD5049" w:rsidRPr="0090147E" w:rsidRDefault="00527413" w:rsidP="00527413">
            <w:pPr>
              <w:pStyle w:val="prastasiniatinklio"/>
              <w:shd w:val="clear" w:color="auto" w:fill="FFFFFF"/>
              <w:spacing w:before="0" w:beforeAutospacing="0" w:after="0" w:afterAutospacing="0"/>
              <w:jc w:val="both"/>
            </w:pPr>
            <w:r w:rsidRPr="0090147E">
              <w:t>Taip pat atkreiptinas dėmesys, kad p</w:t>
            </w:r>
            <w:r w:rsidR="00316C43" w:rsidRPr="0090147E">
              <w:t>agal Asmens įgytų kompetencijų vertinimo tvarkos aprašą akredituotos vertinimo institucijos</w:t>
            </w:r>
            <w:r w:rsidRPr="0090147E">
              <w:t xml:space="preserve"> </w:t>
            </w:r>
            <w:r w:rsidR="00316C43" w:rsidRPr="0090147E">
              <w:t>vertina (</w:t>
            </w:r>
            <w:proofErr w:type="spellStart"/>
            <w:r w:rsidR="00316C43" w:rsidRPr="0090147E">
              <w:t>validuoja</w:t>
            </w:r>
            <w:proofErr w:type="spellEnd"/>
            <w:r w:rsidR="00316C43" w:rsidRPr="0090147E">
              <w:t xml:space="preserve">) praktinių gebėjimų demonstravimo užduotis ir jų vertinimo instrukcijas, teikia išvadas dėl jų tinkamumo ir atitikties profesinių standartų reikalavimams. </w:t>
            </w:r>
            <w:r w:rsidR="00D37100" w:rsidRPr="00D37100">
              <w:t>Paruošt</w:t>
            </w:r>
            <w:r w:rsidR="00BA30BC">
              <w:t>oms</w:t>
            </w:r>
            <w:r w:rsidR="00D37100" w:rsidRPr="00D37100">
              <w:t xml:space="preserve"> užduo</w:t>
            </w:r>
            <w:r w:rsidR="00BA30BC">
              <w:t>tims</w:t>
            </w:r>
            <w:r w:rsidR="00D37100" w:rsidRPr="00D37100">
              <w:t xml:space="preserve"> </w:t>
            </w:r>
            <w:proofErr w:type="spellStart"/>
            <w:r w:rsidR="00D37100" w:rsidRPr="00D37100">
              <w:t>valid</w:t>
            </w:r>
            <w:r w:rsidR="00BA30BC">
              <w:t>uot</w:t>
            </w:r>
            <w:r w:rsidR="00D37100" w:rsidRPr="00D37100">
              <w:t>i</w:t>
            </w:r>
            <w:proofErr w:type="spellEnd"/>
            <w:r w:rsidR="00D37100" w:rsidRPr="00D37100">
              <w:t xml:space="preserve"> buvo skelbiamos viešos atrankos</w:t>
            </w:r>
            <w:r w:rsidR="00316C43" w:rsidRPr="0090147E">
              <w:t>.</w:t>
            </w:r>
            <w:r w:rsidR="00A27D81">
              <w:t xml:space="preserve"> </w:t>
            </w:r>
            <w:r w:rsidR="00654D87">
              <w:t>Kitų u</w:t>
            </w:r>
            <w:r w:rsidR="00A27D81">
              <w:t>žduočių skelbimo atvej</w:t>
            </w:r>
            <w:r w:rsidR="00654D87">
              <w:t>ų</w:t>
            </w:r>
            <w:r w:rsidR="00A27D81">
              <w:t xml:space="preserve"> teisės aktai nenumato.</w:t>
            </w:r>
          </w:p>
        </w:tc>
      </w:tr>
    </w:tbl>
    <w:p w14:paraId="598093E8" w14:textId="68253D4D" w:rsidR="001006EE" w:rsidRPr="00EB25A8" w:rsidRDefault="007A6EB1" w:rsidP="00FF107C">
      <w:pPr>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_____________________</w:t>
      </w:r>
    </w:p>
    <w:sectPr w:rsidR="001006EE" w:rsidRPr="00EB25A8" w:rsidSect="006B62C0">
      <w:headerReference w:type="default" r:id="rId7"/>
      <w:pgSz w:w="15840" w:h="12240" w:orient="landscape"/>
      <w:pgMar w:top="851" w:right="567" w:bottom="284" w:left="56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9E790" w14:textId="77777777" w:rsidR="00DA6C47" w:rsidRDefault="00DA6C47" w:rsidP="0013721B">
      <w:pPr>
        <w:spacing w:after="0" w:line="240" w:lineRule="auto"/>
      </w:pPr>
      <w:r>
        <w:separator/>
      </w:r>
    </w:p>
  </w:endnote>
  <w:endnote w:type="continuationSeparator" w:id="0">
    <w:p w14:paraId="5416412B" w14:textId="77777777" w:rsidR="00DA6C47" w:rsidRDefault="00DA6C47" w:rsidP="00137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BC449" w14:textId="77777777" w:rsidR="00DA6C47" w:rsidRDefault="00DA6C47" w:rsidP="0013721B">
      <w:pPr>
        <w:spacing w:after="0" w:line="240" w:lineRule="auto"/>
      </w:pPr>
      <w:r>
        <w:separator/>
      </w:r>
    </w:p>
  </w:footnote>
  <w:footnote w:type="continuationSeparator" w:id="0">
    <w:p w14:paraId="0A08D177" w14:textId="77777777" w:rsidR="00DA6C47" w:rsidRDefault="00DA6C47" w:rsidP="001372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58870815"/>
      <w:docPartObj>
        <w:docPartGallery w:val="Page Numbers (Top of Page)"/>
        <w:docPartUnique/>
      </w:docPartObj>
    </w:sdtPr>
    <w:sdtEndPr/>
    <w:sdtContent>
      <w:p w14:paraId="6941B8D7" w14:textId="208CCC4A" w:rsidR="0013721B" w:rsidRPr="0013721B" w:rsidRDefault="0013721B">
        <w:pPr>
          <w:pStyle w:val="Antrats"/>
          <w:jc w:val="center"/>
          <w:rPr>
            <w:rFonts w:ascii="Times New Roman" w:hAnsi="Times New Roman" w:cs="Times New Roman"/>
            <w:sz w:val="24"/>
            <w:szCs w:val="24"/>
          </w:rPr>
        </w:pPr>
        <w:r w:rsidRPr="0013721B">
          <w:rPr>
            <w:rFonts w:ascii="Times New Roman" w:hAnsi="Times New Roman" w:cs="Times New Roman"/>
            <w:sz w:val="24"/>
            <w:szCs w:val="24"/>
          </w:rPr>
          <w:fldChar w:fldCharType="begin"/>
        </w:r>
        <w:r w:rsidRPr="0013721B">
          <w:rPr>
            <w:rFonts w:ascii="Times New Roman" w:hAnsi="Times New Roman" w:cs="Times New Roman"/>
            <w:sz w:val="24"/>
            <w:szCs w:val="24"/>
          </w:rPr>
          <w:instrText>PAGE   \* MERGEFORMAT</w:instrText>
        </w:r>
        <w:r w:rsidRPr="0013721B">
          <w:rPr>
            <w:rFonts w:ascii="Times New Roman" w:hAnsi="Times New Roman" w:cs="Times New Roman"/>
            <w:sz w:val="24"/>
            <w:szCs w:val="24"/>
          </w:rPr>
          <w:fldChar w:fldCharType="separate"/>
        </w:r>
        <w:r w:rsidR="0015323C" w:rsidRPr="0015323C">
          <w:rPr>
            <w:rFonts w:ascii="Times New Roman" w:hAnsi="Times New Roman" w:cs="Times New Roman"/>
            <w:noProof/>
            <w:sz w:val="24"/>
            <w:szCs w:val="24"/>
            <w:lang w:val="lt-LT"/>
          </w:rPr>
          <w:t>6</w:t>
        </w:r>
        <w:r w:rsidRPr="0013721B">
          <w:rPr>
            <w:rFonts w:ascii="Times New Roman" w:hAnsi="Times New Roman" w:cs="Times New Roman"/>
            <w:sz w:val="24"/>
            <w:szCs w:val="24"/>
          </w:rPr>
          <w:fldChar w:fldCharType="end"/>
        </w:r>
      </w:p>
    </w:sdtContent>
  </w:sdt>
  <w:p w14:paraId="4BF9273D" w14:textId="77777777" w:rsidR="0013721B" w:rsidRDefault="001372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1430A6"/>
    <w:multiLevelType w:val="hybridMultilevel"/>
    <w:tmpl w:val="B61E2D26"/>
    <w:lvl w:ilvl="0" w:tplc="CCC67AE8">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6EE"/>
    <w:rsid w:val="00002C33"/>
    <w:rsid w:val="00056F7B"/>
    <w:rsid w:val="000648C0"/>
    <w:rsid w:val="00090B1F"/>
    <w:rsid w:val="000A7A48"/>
    <w:rsid w:val="001006EE"/>
    <w:rsid w:val="001028EB"/>
    <w:rsid w:val="00110169"/>
    <w:rsid w:val="0013319F"/>
    <w:rsid w:val="0013721B"/>
    <w:rsid w:val="00137927"/>
    <w:rsid w:val="0015323C"/>
    <w:rsid w:val="001726FE"/>
    <w:rsid w:val="001A5478"/>
    <w:rsid w:val="001D197A"/>
    <w:rsid w:val="00217205"/>
    <w:rsid w:val="002432D7"/>
    <w:rsid w:val="002B2E56"/>
    <w:rsid w:val="00316C43"/>
    <w:rsid w:val="003B032C"/>
    <w:rsid w:val="00470DFF"/>
    <w:rsid w:val="004B39DA"/>
    <w:rsid w:val="004C59D0"/>
    <w:rsid w:val="004F3756"/>
    <w:rsid w:val="00527413"/>
    <w:rsid w:val="0053089B"/>
    <w:rsid w:val="00535300"/>
    <w:rsid w:val="00550408"/>
    <w:rsid w:val="005D027F"/>
    <w:rsid w:val="005F4E05"/>
    <w:rsid w:val="006040A6"/>
    <w:rsid w:val="006221B6"/>
    <w:rsid w:val="00642D42"/>
    <w:rsid w:val="00654D87"/>
    <w:rsid w:val="006B2372"/>
    <w:rsid w:val="006B62C0"/>
    <w:rsid w:val="00716DF8"/>
    <w:rsid w:val="00723E42"/>
    <w:rsid w:val="00734A26"/>
    <w:rsid w:val="007713E6"/>
    <w:rsid w:val="00780818"/>
    <w:rsid w:val="007A6EB1"/>
    <w:rsid w:val="0080473E"/>
    <w:rsid w:val="00811547"/>
    <w:rsid w:val="00881A9F"/>
    <w:rsid w:val="00896F7D"/>
    <w:rsid w:val="008C1C43"/>
    <w:rsid w:val="008D6B7C"/>
    <w:rsid w:val="0090147E"/>
    <w:rsid w:val="00914EE8"/>
    <w:rsid w:val="009710FC"/>
    <w:rsid w:val="009B0296"/>
    <w:rsid w:val="009B3571"/>
    <w:rsid w:val="009C7C0B"/>
    <w:rsid w:val="009F5DB4"/>
    <w:rsid w:val="00A22535"/>
    <w:rsid w:val="00A24F21"/>
    <w:rsid w:val="00A27D81"/>
    <w:rsid w:val="00A30A22"/>
    <w:rsid w:val="00A32F3E"/>
    <w:rsid w:val="00A821A1"/>
    <w:rsid w:val="00A83476"/>
    <w:rsid w:val="00AA0E1C"/>
    <w:rsid w:val="00AC48AA"/>
    <w:rsid w:val="00AF018B"/>
    <w:rsid w:val="00B32B77"/>
    <w:rsid w:val="00B412F1"/>
    <w:rsid w:val="00B42246"/>
    <w:rsid w:val="00B620A6"/>
    <w:rsid w:val="00BA30BC"/>
    <w:rsid w:val="00BD25BC"/>
    <w:rsid w:val="00BE287F"/>
    <w:rsid w:val="00C123AF"/>
    <w:rsid w:val="00C67C94"/>
    <w:rsid w:val="00CF146A"/>
    <w:rsid w:val="00D368F4"/>
    <w:rsid w:val="00D37100"/>
    <w:rsid w:val="00D37224"/>
    <w:rsid w:val="00D44000"/>
    <w:rsid w:val="00D50465"/>
    <w:rsid w:val="00D869D6"/>
    <w:rsid w:val="00DA6C47"/>
    <w:rsid w:val="00DD1D76"/>
    <w:rsid w:val="00DF44F2"/>
    <w:rsid w:val="00E02843"/>
    <w:rsid w:val="00E056C7"/>
    <w:rsid w:val="00E115B6"/>
    <w:rsid w:val="00E474A4"/>
    <w:rsid w:val="00E52635"/>
    <w:rsid w:val="00EA28A7"/>
    <w:rsid w:val="00EB25A8"/>
    <w:rsid w:val="00EC30F0"/>
    <w:rsid w:val="00EE4982"/>
    <w:rsid w:val="00F5159F"/>
    <w:rsid w:val="00FB2253"/>
    <w:rsid w:val="00FD5049"/>
    <w:rsid w:val="00FF1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4D25A"/>
  <w15:docId w15:val="{3D5584F9-FC53-4A82-9246-75C1257EC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287F"/>
    <w:rPr>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006E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1006EE"/>
    <w:pPr>
      <w:spacing w:after="0" w:line="240" w:lineRule="auto"/>
      <w:ind w:left="720"/>
      <w:contextualSpacing/>
    </w:pPr>
    <w:rPr>
      <w:rFonts w:ascii="Times New Roman" w:eastAsia="Times New Roman" w:hAnsi="Times New Roman" w:cs="Times New Roman"/>
      <w:sz w:val="24"/>
      <w:szCs w:val="20"/>
      <w:lang w:val="lt-LT"/>
    </w:rPr>
  </w:style>
  <w:style w:type="character" w:customStyle="1" w:styleId="SraopastraipaDiagrama">
    <w:name w:val="Sąrašo pastraipa Diagrama"/>
    <w:link w:val="Sraopastraipa"/>
    <w:uiPriority w:val="34"/>
    <w:qFormat/>
    <w:rsid w:val="001006EE"/>
    <w:rPr>
      <w:rFonts w:ascii="Times New Roman" w:eastAsia="Times New Roman" w:hAnsi="Times New Roman" w:cs="Times New Roman"/>
      <w:sz w:val="24"/>
      <w:szCs w:val="20"/>
      <w:lang w:val="lt-LT"/>
    </w:rPr>
  </w:style>
  <w:style w:type="paragraph" w:customStyle="1" w:styleId="AssecoParagraphNormalFirstLine">
    <w:name w:val="Asseco Paragraph Normal First Line"/>
    <w:basedOn w:val="prastasis"/>
    <w:qFormat/>
    <w:rsid w:val="001006EE"/>
    <w:pPr>
      <w:spacing w:after="0" w:line="240" w:lineRule="auto"/>
      <w:ind w:firstLine="709"/>
      <w:jc w:val="both"/>
    </w:pPr>
    <w:rPr>
      <w:rFonts w:ascii="Calibri" w:eastAsia="Times New Roman" w:hAnsi="Calibri" w:cs="Times New Roman"/>
      <w:szCs w:val="20"/>
      <w:lang w:val="lt-LT" w:eastAsia="pl-PL"/>
    </w:rPr>
  </w:style>
  <w:style w:type="paragraph" w:styleId="Antrats">
    <w:name w:val="header"/>
    <w:basedOn w:val="prastasis"/>
    <w:link w:val="AntratsDiagrama"/>
    <w:uiPriority w:val="99"/>
    <w:unhideWhenUsed/>
    <w:rsid w:val="0013721B"/>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3721B"/>
    <w:rPr>
      <w:lang w:val="en-GB"/>
    </w:rPr>
  </w:style>
  <w:style w:type="paragraph" w:styleId="Porat">
    <w:name w:val="footer"/>
    <w:basedOn w:val="prastasis"/>
    <w:link w:val="PoratDiagrama"/>
    <w:uiPriority w:val="99"/>
    <w:unhideWhenUsed/>
    <w:rsid w:val="0013721B"/>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3721B"/>
    <w:rPr>
      <w:lang w:val="en-GB"/>
    </w:rPr>
  </w:style>
  <w:style w:type="paragraph" w:styleId="Debesliotekstas">
    <w:name w:val="Balloon Text"/>
    <w:basedOn w:val="prastasis"/>
    <w:link w:val="DebesliotekstasDiagrama"/>
    <w:uiPriority w:val="99"/>
    <w:semiHidden/>
    <w:unhideWhenUsed/>
    <w:rsid w:val="00D3722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7224"/>
    <w:rPr>
      <w:rFonts w:ascii="Tahoma" w:hAnsi="Tahoma" w:cs="Tahoma"/>
      <w:sz w:val="16"/>
      <w:szCs w:val="16"/>
      <w:lang w:val="en-GB"/>
    </w:rPr>
  </w:style>
  <w:style w:type="paragraph" w:styleId="prastasiniatinklio">
    <w:name w:val="Normal (Web)"/>
    <w:basedOn w:val="prastasis"/>
    <w:uiPriority w:val="99"/>
    <w:semiHidden/>
    <w:unhideWhenUsed/>
    <w:rsid w:val="00316C43"/>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Pataisymai">
    <w:name w:val="Revision"/>
    <w:hidden/>
    <w:uiPriority w:val="99"/>
    <w:semiHidden/>
    <w:rsid w:val="00BA30BC"/>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85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0B7D4B-27C4-45E9-829A-A1FF0F0A4055}"/>
</file>

<file path=customXml/itemProps2.xml><?xml version="1.0" encoding="utf-8"?>
<ds:datastoreItem xmlns:ds="http://schemas.openxmlformats.org/officeDocument/2006/customXml" ds:itemID="{44D0E56C-F958-42C4-9ED3-51DBF1150BAE}"/>
</file>

<file path=customXml/itemProps3.xml><?xml version="1.0" encoding="utf-8"?>
<ds:datastoreItem xmlns:ds="http://schemas.openxmlformats.org/officeDocument/2006/customXml" ds:itemID="{59D67CAD-E464-48A2-AA10-52C7CF1EF070}"/>
</file>

<file path=docProps/app.xml><?xml version="1.0" encoding="utf-8"?>
<Properties xmlns="http://schemas.openxmlformats.org/officeDocument/2006/extended-properties" xmlns:vt="http://schemas.openxmlformats.org/officeDocument/2006/docPropsVTypes">
  <Template>Normal</Template>
  <TotalTime>0</TotalTime>
  <Pages>2</Pages>
  <Words>3866</Words>
  <Characters>2204</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5559788a-de18-4643-aef1-448bdfb9ca61</dc:title>
  <dc:creator>Radėnienė Eglė | ŠMSM</dc:creator>
  <cp:lastModifiedBy>Naudžiuvienė Vitalija | ŠMSM</cp:lastModifiedBy>
  <cp:revision>2</cp:revision>
  <dcterms:created xsi:type="dcterms:W3CDTF">2021-12-20T11:08:00Z</dcterms:created>
  <dcterms:modified xsi:type="dcterms:W3CDTF">2021-12-20T11:08:00Z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