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638E9" w14:textId="77777777" w:rsidR="008709CE" w:rsidRPr="00753980" w:rsidRDefault="008709CE" w:rsidP="00541503">
      <w:pPr>
        <w:spacing w:after="0"/>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 xml:space="preserve">DERINIMO PAŽYMA  </w:t>
      </w:r>
    </w:p>
    <w:p w14:paraId="76E1F511" w14:textId="44B30E65" w:rsidR="008709CE" w:rsidRPr="00753980" w:rsidRDefault="008709CE" w:rsidP="00541503">
      <w:pPr>
        <w:spacing w:after="0"/>
        <w:jc w:val="center"/>
        <w:rPr>
          <w:rFonts w:ascii="Times New Roman" w:hAnsi="Times New Roman" w:cs="Times New Roman"/>
          <w:b/>
          <w:color w:val="000000" w:themeColor="text1"/>
          <w:sz w:val="24"/>
          <w:szCs w:val="24"/>
        </w:rPr>
      </w:pPr>
      <w:r w:rsidRPr="00753980">
        <w:rPr>
          <w:rFonts w:ascii="Times New Roman" w:eastAsia="Times New Roman" w:hAnsi="Times New Roman" w:cs="Times New Roman"/>
          <w:b/>
          <w:bCs/>
          <w:color w:val="000000" w:themeColor="text1"/>
          <w:sz w:val="24"/>
          <w:szCs w:val="24"/>
          <w:lang w:eastAsia="lt-LT"/>
        </w:rPr>
        <w:t xml:space="preserve">DĖL </w:t>
      </w:r>
      <w:r w:rsidRPr="00753980">
        <w:rPr>
          <w:rFonts w:ascii="Times New Roman" w:hAnsi="Times New Roman" w:cs="Times New Roman"/>
          <w:b/>
          <w:color w:val="000000"/>
          <w:sz w:val="24"/>
          <w:szCs w:val="24"/>
        </w:rPr>
        <w:t>LIETUVOS RESPUBLIKOS BAUDŽIAMOJO KODEKSO 9</w:t>
      </w:r>
      <w:r w:rsidRPr="00753980">
        <w:rPr>
          <w:rFonts w:ascii="Times New Roman" w:hAnsi="Times New Roman" w:cs="Times New Roman"/>
          <w:b/>
          <w:color w:val="000000"/>
          <w:sz w:val="24"/>
          <w:szCs w:val="24"/>
          <w:vertAlign w:val="superscript"/>
        </w:rPr>
        <w:t>1</w:t>
      </w:r>
      <w:r w:rsidRPr="00753980">
        <w:rPr>
          <w:rFonts w:ascii="Times New Roman" w:hAnsi="Times New Roman" w:cs="Times New Roman"/>
          <w:b/>
          <w:color w:val="000000"/>
          <w:sz w:val="24"/>
          <w:szCs w:val="24"/>
        </w:rPr>
        <w:t>, 118 IR 119 STRAIPSNIŲ PAKEITIMO ĮSTATYMO</w:t>
      </w:r>
      <w:r w:rsidR="00EA64EA">
        <w:rPr>
          <w:rFonts w:ascii="Times New Roman" w:hAnsi="Times New Roman" w:cs="Times New Roman"/>
          <w:b/>
          <w:color w:val="000000"/>
          <w:sz w:val="24"/>
          <w:szCs w:val="24"/>
        </w:rPr>
        <w:t>,</w:t>
      </w:r>
      <w:r w:rsidRPr="00753980">
        <w:rPr>
          <w:rFonts w:ascii="Times New Roman" w:hAnsi="Times New Roman" w:cs="Times New Roman"/>
          <w:b/>
          <w:color w:val="000000"/>
          <w:sz w:val="24"/>
          <w:szCs w:val="24"/>
        </w:rPr>
        <w:t xml:space="preserve"> LIETUVOS RESPUBLIKOS BAUDŽIAMOJO PROCESO KODEKSO 71</w:t>
      </w:r>
      <w:r w:rsidRPr="00753980">
        <w:rPr>
          <w:rFonts w:ascii="Times New Roman" w:hAnsi="Times New Roman" w:cs="Times New Roman"/>
          <w:b/>
          <w:color w:val="000000"/>
          <w:sz w:val="24"/>
          <w:szCs w:val="24"/>
          <w:vertAlign w:val="superscript"/>
        </w:rPr>
        <w:t>1</w:t>
      </w:r>
      <w:r w:rsidRPr="00753980">
        <w:rPr>
          <w:rFonts w:ascii="Times New Roman" w:hAnsi="Times New Roman" w:cs="Times New Roman"/>
          <w:b/>
          <w:color w:val="000000"/>
          <w:sz w:val="24"/>
          <w:szCs w:val="24"/>
        </w:rPr>
        <w:t>,</w:t>
      </w:r>
      <w:r w:rsidR="00EA64EA">
        <w:rPr>
          <w:rFonts w:ascii="Times New Roman" w:hAnsi="Times New Roman" w:cs="Times New Roman"/>
          <w:b/>
          <w:color w:val="000000"/>
          <w:sz w:val="24"/>
          <w:szCs w:val="24"/>
        </w:rPr>
        <w:t xml:space="preserve"> 73,</w:t>
      </w:r>
      <w:r w:rsidRPr="00753980">
        <w:rPr>
          <w:rFonts w:ascii="Times New Roman" w:hAnsi="Times New Roman" w:cs="Times New Roman"/>
          <w:b/>
          <w:color w:val="000000"/>
          <w:sz w:val="24"/>
          <w:szCs w:val="24"/>
        </w:rPr>
        <w:t xml:space="preserve"> 77</w:t>
      </w:r>
      <w:r w:rsidRPr="00753980">
        <w:rPr>
          <w:rFonts w:ascii="Times New Roman" w:hAnsi="Times New Roman" w:cs="Times New Roman"/>
          <w:b/>
          <w:color w:val="000000"/>
          <w:sz w:val="24"/>
          <w:szCs w:val="24"/>
          <w:vertAlign w:val="superscript"/>
        </w:rPr>
        <w:t>1</w:t>
      </w:r>
      <w:r w:rsidRPr="00753980">
        <w:rPr>
          <w:rFonts w:ascii="Times New Roman" w:hAnsi="Times New Roman" w:cs="Times New Roman"/>
          <w:b/>
          <w:color w:val="000000"/>
          <w:sz w:val="24"/>
          <w:szCs w:val="24"/>
        </w:rPr>
        <w:t>, 212, 254, 303 IR 327 STRAIPSNIŲ PAKEITIMO ĮSTATYMO</w:t>
      </w:r>
      <w:r w:rsidR="000C3E7C">
        <w:rPr>
          <w:rFonts w:ascii="Times New Roman" w:hAnsi="Times New Roman" w:cs="Times New Roman"/>
          <w:b/>
          <w:color w:val="000000"/>
          <w:sz w:val="24"/>
          <w:szCs w:val="24"/>
        </w:rPr>
        <w:t xml:space="preserve"> IR</w:t>
      </w:r>
      <w:r w:rsidR="000C3E7C" w:rsidRPr="000C3E7C">
        <w:t xml:space="preserve"> </w:t>
      </w:r>
      <w:r w:rsidR="000C3E7C" w:rsidRPr="000C3E7C">
        <w:rPr>
          <w:rFonts w:ascii="Times New Roman" w:hAnsi="Times New Roman" w:cs="Times New Roman"/>
          <w:b/>
          <w:color w:val="000000"/>
          <w:sz w:val="24"/>
          <w:szCs w:val="24"/>
        </w:rPr>
        <w:t>LIETUVOS RESPUBLIKOS SUĖMIMO VYKDYMO ĮSTATYMO NR. I-1175 7 IR 8 STRAIPSNIŲ PAKEITIMO ĮSTATYMO</w:t>
      </w:r>
      <w:r w:rsidRPr="00753980">
        <w:rPr>
          <w:rFonts w:ascii="Times New Roman" w:hAnsi="Times New Roman" w:cs="Times New Roman"/>
          <w:b/>
          <w:color w:val="000000"/>
          <w:sz w:val="24"/>
          <w:szCs w:val="24"/>
        </w:rPr>
        <w:t xml:space="preserve"> PROJEKTŲ </w:t>
      </w:r>
    </w:p>
    <w:tbl>
      <w:tblPr>
        <w:tblStyle w:val="TableGrid"/>
        <w:tblW w:w="0" w:type="auto"/>
        <w:tblLook w:val="04A0" w:firstRow="1" w:lastRow="0" w:firstColumn="1" w:lastColumn="0" w:noHBand="0" w:noVBand="1"/>
      </w:tblPr>
      <w:tblGrid>
        <w:gridCol w:w="2689"/>
        <w:gridCol w:w="6804"/>
        <w:gridCol w:w="5499"/>
      </w:tblGrid>
      <w:tr w:rsidR="008709CE" w:rsidRPr="00753980" w14:paraId="7768EFD6" w14:textId="77777777" w:rsidTr="0041559F">
        <w:trPr>
          <w:trHeight w:val="1280"/>
        </w:trPr>
        <w:tc>
          <w:tcPr>
            <w:tcW w:w="2689" w:type="dxa"/>
            <w:vAlign w:val="center"/>
          </w:tcPr>
          <w:p w14:paraId="558396BE" w14:textId="77777777" w:rsidR="008709CE" w:rsidRPr="00753980" w:rsidRDefault="008709CE" w:rsidP="0041559F">
            <w:pPr>
              <w:spacing w:after="0"/>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 xml:space="preserve">Suinteresuotos institucijos, į kurių pastabas ir pasiūlymus neatsižvelgta </w:t>
            </w:r>
          </w:p>
        </w:tc>
        <w:tc>
          <w:tcPr>
            <w:tcW w:w="6804" w:type="dxa"/>
            <w:vAlign w:val="center"/>
          </w:tcPr>
          <w:p w14:paraId="343AE3BF" w14:textId="77777777" w:rsidR="008709CE" w:rsidRPr="00753980" w:rsidRDefault="008709CE" w:rsidP="00D74A15">
            <w:pPr>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Suinteresuotų institucijų ir asmenų pastabos ir pasiūlymai, į kuriuos neatsižvelgta arba atsižvelgta iš dalies</w:t>
            </w:r>
          </w:p>
        </w:tc>
        <w:tc>
          <w:tcPr>
            <w:tcW w:w="5499" w:type="dxa"/>
            <w:vAlign w:val="center"/>
          </w:tcPr>
          <w:p w14:paraId="523FDF5E" w14:textId="77777777" w:rsidR="008709CE" w:rsidRPr="00753980" w:rsidRDefault="008709CE" w:rsidP="00D74A15">
            <w:pPr>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Argumentai, kodėl neatsižvelgta arba tik iš dalies atsižvelgta į suinteresuotų institucijų ir asmenų pastabas ir pasiūlymus</w:t>
            </w:r>
          </w:p>
        </w:tc>
      </w:tr>
      <w:tr w:rsidR="00955BFC" w:rsidRPr="00753980" w14:paraId="40DFF6A0" w14:textId="77777777" w:rsidTr="0041559F">
        <w:tblPrEx>
          <w:tblLook w:val="0000" w:firstRow="0" w:lastRow="0" w:firstColumn="0" w:lastColumn="0" w:noHBand="0" w:noVBand="0"/>
        </w:tblPrEx>
        <w:trPr>
          <w:trHeight w:val="567"/>
        </w:trPr>
        <w:tc>
          <w:tcPr>
            <w:tcW w:w="2689" w:type="dxa"/>
            <w:vMerge w:val="restart"/>
          </w:tcPr>
          <w:p w14:paraId="71C1B481" w14:textId="4C40697B" w:rsidR="00955BFC" w:rsidRPr="00753980" w:rsidRDefault="00955BFC" w:rsidP="00541503">
            <w:pPr>
              <w:spacing w:after="0"/>
              <w:rPr>
                <w:rFonts w:ascii="Times New Roman" w:hAnsi="Times New Roman" w:cs="Times New Roman"/>
                <w:color w:val="000000" w:themeColor="text1"/>
                <w:sz w:val="24"/>
                <w:szCs w:val="24"/>
              </w:rPr>
            </w:pPr>
            <w:r w:rsidRPr="00955BFC">
              <w:rPr>
                <w:rFonts w:ascii="Times New Roman" w:hAnsi="Times New Roman" w:cs="Times New Roman"/>
                <w:color w:val="000000" w:themeColor="text1"/>
                <w:sz w:val="24"/>
                <w:szCs w:val="24"/>
              </w:rPr>
              <w:t>Lietuvos Respublikos generalinės prokuratūros 2020-06-18 raštas Nr. 17.2.-1787</w:t>
            </w:r>
          </w:p>
        </w:tc>
        <w:tc>
          <w:tcPr>
            <w:tcW w:w="6804" w:type="dxa"/>
          </w:tcPr>
          <w:p w14:paraId="2F36BCD0" w14:textId="0AAAFFBF" w:rsidR="00955BFC" w:rsidRPr="005F1314" w:rsidRDefault="00955BFC" w:rsidP="00B75BBC">
            <w:pPr>
              <w:spacing w:after="0" w:line="240" w:lineRule="auto"/>
              <w:ind w:firstLine="567"/>
              <w:jc w:val="both"/>
              <w:rPr>
                <w:rFonts w:ascii="Times New Roman" w:eastAsia="Times New Roman" w:hAnsi="Times New Roman" w:cs="Times New Roman"/>
                <w:color w:val="000000"/>
                <w:sz w:val="24"/>
                <w:szCs w:val="24"/>
                <w:lang w:eastAsia="lt-LT"/>
              </w:rPr>
            </w:pPr>
            <w:r w:rsidRPr="000C22C6">
              <w:rPr>
                <w:rFonts w:ascii="Times New Roman" w:hAnsi="Times New Roman"/>
                <w:sz w:val="24"/>
                <w:szCs w:val="24"/>
              </w:rPr>
              <w:t>Nepritariame siūlomam fragmentiniam Europos arešto orderio (toliau – EAO) mechanizmo keitimui. Lietuvos Konstitucinis Teismas ne kartą yra konstatavęs, kad įstatymuose ir kituose teisės aktuose nustatytas teisinis reguliavimas turi būti aiškus, suprantamas, neprieštaringas, teisės aktų formuluotės turi būti tikslios, turi būti užtikrinami teisės sistemos nuoseklumas ir vidinė darna. Taigi, EAO ir ekstradicijos reglamentavimą papildžius tam tikrais fragmentais, nebus užtikrinamas nei nuoseklumas, nei darna, nei aiškumas.</w:t>
            </w:r>
          </w:p>
        </w:tc>
        <w:tc>
          <w:tcPr>
            <w:tcW w:w="5499" w:type="dxa"/>
          </w:tcPr>
          <w:p w14:paraId="49749461"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Atsižvelgta iš dalies.</w:t>
            </w:r>
          </w:p>
          <w:p w14:paraId="61F64C74" w14:textId="3A42EA8A" w:rsidR="00955BFC" w:rsidRPr="00955BFC" w:rsidRDefault="00955BFC" w:rsidP="00E64395">
            <w:pPr>
              <w:spacing w:after="0" w:line="240" w:lineRule="auto"/>
              <w:ind w:firstLine="567"/>
              <w:jc w:val="both"/>
              <w:rPr>
                <w:rFonts w:ascii="Times New Roman" w:hAnsi="Times New Roman" w:cs="Times New Roman"/>
                <w:color w:val="000000" w:themeColor="text1"/>
                <w:sz w:val="24"/>
                <w:szCs w:val="24"/>
              </w:rPr>
            </w:pPr>
            <w:r w:rsidRPr="00955BFC">
              <w:rPr>
                <w:rFonts w:ascii="Times New Roman" w:hAnsi="Times New Roman" w:cs="Times New Roman"/>
                <w:color w:val="000000" w:themeColor="text1"/>
                <w:sz w:val="24"/>
                <w:szCs w:val="24"/>
              </w:rPr>
              <w:t>Aiškinamajame rašte papildyta, kad Europos arešto orderio išdavimo ir vykdymo praktika Lietuvoje parodė, kad šių klausimų reguliavimas nacionaliniu lygiu reikalauja platesnės sisteminės peržiūros, siekiant identifikuoti ir pašalinti sklandaus bendradarbiavimo trukdžius, pakeičiant</w:t>
            </w:r>
            <w:r w:rsidR="00E64395">
              <w:rPr>
                <w:rFonts w:ascii="Times New Roman" w:hAnsi="Times New Roman" w:cs="Times New Roman"/>
                <w:color w:val="000000" w:themeColor="text1"/>
                <w:sz w:val="24"/>
                <w:szCs w:val="24"/>
              </w:rPr>
              <w:t xml:space="preserve"> </w:t>
            </w:r>
            <w:r w:rsidRPr="00955BFC">
              <w:rPr>
                <w:rFonts w:ascii="Times New Roman" w:hAnsi="Times New Roman" w:cs="Times New Roman"/>
                <w:color w:val="000000" w:themeColor="text1"/>
                <w:sz w:val="24"/>
                <w:szCs w:val="24"/>
              </w:rPr>
              <w:t>/ papildant Europos arešto orderio išdavimą ir vykdymą reglamentuojančius teisės aktus, įskaitant Baudžiamojo kodekso</w:t>
            </w:r>
            <w:r w:rsidR="004E1B55">
              <w:rPr>
                <w:rFonts w:ascii="Times New Roman" w:hAnsi="Times New Roman" w:cs="Times New Roman"/>
                <w:color w:val="000000" w:themeColor="text1"/>
                <w:sz w:val="24"/>
                <w:szCs w:val="24"/>
              </w:rPr>
              <w:t xml:space="preserve"> (toliau – BK)</w:t>
            </w:r>
            <w:r w:rsidRPr="00955BFC">
              <w:rPr>
                <w:rFonts w:ascii="Times New Roman" w:hAnsi="Times New Roman" w:cs="Times New Roman"/>
                <w:color w:val="000000" w:themeColor="text1"/>
                <w:sz w:val="24"/>
                <w:szCs w:val="24"/>
              </w:rPr>
              <w:t xml:space="preserve"> ir Baudžiamojo proceso kodekso </w:t>
            </w:r>
            <w:r w:rsidR="004E1B55">
              <w:rPr>
                <w:rFonts w:ascii="Times New Roman" w:hAnsi="Times New Roman" w:cs="Times New Roman"/>
                <w:color w:val="000000" w:themeColor="text1"/>
                <w:sz w:val="24"/>
                <w:szCs w:val="24"/>
              </w:rPr>
              <w:t xml:space="preserve">(toliau – BPK) </w:t>
            </w:r>
            <w:r w:rsidRPr="00955BFC">
              <w:rPr>
                <w:rFonts w:ascii="Times New Roman" w:hAnsi="Times New Roman" w:cs="Times New Roman"/>
                <w:color w:val="000000" w:themeColor="text1"/>
                <w:sz w:val="24"/>
                <w:szCs w:val="24"/>
              </w:rPr>
              <w:t xml:space="preserve">atitinkamas nuostatas. Ši sisteminė peržiūra planuojama vėlesniame etape, 2022 m. Siekiant kuo galima greičiau pašalinti Europos Komisijos identifikuotus trūkumus pradėtoje pažeidimo procedūroje bei atsižvelgti į pastarąją </w:t>
            </w:r>
            <w:r w:rsidR="00E64395" w:rsidRPr="00E64395">
              <w:rPr>
                <w:rFonts w:ascii="Times New Roman" w:hAnsi="Times New Roman" w:cs="Times New Roman"/>
                <w:color w:val="000000" w:themeColor="text1"/>
                <w:sz w:val="24"/>
                <w:szCs w:val="24"/>
              </w:rPr>
              <w:t xml:space="preserve">Europos Sąjungos Teisingumo Teismo </w:t>
            </w:r>
            <w:r w:rsidR="004E1B55">
              <w:rPr>
                <w:rFonts w:ascii="Times New Roman" w:hAnsi="Times New Roman" w:cs="Times New Roman"/>
                <w:color w:val="000000" w:themeColor="text1"/>
                <w:sz w:val="24"/>
                <w:szCs w:val="24"/>
              </w:rPr>
              <w:t xml:space="preserve">(toliau – </w:t>
            </w:r>
            <w:r w:rsidRPr="00955BFC">
              <w:rPr>
                <w:rFonts w:ascii="Times New Roman" w:hAnsi="Times New Roman" w:cs="Times New Roman"/>
                <w:color w:val="000000" w:themeColor="text1"/>
                <w:sz w:val="24"/>
                <w:szCs w:val="24"/>
              </w:rPr>
              <w:t>ESTT</w:t>
            </w:r>
            <w:r w:rsidR="004E1B55">
              <w:rPr>
                <w:rFonts w:ascii="Times New Roman" w:hAnsi="Times New Roman" w:cs="Times New Roman"/>
                <w:color w:val="000000" w:themeColor="text1"/>
                <w:sz w:val="24"/>
                <w:szCs w:val="24"/>
              </w:rPr>
              <w:t>)</w:t>
            </w:r>
            <w:r w:rsidRPr="00955BFC">
              <w:rPr>
                <w:rFonts w:ascii="Times New Roman" w:hAnsi="Times New Roman" w:cs="Times New Roman"/>
                <w:color w:val="000000" w:themeColor="text1"/>
                <w:sz w:val="24"/>
                <w:szCs w:val="24"/>
              </w:rPr>
              <w:t xml:space="preserve"> jurisprudenciją, įstatymo projektai teikiami nepradėjus Europos arešto orderio išdavimo ir vykdymo procesų sisteminės peržiūros.</w:t>
            </w:r>
          </w:p>
        </w:tc>
      </w:tr>
      <w:tr w:rsidR="00955BFC" w:rsidRPr="00753980" w14:paraId="1E7210B2" w14:textId="77777777" w:rsidTr="0041559F">
        <w:tblPrEx>
          <w:tblLook w:val="0000" w:firstRow="0" w:lastRow="0" w:firstColumn="0" w:lastColumn="0" w:noHBand="0" w:noVBand="0"/>
        </w:tblPrEx>
        <w:trPr>
          <w:trHeight w:val="567"/>
        </w:trPr>
        <w:tc>
          <w:tcPr>
            <w:tcW w:w="2689" w:type="dxa"/>
            <w:vMerge/>
          </w:tcPr>
          <w:p w14:paraId="7EA21DC0"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2C5C425E" w14:textId="6CEF3A09" w:rsidR="00955BFC" w:rsidRPr="000C22C6" w:rsidRDefault="00955BFC" w:rsidP="00F87E2F">
            <w:pPr>
              <w:spacing w:after="0" w:line="240" w:lineRule="auto"/>
              <w:ind w:firstLine="567"/>
              <w:jc w:val="both"/>
              <w:rPr>
                <w:rFonts w:ascii="Times New Roman" w:hAnsi="Times New Roman"/>
                <w:sz w:val="24"/>
                <w:szCs w:val="24"/>
              </w:rPr>
            </w:pPr>
            <w:r w:rsidRPr="00955BFC">
              <w:rPr>
                <w:rFonts w:ascii="Times New Roman" w:hAnsi="Times New Roman"/>
                <w:sz w:val="24"/>
                <w:szCs w:val="24"/>
              </w:rPr>
              <w:t>BPK pakeitimo projekto aiškinamajame rašte kaip pagrindas inicijuojamiems įstatymo pakeitimams nurodomas Europos Sąjungos Teisingumo Teismo (toliau – ESTT) sprendimas byloje Nr. C-488/19, tačiau šiame sprendime buvo iškelti du klausimai. Pažymėtina, kad dėl antrojo klausimo (dėl nacionalinių įgyvendinimo priemonių reikalingumo) Generalinės prokuratūros pozicija nesutapo su Teisingumo ministerijos, tačiau dėl pirmojo klausimo buvo pritarta, kad yra reikalingos nacionalinės įgyvendinimo priemonės. Teisingumo ministerijos Tarptautinės teisės grupė pasiūlė LINESIS atlikti tokį įrašą dėl pirmojo klausimo: siekiant atsižvelgti į ESTT sprendimą pirmuoju klausimu, siūlytina papildyti EAO išdavimo taisykles, kad esant ESTT sprendime aptartai situacijai visada būtų sąlyga dėl žmogaus teisių užtikrinimo antrajame gynybos lygyje, t. y. išduodant EAO (nors jau yra bendras Teisingumo ministerijos, Generalinės prokuratūros ir teismų sutarimas, kad tokia forma yra netinkama ir EAO išdavimas turi būti reglamentuotas įstatymu, visgi iki šiol galioja EAO išdavimo taisyklės). Vadinasi, atsižvelgiant į ESTT sprendimo dalį dėl antrojo klausimo, inicijuojant šiuos įstatymų pakeitimus paliekami neišspręsti klausimai, susiję su kita to paties ESTT sprendimo dalimi. Visa tai tik patvirtina, kad pasirinktas būdas papildyti įstatymus fragmentais nėra tinkamas, nes neužtikrina teisės sistemos nuoseklumo ir vidinės darnos</w:t>
            </w:r>
            <w:r w:rsidR="00F87E2F">
              <w:rPr>
                <w:rFonts w:ascii="Times New Roman" w:hAnsi="Times New Roman"/>
                <w:sz w:val="24"/>
                <w:szCs w:val="24"/>
              </w:rPr>
              <w:t xml:space="preserve"> </w:t>
            </w:r>
            <w:r w:rsidRPr="00955BFC">
              <w:rPr>
                <w:rFonts w:ascii="Times New Roman" w:hAnsi="Times New Roman"/>
                <w:sz w:val="24"/>
                <w:szCs w:val="24"/>
              </w:rPr>
              <w:t>&lt;..&gt;</w:t>
            </w:r>
          </w:p>
        </w:tc>
        <w:tc>
          <w:tcPr>
            <w:tcW w:w="5499" w:type="dxa"/>
          </w:tcPr>
          <w:p w14:paraId="1F96DE49"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Atsižvelgta iš dalies</w:t>
            </w:r>
          </w:p>
          <w:p w14:paraId="79DA668A" w14:textId="771E8D28" w:rsidR="00955BFC" w:rsidRPr="00955BFC" w:rsidRDefault="00955BFC" w:rsidP="00955BFC">
            <w:pPr>
              <w:spacing w:after="0" w:line="240" w:lineRule="auto"/>
              <w:ind w:firstLine="567"/>
              <w:jc w:val="both"/>
              <w:rPr>
                <w:rFonts w:ascii="Times New Roman" w:hAnsi="Times New Roman" w:cs="Times New Roman"/>
                <w:color w:val="000000" w:themeColor="text1"/>
                <w:sz w:val="24"/>
                <w:szCs w:val="24"/>
              </w:rPr>
            </w:pPr>
            <w:r w:rsidRPr="00955BFC">
              <w:rPr>
                <w:rFonts w:ascii="Times New Roman" w:hAnsi="Times New Roman" w:cs="Times New Roman"/>
                <w:color w:val="000000" w:themeColor="text1"/>
                <w:sz w:val="24"/>
                <w:szCs w:val="24"/>
              </w:rPr>
              <w:t xml:space="preserve">Aiškinamajame rašte papildyta, kad atskirai nuo Įstatymo projektų reikės papildyti Europos arešto orderio išdavimo taisykles, patvirtintas Lietuvos Respublikos teisingumo ministro ir generalinio prokuroro 2004 m. rugpjūčio 26 d. įsakymu Nr. 1R-195/I-114, nurodant, kad esant ESTT sprendime byloje Nr. C-488/19 aptartai situacijai būtų išpildyta sąlyga dėl žmogaus teisių užtikrinimo antrajame gynybos lygyje, t. y. </w:t>
            </w:r>
            <w:r w:rsidR="00E64395">
              <w:rPr>
                <w:rFonts w:ascii="Times New Roman" w:hAnsi="Times New Roman" w:cs="Times New Roman"/>
                <w:color w:val="000000" w:themeColor="text1"/>
                <w:sz w:val="24"/>
                <w:szCs w:val="24"/>
              </w:rPr>
              <w:t>i</w:t>
            </w:r>
            <w:r w:rsidRPr="00955BFC">
              <w:rPr>
                <w:rFonts w:ascii="Times New Roman" w:hAnsi="Times New Roman" w:cs="Times New Roman"/>
                <w:color w:val="000000" w:themeColor="text1"/>
                <w:sz w:val="24"/>
                <w:szCs w:val="24"/>
              </w:rPr>
              <w:t>šduodant Europos arešto orderį.</w:t>
            </w:r>
          </w:p>
          <w:p w14:paraId="6A6ACE1D"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p>
        </w:tc>
      </w:tr>
      <w:tr w:rsidR="00955BFC" w:rsidRPr="00753980" w14:paraId="3A7FD78F" w14:textId="77777777" w:rsidTr="0041559F">
        <w:tblPrEx>
          <w:tblLook w:val="0000" w:firstRow="0" w:lastRow="0" w:firstColumn="0" w:lastColumn="0" w:noHBand="0" w:noVBand="0"/>
        </w:tblPrEx>
        <w:trPr>
          <w:trHeight w:val="567"/>
        </w:trPr>
        <w:tc>
          <w:tcPr>
            <w:tcW w:w="2689" w:type="dxa"/>
            <w:vMerge/>
          </w:tcPr>
          <w:p w14:paraId="2DB02A29"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5A4E3A83" w14:textId="45F61AD5" w:rsidR="00955BFC" w:rsidRPr="00955BFC" w:rsidRDefault="00955BFC" w:rsidP="00955BFC">
            <w:pPr>
              <w:spacing w:after="0" w:line="240" w:lineRule="auto"/>
              <w:ind w:firstLine="567"/>
              <w:jc w:val="both"/>
              <w:rPr>
                <w:rFonts w:ascii="Times New Roman" w:hAnsi="Times New Roman"/>
                <w:sz w:val="24"/>
                <w:szCs w:val="24"/>
              </w:rPr>
            </w:pPr>
            <w:r w:rsidRPr="00955BFC">
              <w:rPr>
                <w:rFonts w:ascii="Times New Roman" w:hAnsi="Times New Roman"/>
                <w:sz w:val="24"/>
                <w:szCs w:val="24"/>
              </w:rPr>
              <w:t>&lt;...&gt; Taip pat nėra aišku, ar galimas laikinas perdavimas taikant supaprastinto perdavimo procedūrą.</w:t>
            </w:r>
          </w:p>
        </w:tc>
        <w:tc>
          <w:tcPr>
            <w:tcW w:w="5499" w:type="dxa"/>
          </w:tcPr>
          <w:p w14:paraId="2F881A54"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Neatsižvelgta.</w:t>
            </w:r>
          </w:p>
          <w:p w14:paraId="0627A8B5" w14:textId="75FF96B4" w:rsidR="00955BFC" w:rsidRPr="00955BFC" w:rsidRDefault="00955BFC" w:rsidP="00955BFC">
            <w:pPr>
              <w:spacing w:after="0" w:line="240" w:lineRule="auto"/>
              <w:ind w:firstLine="567"/>
              <w:jc w:val="both"/>
              <w:rPr>
                <w:rFonts w:ascii="Times New Roman" w:hAnsi="Times New Roman" w:cs="Times New Roman"/>
                <w:bCs/>
                <w:color w:val="000000" w:themeColor="text1"/>
                <w:sz w:val="24"/>
                <w:szCs w:val="24"/>
              </w:rPr>
            </w:pPr>
            <w:r w:rsidRPr="00955BFC">
              <w:rPr>
                <w:rFonts w:ascii="Times New Roman" w:hAnsi="Times New Roman" w:cs="Times New Roman"/>
                <w:bCs/>
                <w:color w:val="000000" w:themeColor="text1"/>
                <w:sz w:val="24"/>
                <w:szCs w:val="24"/>
              </w:rPr>
              <w:t>Pamatinio sprendimo 2002/584/TVR nuostatos neriboja galimybės būti išklausytam supaprastinto perdavimo atveju. Visgi manome, kad praktikoje naudotis Pamatinio sprendimo 2002/584/TVR 18 ir 19 straipsniais supaprastinto perdavimo atveju, t.</w:t>
            </w:r>
            <w:r w:rsidR="00E64395">
              <w:rPr>
                <w:rFonts w:ascii="Times New Roman" w:hAnsi="Times New Roman" w:cs="Times New Roman"/>
                <w:bCs/>
                <w:color w:val="000000" w:themeColor="text1"/>
                <w:sz w:val="24"/>
                <w:szCs w:val="24"/>
              </w:rPr>
              <w:t xml:space="preserve"> </w:t>
            </w:r>
            <w:r w:rsidRPr="00955BFC">
              <w:rPr>
                <w:rFonts w:ascii="Times New Roman" w:hAnsi="Times New Roman" w:cs="Times New Roman"/>
                <w:bCs/>
                <w:color w:val="000000" w:themeColor="text1"/>
                <w:sz w:val="24"/>
                <w:szCs w:val="24"/>
              </w:rPr>
              <w:t>y. kai asmuo sutinka būti perduotas kitai valstybei, nebus tikslinga.</w:t>
            </w:r>
          </w:p>
        </w:tc>
      </w:tr>
      <w:tr w:rsidR="00955BFC" w:rsidRPr="00753980" w14:paraId="7B13AE40" w14:textId="77777777" w:rsidTr="0041559F">
        <w:tblPrEx>
          <w:tblLook w:val="0000" w:firstRow="0" w:lastRow="0" w:firstColumn="0" w:lastColumn="0" w:noHBand="0" w:noVBand="0"/>
        </w:tblPrEx>
        <w:trPr>
          <w:trHeight w:val="567"/>
        </w:trPr>
        <w:tc>
          <w:tcPr>
            <w:tcW w:w="2689" w:type="dxa"/>
            <w:vMerge/>
          </w:tcPr>
          <w:p w14:paraId="52A2FCD7"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51CA9AF2" w14:textId="6A1A2D2B" w:rsidR="00955BFC" w:rsidRPr="00955BFC" w:rsidRDefault="00955BFC" w:rsidP="00F87E2F">
            <w:pPr>
              <w:spacing w:after="0" w:line="240" w:lineRule="auto"/>
              <w:ind w:firstLine="567"/>
              <w:jc w:val="both"/>
              <w:rPr>
                <w:rFonts w:ascii="Times New Roman" w:hAnsi="Times New Roman"/>
                <w:sz w:val="24"/>
                <w:szCs w:val="24"/>
              </w:rPr>
            </w:pPr>
            <w:r w:rsidRPr="00955BFC">
              <w:rPr>
                <w:rFonts w:ascii="Times New Roman" w:hAnsi="Times New Roman"/>
                <w:sz w:val="24"/>
                <w:szCs w:val="24"/>
              </w:rPr>
              <w:t>Taip pat neaptarta, kaip turėtų būti sprendžiami su perdavimo procese taikoma kardomąja priemone susiję klausimai. Pavyzdžiui, jei išdavusioji valstybė asmeniui laikino perdavimo metu išklausymo tikslu taiko kitą, t. y. švelnesnę už suėmimą, kardomąją priemonę, o vykdančiojoje valstybėje yra paskirtas suėmimas, kaip tokiu atveju vykdančioji valstybė turėtų spręsti su paskirtu suėmimu susijusį klausimą &lt;..&gt;</w:t>
            </w:r>
          </w:p>
        </w:tc>
        <w:tc>
          <w:tcPr>
            <w:tcW w:w="5499" w:type="dxa"/>
          </w:tcPr>
          <w:p w14:paraId="6497B8B1"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Neatsižvelgta.</w:t>
            </w:r>
          </w:p>
          <w:p w14:paraId="2B954DDF" w14:textId="07B054A3" w:rsidR="00955BFC" w:rsidRPr="00955BFC" w:rsidRDefault="00955BFC" w:rsidP="00955BFC">
            <w:pPr>
              <w:spacing w:after="0" w:line="240" w:lineRule="auto"/>
              <w:ind w:firstLine="567"/>
              <w:jc w:val="both"/>
              <w:rPr>
                <w:rFonts w:ascii="Times New Roman" w:hAnsi="Times New Roman" w:cs="Times New Roman"/>
                <w:bCs/>
                <w:color w:val="000000" w:themeColor="text1"/>
                <w:sz w:val="24"/>
                <w:szCs w:val="24"/>
              </w:rPr>
            </w:pPr>
            <w:r w:rsidRPr="00955BFC">
              <w:rPr>
                <w:rFonts w:ascii="Times New Roman" w:hAnsi="Times New Roman" w:cs="Times New Roman"/>
                <w:bCs/>
                <w:color w:val="000000" w:themeColor="text1"/>
                <w:sz w:val="24"/>
                <w:szCs w:val="24"/>
              </w:rPr>
              <w:t>Tokių klausimų sprendimas turėtų būti paliktas dviejų institucijų susitarimui, kuriame būtų galima nustatyti sąlygą kardomajai priemonei. Kaip pažymėta Pamatinio sprendimo 2002/584/TVR 18 straipsnio 2 dalyje</w:t>
            </w:r>
            <w:r w:rsidR="00F87E2F">
              <w:rPr>
                <w:rFonts w:ascii="Times New Roman" w:hAnsi="Times New Roman" w:cs="Times New Roman"/>
                <w:bCs/>
                <w:color w:val="000000" w:themeColor="text1"/>
                <w:sz w:val="24"/>
                <w:szCs w:val="24"/>
              </w:rPr>
              <w:t>,</w:t>
            </w:r>
            <w:r w:rsidRPr="00955BFC">
              <w:rPr>
                <w:rFonts w:ascii="Times New Roman" w:hAnsi="Times New Roman" w:cs="Times New Roman"/>
                <w:bCs/>
                <w:color w:val="000000" w:themeColor="text1"/>
                <w:sz w:val="24"/>
                <w:szCs w:val="24"/>
              </w:rPr>
              <w:t xml:space="preserve"> laikinojo perdavimo </w:t>
            </w:r>
            <w:r w:rsidRPr="00955BFC">
              <w:rPr>
                <w:rFonts w:ascii="Times New Roman" w:hAnsi="Times New Roman" w:cs="Times New Roman"/>
                <w:color w:val="000000" w:themeColor="text1"/>
                <w:sz w:val="24"/>
                <w:szCs w:val="24"/>
              </w:rPr>
              <w:t>sąlygos</w:t>
            </w:r>
            <w:r w:rsidRPr="00955BFC">
              <w:rPr>
                <w:rFonts w:ascii="Times New Roman" w:hAnsi="Times New Roman" w:cs="Times New Roman"/>
                <w:bCs/>
                <w:color w:val="000000" w:themeColor="text1"/>
                <w:sz w:val="24"/>
                <w:szCs w:val="24"/>
              </w:rPr>
              <w:t xml:space="preserve"> ir trukmė nustatomos abipusiu išduodančiosios ir vykdančiosios teisminių institucijų susitarimu. </w:t>
            </w:r>
          </w:p>
          <w:p w14:paraId="64A723C2" w14:textId="041188A5" w:rsidR="00955BFC" w:rsidRPr="00955BFC" w:rsidRDefault="00955BFC" w:rsidP="00F87E2F">
            <w:pPr>
              <w:spacing w:after="0" w:line="240" w:lineRule="auto"/>
              <w:ind w:firstLine="567"/>
              <w:jc w:val="both"/>
              <w:rPr>
                <w:rFonts w:ascii="Times New Roman" w:hAnsi="Times New Roman" w:cs="Times New Roman"/>
                <w:bCs/>
                <w:color w:val="000000" w:themeColor="text1"/>
                <w:sz w:val="24"/>
                <w:szCs w:val="24"/>
              </w:rPr>
            </w:pPr>
            <w:r w:rsidRPr="00955BFC">
              <w:rPr>
                <w:rFonts w:ascii="Times New Roman" w:hAnsi="Times New Roman" w:cs="Times New Roman"/>
                <w:bCs/>
                <w:color w:val="000000" w:themeColor="text1"/>
                <w:sz w:val="24"/>
                <w:szCs w:val="24"/>
              </w:rPr>
              <w:t xml:space="preserve">Kai Lietuva </w:t>
            </w:r>
            <w:r w:rsidR="00F87E2F">
              <w:rPr>
                <w:rFonts w:ascii="Times New Roman" w:hAnsi="Times New Roman" w:cs="Times New Roman"/>
                <w:bCs/>
                <w:color w:val="000000" w:themeColor="text1"/>
                <w:sz w:val="24"/>
                <w:szCs w:val="24"/>
              </w:rPr>
              <w:t>–</w:t>
            </w:r>
            <w:r w:rsidRPr="00955BFC">
              <w:rPr>
                <w:rFonts w:ascii="Times New Roman" w:hAnsi="Times New Roman" w:cs="Times New Roman"/>
                <w:bCs/>
                <w:color w:val="000000" w:themeColor="text1"/>
                <w:sz w:val="24"/>
                <w:szCs w:val="24"/>
              </w:rPr>
              <w:t xml:space="preserve"> išduodančioji valstybė, laikymo suėm</w:t>
            </w:r>
            <w:r w:rsidR="00F87E2F">
              <w:rPr>
                <w:rFonts w:ascii="Times New Roman" w:hAnsi="Times New Roman" w:cs="Times New Roman"/>
                <w:bCs/>
                <w:color w:val="000000" w:themeColor="text1"/>
                <w:sz w:val="24"/>
                <w:szCs w:val="24"/>
              </w:rPr>
              <w:t>us</w:t>
            </w:r>
            <w:r w:rsidRPr="00955BFC">
              <w:rPr>
                <w:rFonts w:ascii="Times New Roman" w:hAnsi="Times New Roman" w:cs="Times New Roman"/>
                <w:bCs/>
                <w:color w:val="000000" w:themeColor="text1"/>
                <w:sz w:val="24"/>
                <w:szCs w:val="24"/>
              </w:rPr>
              <w:t xml:space="preserve"> pagrindas numatytas Suėmimo vykdymo įstatymo pakeitimo įstatymo projekte.</w:t>
            </w:r>
          </w:p>
        </w:tc>
      </w:tr>
      <w:tr w:rsidR="00955BFC" w:rsidRPr="00753980" w14:paraId="35281484" w14:textId="77777777" w:rsidTr="0041559F">
        <w:tblPrEx>
          <w:tblLook w:val="0000" w:firstRow="0" w:lastRow="0" w:firstColumn="0" w:lastColumn="0" w:noHBand="0" w:noVBand="0"/>
        </w:tblPrEx>
        <w:trPr>
          <w:trHeight w:val="567"/>
        </w:trPr>
        <w:tc>
          <w:tcPr>
            <w:tcW w:w="2689" w:type="dxa"/>
            <w:vMerge/>
          </w:tcPr>
          <w:p w14:paraId="3EAB9224"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57124E50" w14:textId="1DC1F54C" w:rsidR="00955BFC" w:rsidRPr="00955BFC" w:rsidRDefault="00955BFC" w:rsidP="00955BFC">
            <w:pPr>
              <w:spacing w:after="0" w:line="240" w:lineRule="auto"/>
              <w:ind w:firstLine="567"/>
              <w:jc w:val="both"/>
              <w:rPr>
                <w:rFonts w:ascii="Times New Roman" w:hAnsi="Times New Roman"/>
                <w:sz w:val="24"/>
                <w:szCs w:val="24"/>
              </w:rPr>
            </w:pPr>
            <w:r w:rsidRPr="00955BFC">
              <w:rPr>
                <w:rFonts w:ascii="Times New Roman" w:hAnsi="Times New Roman"/>
                <w:sz w:val="24"/>
                <w:szCs w:val="24"/>
              </w:rPr>
              <w:t xml:space="preserve">Nėra aišku ir tai, kaip turi būti sprendžiamas išklausymo ar laikino perdavimo klausimas, jei prašomas perduoti asmuo to paprašo vykdančiosios valstybės. Pavyzdžiui, ar perdavus tokį prašymą išduodančiajai valstybei turi būti sulauktas šios valstybės atsakymas, ar procesas gali būti tęsiamas nelaukiant atsakymo. </w:t>
            </w:r>
          </w:p>
        </w:tc>
        <w:tc>
          <w:tcPr>
            <w:tcW w:w="5499" w:type="dxa"/>
          </w:tcPr>
          <w:p w14:paraId="0F488A95"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Neatsižvelgta.</w:t>
            </w:r>
          </w:p>
          <w:p w14:paraId="745327BB" w14:textId="2FB3D977" w:rsidR="00955BFC" w:rsidRPr="00955BFC" w:rsidRDefault="00955BFC" w:rsidP="004E1B55">
            <w:pPr>
              <w:spacing w:after="0" w:line="240" w:lineRule="auto"/>
              <w:ind w:firstLine="567"/>
              <w:jc w:val="both"/>
              <w:rPr>
                <w:rFonts w:ascii="Times New Roman" w:hAnsi="Times New Roman" w:cs="Times New Roman"/>
                <w:bCs/>
                <w:color w:val="000000" w:themeColor="text1"/>
                <w:sz w:val="24"/>
                <w:szCs w:val="24"/>
              </w:rPr>
            </w:pPr>
            <w:r w:rsidRPr="00955BFC">
              <w:rPr>
                <w:rFonts w:ascii="Times New Roman" w:hAnsi="Times New Roman" w:cs="Times New Roman"/>
                <w:bCs/>
                <w:color w:val="000000" w:themeColor="text1"/>
                <w:sz w:val="24"/>
                <w:szCs w:val="24"/>
              </w:rPr>
              <w:t xml:space="preserve">BPK projekte pažymėta, kad sprendimas dėl išklausymo ar laikino perdavimo priimamas gavus Europos arešto orderį išdavusios valstybės prašymą. Jeigu asmuo nori būti išklausytas dėl išduoto Europos arešto orderio, jis turėtų kreiptis į orderį išdavusią valstybę, kad ši pateiktų prašymą kompetentingai Lietuvos institucijai. Pamatiniame sprendime 2002/584/TVR nėra nuostatų, leidžiančių išklausymo </w:t>
            </w:r>
            <w:r w:rsidRPr="00955BFC">
              <w:rPr>
                <w:rFonts w:ascii="Times New Roman" w:hAnsi="Times New Roman" w:cs="Times New Roman"/>
                <w:bCs/>
                <w:color w:val="000000" w:themeColor="text1"/>
                <w:sz w:val="24"/>
                <w:szCs w:val="24"/>
              </w:rPr>
              <w:lastRenderedPageBreak/>
              <w:t xml:space="preserve">atveju stabdyti </w:t>
            </w:r>
            <w:r w:rsidR="004E1B55">
              <w:rPr>
                <w:rFonts w:ascii="Times New Roman" w:hAnsi="Times New Roman" w:cs="Times New Roman"/>
                <w:bCs/>
                <w:color w:val="000000" w:themeColor="text1"/>
                <w:sz w:val="24"/>
                <w:szCs w:val="24"/>
              </w:rPr>
              <w:t>Europos arešto orderio</w:t>
            </w:r>
            <w:r w:rsidR="004E1B55" w:rsidRPr="004E1B55">
              <w:rPr>
                <w:rFonts w:ascii="Times New Roman" w:hAnsi="Times New Roman" w:cs="Times New Roman"/>
                <w:bCs/>
                <w:color w:val="000000" w:themeColor="text1"/>
                <w:sz w:val="24"/>
                <w:szCs w:val="24"/>
              </w:rPr>
              <w:t xml:space="preserve"> </w:t>
            </w:r>
            <w:r w:rsidRPr="00955BFC">
              <w:rPr>
                <w:rFonts w:ascii="Times New Roman" w:hAnsi="Times New Roman" w:cs="Times New Roman"/>
                <w:bCs/>
                <w:color w:val="000000" w:themeColor="text1"/>
                <w:sz w:val="24"/>
                <w:szCs w:val="24"/>
              </w:rPr>
              <w:t>vykdymo procesą.</w:t>
            </w:r>
          </w:p>
        </w:tc>
      </w:tr>
      <w:tr w:rsidR="00955BFC" w:rsidRPr="00753980" w14:paraId="035DFAAB" w14:textId="77777777" w:rsidTr="0041559F">
        <w:tblPrEx>
          <w:tblLook w:val="0000" w:firstRow="0" w:lastRow="0" w:firstColumn="0" w:lastColumn="0" w:noHBand="0" w:noVBand="0"/>
        </w:tblPrEx>
        <w:trPr>
          <w:trHeight w:val="567"/>
        </w:trPr>
        <w:tc>
          <w:tcPr>
            <w:tcW w:w="2689" w:type="dxa"/>
            <w:vMerge/>
          </w:tcPr>
          <w:p w14:paraId="76BA216A"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09117252" w14:textId="77777777" w:rsidR="00955BFC" w:rsidRPr="00955BFC" w:rsidRDefault="00955BFC" w:rsidP="00955BFC">
            <w:pPr>
              <w:spacing w:after="0" w:line="240" w:lineRule="auto"/>
              <w:ind w:firstLine="567"/>
              <w:jc w:val="both"/>
              <w:rPr>
                <w:rFonts w:ascii="Times New Roman" w:hAnsi="Times New Roman"/>
                <w:sz w:val="24"/>
                <w:szCs w:val="24"/>
              </w:rPr>
            </w:pPr>
            <w:r w:rsidRPr="00955BFC">
              <w:rPr>
                <w:rFonts w:ascii="Times New Roman" w:hAnsi="Times New Roman"/>
                <w:sz w:val="24"/>
                <w:szCs w:val="24"/>
              </w:rPr>
              <w:t>Be to, įstatyme nereglamentuota procedūra tais atvejais, kai Lietuva veikia kaip išduodančioji valstybė. Taigi visiškai neaiškus mechanizmas tais atvejais, jei asmens išklausymas vyktų Lietuvos iniciatyva. Taip pat aiškinamajame rašte nurodyta, kad priėmus Įstatymų projektus, kitų teisės aktų priimti, keisti ar pripažinti negaliojančiais nereikės; Įstatymams įgyvendinti nereikės įgyvendinamųjų teisės aktų. Pažymėtina, kad, Lietuvai veikiant kaip išduodančiajai valstybei, laikinas perdavimas pareikalautų papildomų lėšų (jos turėtų būti skiriamos laikinai perduodamų ir grąžinamų asmenų konvojavimui, kurį vykdytų Lietuvos teisėsaugos pareigūnai).</w:t>
            </w:r>
          </w:p>
          <w:p w14:paraId="5DA0DFC9" w14:textId="77777777" w:rsidR="00955BFC" w:rsidRPr="00955BFC" w:rsidRDefault="00955BFC" w:rsidP="00955BFC">
            <w:pPr>
              <w:spacing w:after="0" w:line="240" w:lineRule="auto"/>
              <w:ind w:firstLine="567"/>
              <w:jc w:val="both"/>
              <w:rPr>
                <w:rFonts w:ascii="Times New Roman" w:hAnsi="Times New Roman"/>
                <w:sz w:val="24"/>
                <w:szCs w:val="24"/>
              </w:rPr>
            </w:pPr>
          </w:p>
        </w:tc>
        <w:tc>
          <w:tcPr>
            <w:tcW w:w="5499" w:type="dxa"/>
          </w:tcPr>
          <w:p w14:paraId="11ABF777"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Atsižvelgta iš dalies.</w:t>
            </w:r>
          </w:p>
          <w:p w14:paraId="0D414548" w14:textId="3DD105FB" w:rsidR="00955BFC" w:rsidRPr="00955BFC" w:rsidRDefault="00955BFC" w:rsidP="00955BFC">
            <w:pPr>
              <w:spacing w:after="0" w:line="240" w:lineRule="auto"/>
              <w:ind w:firstLine="567"/>
              <w:jc w:val="both"/>
              <w:rPr>
                <w:rFonts w:ascii="Times New Roman" w:hAnsi="Times New Roman" w:cs="Times New Roman"/>
                <w:color w:val="000000" w:themeColor="text1"/>
                <w:sz w:val="24"/>
                <w:szCs w:val="24"/>
              </w:rPr>
            </w:pPr>
            <w:r w:rsidRPr="00955BFC">
              <w:rPr>
                <w:rFonts w:ascii="Times New Roman" w:hAnsi="Times New Roman" w:cs="Times New Roman"/>
                <w:bCs/>
                <w:color w:val="000000" w:themeColor="text1"/>
                <w:sz w:val="24"/>
                <w:szCs w:val="24"/>
              </w:rPr>
              <w:t>Kalbant apie atvirkštinį procesą, kai Lietuva yra Europos arešto orderį išdavusi valstybė, papildomai teikiami Suėmimo vykdymo įstatymo 7 ir 8 straipsnių pakeitimai, nurodant Generalinės prokuratūros sprendimą dėl laikino perėmimo į Lietuvos Respublik</w:t>
            </w:r>
            <w:r w:rsidR="00F87E2F">
              <w:rPr>
                <w:rFonts w:ascii="Times New Roman" w:hAnsi="Times New Roman" w:cs="Times New Roman"/>
                <w:bCs/>
                <w:color w:val="000000" w:themeColor="text1"/>
                <w:sz w:val="24"/>
                <w:szCs w:val="24"/>
              </w:rPr>
              <w:t>ą</w:t>
            </w:r>
            <w:r w:rsidRPr="00955BFC">
              <w:rPr>
                <w:rFonts w:ascii="Times New Roman" w:hAnsi="Times New Roman" w:cs="Times New Roman"/>
                <w:bCs/>
                <w:color w:val="000000" w:themeColor="text1"/>
                <w:sz w:val="24"/>
                <w:szCs w:val="24"/>
              </w:rPr>
              <w:t xml:space="preserve"> išklausymo dėl išduoto Europos arešto orderio tikslu kaip asmens pristatymo į tardymo izoliatorius pagrindą. Siekiant visiškai perkelti Pamatinio sprendimo 2002/584/TVR 18 ir 19 straipsnius tiems atvejams, kai Lietuva – išduodančioji valstybė, bus būtina </w:t>
            </w:r>
            <w:r w:rsidR="004E1B55">
              <w:rPr>
                <w:rFonts w:ascii="Times New Roman" w:hAnsi="Times New Roman" w:cs="Times New Roman"/>
                <w:bCs/>
                <w:color w:val="000000" w:themeColor="text1"/>
                <w:sz w:val="24"/>
                <w:szCs w:val="24"/>
              </w:rPr>
              <w:t>kartu</w:t>
            </w:r>
            <w:r w:rsidR="004E1B55" w:rsidRPr="00955BFC">
              <w:rPr>
                <w:rFonts w:ascii="Times New Roman" w:hAnsi="Times New Roman" w:cs="Times New Roman"/>
                <w:bCs/>
                <w:color w:val="000000" w:themeColor="text1"/>
                <w:sz w:val="24"/>
                <w:szCs w:val="24"/>
              </w:rPr>
              <w:t xml:space="preserve"> </w:t>
            </w:r>
            <w:r w:rsidRPr="00955BFC">
              <w:rPr>
                <w:rFonts w:ascii="Times New Roman" w:hAnsi="Times New Roman" w:cs="Times New Roman"/>
                <w:bCs/>
                <w:color w:val="000000" w:themeColor="text1"/>
                <w:sz w:val="24"/>
                <w:szCs w:val="24"/>
              </w:rPr>
              <w:t>papildyti Europos arešto orderio išdavimo taisykles, nurodant asmens išklausymo procedūrą bei laikino perėmimo į Lietuvą išklausymo tikslu galimybę. Šia informacija papildytas aiškinamasis raštas.</w:t>
            </w:r>
          </w:p>
          <w:p w14:paraId="7FB5FAA8" w14:textId="7501BDCC" w:rsidR="00955BFC" w:rsidRPr="00955BFC" w:rsidRDefault="00955BFC" w:rsidP="004E1B55">
            <w:pPr>
              <w:spacing w:after="0" w:line="240" w:lineRule="auto"/>
              <w:ind w:firstLine="567"/>
              <w:jc w:val="both"/>
              <w:rPr>
                <w:rFonts w:ascii="Times New Roman" w:hAnsi="Times New Roman" w:cs="Times New Roman"/>
                <w:bCs/>
                <w:color w:val="000000" w:themeColor="text1"/>
                <w:sz w:val="24"/>
                <w:szCs w:val="24"/>
              </w:rPr>
            </w:pPr>
            <w:r w:rsidRPr="00955BFC">
              <w:rPr>
                <w:rFonts w:ascii="Times New Roman" w:hAnsi="Times New Roman" w:cs="Times New Roman"/>
                <w:bCs/>
                <w:color w:val="000000" w:themeColor="text1"/>
                <w:sz w:val="24"/>
                <w:szCs w:val="24"/>
              </w:rPr>
              <w:t>Lietuvai veikiant kaip vykdančiajai valstybei, laikinas perdavimas neturėtų pareikalauti papildomų išlaidų, nes perdavimas vykdytinas išduodančios valstybės iniciatyva, taigi ir šios valstybės lėšomis. Aiškinamasis raštas papildytas tuo, kad Lietuvai veikiant kaip išduodančiajai valstybei, gali prireikti papildomų lėšų laikinai perimant asmenį išklausymo tikslu. Tačiau manome, turi būti išlaikytas proporcingumo ir būtinumo principas prašant būtent tokios priemonės vietoj išklausymo Europos arešto orderį vykdančioje valstybėje. Į tai bus siūloma atsižvelgti keičiant Europos arešto orderio taisykles.</w:t>
            </w:r>
          </w:p>
        </w:tc>
      </w:tr>
      <w:tr w:rsidR="00955BFC" w:rsidRPr="00753980" w14:paraId="7D164BB1" w14:textId="77777777" w:rsidTr="0041559F">
        <w:tblPrEx>
          <w:tblLook w:val="0000" w:firstRow="0" w:lastRow="0" w:firstColumn="0" w:lastColumn="0" w:noHBand="0" w:noVBand="0"/>
        </w:tblPrEx>
        <w:trPr>
          <w:trHeight w:val="567"/>
        </w:trPr>
        <w:tc>
          <w:tcPr>
            <w:tcW w:w="2689" w:type="dxa"/>
            <w:vMerge/>
          </w:tcPr>
          <w:p w14:paraId="0AA834C0"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268A7668" w14:textId="5EDB33AB" w:rsidR="00955BFC" w:rsidRPr="00955BFC" w:rsidRDefault="00955BFC" w:rsidP="00955BFC">
            <w:pPr>
              <w:spacing w:after="0" w:line="240" w:lineRule="auto"/>
              <w:ind w:firstLine="567"/>
              <w:jc w:val="both"/>
              <w:rPr>
                <w:rFonts w:ascii="Times New Roman" w:hAnsi="Times New Roman"/>
                <w:sz w:val="24"/>
                <w:szCs w:val="24"/>
              </w:rPr>
            </w:pPr>
            <w:r w:rsidRPr="00955BFC">
              <w:rPr>
                <w:rFonts w:ascii="Times New Roman" w:hAnsi="Times New Roman"/>
                <w:sz w:val="24"/>
                <w:szCs w:val="24"/>
              </w:rPr>
              <w:t>Nepritariame BPK pakeitimo projekte siūlomam 77</w:t>
            </w:r>
            <w:r w:rsidRPr="00955BFC">
              <w:rPr>
                <w:rFonts w:ascii="Times New Roman" w:hAnsi="Times New Roman"/>
                <w:sz w:val="24"/>
                <w:szCs w:val="24"/>
                <w:vertAlign w:val="superscript"/>
              </w:rPr>
              <w:t>1</w:t>
            </w:r>
            <w:r w:rsidRPr="00955BFC">
              <w:rPr>
                <w:rFonts w:ascii="Times New Roman" w:hAnsi="Times New Roman"/>
                <w:sz w:val="24"/>
                <w:szCs w:val="24"/>
              </w:rPr>
              <w:t xml:space="preserve"> straipsnio 3 dalies pakeitimui. Generalinė prokuratūra, kaip sprendimą dėl tranzito leidimo priimanti institucija, neturi galimybių patikrinti nuolat Lietuvos Respublikoje gyvenančio asmens statuso. Atkreiptinas dėmesys, kad nuolatinė Lietuvos Respublikos gyventojo sąvoka aptarta vieninteliame norminiame teisės akte, t. y. Lietuvos Respublikos gyventojų pajamų mokesčio įstatyme. Lietuvos Aukščiausiasis Teismas (toliau – LAT) yra pažymėjęs, kad Įstatymas dėl užsieniečių teisinės padėties turi siauresnę taikymo sritį nei kiti įstatymai, nustatantys nuolatinio Lietuvos Respublikos gyventojo požymius, jis skirtas kai kuriems asmenų, atvykusių iš ne Europos Sąjungos šalių, teisinės padėties Lietuvos Respublikoje klausimams reguliuoti. Todėl aiškinant nuolatinio Lietuvos Respublikos gyventojo sąvoką sistemiškai kartu su Lietuvos Respublikos civilinio kodekso 2.12 straipsnio 1 ir 2 dalimis, fizinis asmuo pripažįstamas turinčiu nuolatinę gyvenamąją vietą Lietuvos Respublikoje, jeigu jis Lietuvos Respublikoje savo valia įkuria ir išlaiko savo vienintelę arba pagrindinę gyvenamąją vietą, ketindamas čia įkurti ir išlaikyti savo asmeninių, socialinių ir ekonominių interesų centrą. LAT taip pat yra pažymėjęs, kad loginė ir lingvistinė šių požymių analizė neduoda pagrindo juos sieti išimtinai su kokia nors leidimų sistema. Todėl priimant sprendimą dėl leidimo vežti asmenį tranzitu per Lietuvos Respublikos teritoriją, neužtenka patikrinti, ar toks asmuo turi leidimą gyventi Lietuvoje, o atlikti patikrinimą pagal LAT išaiškinimą Generalinė prokuratūra neturi galimybių, ypač atsižvelgiant į tranzito leidimo priėmimo skubą.</w:t>
            </w:r>
          </w:p>
          <w:p w14:paraId="71FC6C35" w14:textId="77777777" w:rsidR="00955BFC" w:rsidRPr="00955BFC" w:rsidRDefault="00955BFC" w:rsidP="00955BFC">
            <w:pPr>
              <w:spacing w:after="0" w:line="240" w:lineRule="auto"/>
              <w:ind w:firstLine="567"/>
              <w:jc w:val="both"/>
              <w:rPr>
                <w:rFonts w:ascii="Times New Roman" w:hAnsi="Times New Roman"/>
                <w:sz w:val="24"/>
                <w:szCs w:val="24"/>
              </w:rPr>
            </w:pPr>
          </w:p>
        </w:tc>
        <w:tc>
          <w:tcPr>
            <w:tcW w:w="5499" w:type="dxa"/>
          </w:tcPr>
          <w:p w14:paraId="3F332BBC" w14:textId="77777777" w:rsidR="00955BFC" w:rsidRPr="00955BFC" w:rsidRDefault="00955BFC" w:rsidP="00955BFC">
            <w:pPr>
              <w:spacing w:after="0" w:line="240" w:lineRule="auto"/>
              <w:ind w:firstLine="567"/>
              <w:jc w:val="both"/>
              <w:rPr>
                <w:rFonts w:ascii="Times New Roman" w:hAnsi="Times New Roman" w:cs="Times New Roman"/>
                <w:b/>
                <w:color w:val="000000" w:themeColor="text1"/>
                <w:sz w:val="24"/>
                <w:szCs w:val="24"/>
              </w:rPr>
            </w:pPr>
            <w:r w:rsidRPr="00955BFC">
              <w:rPr>
                <w:rFonts w:ascii="Times New Roman" w:hAnsi="Times New Roman" w:cs="Times New Roman"/>
                <w:b/>
                <w:color w:val="000000" w:themeColor="text1"/>
                <w:sz w:val="24"/>
                <w:szCs w:val="24"/>
              </w:rPr>
              <w:t>Neatsižvelgta.</w:t>
            </w:r>
          </w:p>
          <w:p w14:paraId="2921A4D7" w14:textId="37636B94" w:rsidR="00955BFC" w:rsidRPr="00955BFC" w:rsidRDefault="00955BFC" w:rsidP="00955BFC">
            <w:pPr>
              <w:spacing w:after="0" w:line="240" w:lineRule="auto"/>
              <w:ind w:firstLine="567"/>
              <w:jc w:val="both"/>
              <w:rPr>
                <w:rFonts w:ascii="Times New Roman" w:hAnsi="Times New Roman" w:cs="Times New Roman"/>
                <w:color w:val="000000" w:themeColor="text1"/>
                <w:sz w:val="24"/>
                <w:szCs w:val="24"/>
              </w:rPr>
            </w:pPr>
            <w:r w:rsidRPr="00955BFC">
              <w:rPr>
                <w:rFonts w:ascii="Times New Roman" w:hAnsi="Times New Roman" w:cs="Times New Roman"/>
                <w:color w:val="000000" w:themeColor="text1"/>
                <w:sz w:val="24"/>
                <w:szCs w:val="24"/>
              </w:rPr>
              <w:t>Pamatinio sprendimo 2002/584/TVR dėl Europos arešto orderio ir perdavimo tarp valstybių narių tvarkos 25 straipsnio 1 dalyje numatyta, kad kai asmuo, kurio atžvilgiu yra išduotas Europos arešto orderis, siekiant jį patraukti baudžiamojon atsakomybėn, yra tranzito valstybės narės pilietis arba gyventojas, tranzitui gali būti taikoma sąlyga, kad asmuo po to, kai jis bus apklaustas, bus grąžintas į tranzito valstybę narę atlikti išduodančiojoje valstybėje narėje jam paskirt</w:t>
            </w:r>
            <w:r w:rsidR="00F01E4D">
              <w:rPr>
                <w:rFonts w:ascii="Times New Roman" w:hAnsi="Times New Roman" w:cs="Times New Roman"/>
                <w:color w:val="000000" w:themeColor="text1"/>
                <w:sz w:val="24"/>
                <w:szCs w:val="24"/>
              </w:rPr>
              <w:t>os</w:t>
            </w:r>
            <w:r w:rsidRPr="00955BFC">
              <w:rPr>
                <w:rFonts w:ascii="Times New Roman" w:hAnsi="Times New Roman" w:cs="Times New Roman"/>
                <w:color w:val="000000" w:themeColor="text1"/>
                <w:sz w:val="24"/>
                <w:szCs w:val="24"/>
              </w:rPr>
              <w:t xml:space="preserve"> laisvės atėmimo bausm</w:t>
            </w:r>
            <w:r w:rsidR="00F01E4D">
              <w:rPr>
                <w:rFonts w:ascii="Times New Roman" w:hAnsi="Times New Roman" w:cs="Times New Roman"/>
                <w:color w:val="000000" w:themeColor="text1"/>
                <w:sz w:val="24"/>
                <w:szCs w:val="24"/>
              </w:rPr>
              <w:t>ės</w:t>
            </w:r>
            <w:r w:rsidRPr="00955BFC">
              <w:rPr>
                <w:rFonts w:ascii="Times New Roman" w:hAnsi="Times New Roman" w:cs="Times New Roman"/>
                <w:color w:val="000000" w:themeColor="text1"/>
                <w:sz w:val="24"/>
                <w:szCs w:val="24"/>
              </w:rPr>
              <w:t xml:space="preserve"> arba įvykdyti sprendim</w:t>
            </w:r>
            <w:r w:rsidR="00F01E4D">
              <w:rPr>
                <w:rFonts w:ascii="Times New Roman" w:hAnsi="Times New Roman" w:cs="Times New Roman"/>
                <w:color w:val="000000" w:themeColor="text1"/>
                <w:sz w:val="24"/>
                <w:szCs w:val="24"/>
              </w:rPr>
              <w:t>o</w:t>
            </w:r>
            <w:r w:rsidRPr="00955BFC">
              <w:rPr>
                <w:rFonts w:ascii="Times New Roman" w:hAnsi="Times New Roman" w:cs="Times New Roman"/>
                <w:color w:val="000000" w:themeColor="text1"/>
                <w:sz w:val="24"/>
                <w:szCs w:val="24"/>
              </w:rPr>
              <w:t xml:space="preserve"> dėl įkalinimo. </w:t>
            </w:r>
          </w:p>
          <w:p w14:paraId="7BD031E0" w14:textId="0B6AA86F" w:rsidR="00955BFC" w:rsidRPr="00955BFC" w:rsidRDefault="00955BFC" w:rsidP="000930AB">
            <w:pPr>
              <w:spacing w:after="0" w:line="240" w:lineRule="auto"/>
              <w:ind w:firstLine="567"/>
              <w:jc w:val="both"/>
              <w:rPr>
                <w:rFonts w:ascii="Times New Roman" w:hAnsi="Times New Roman" w:cs="Times New Roman"/>
                <w:color w:val="000000" w:themeColor="text1"/>
                <w:sz w:val="24"/>
                <w:szCs w:val="24"/>
              </w:rPr>
            </w:pPr>
            <w:r w:rsidRPr="00955BFC">
              <w:rPr>
                <w:rFonts w:ascii="Times New Roman" w:hAnsi="Times New Roman" w:cs="Times New Roman"/>
                <w:color w:val="000000" w:themeColor="text1"/>
                <w:sz w:val="24"/>
                <w:szCs w:val="24"/>
              </w:rPr>
              <w:t xml:space="preserve">Europos Komisija 2020 m. gruodžio 3 d. laiške, kuriame informavo apie pradėtą Lietuvai pažeidimo procedūrą dėl netinkamo Pamatinio sprendimo 2002/584/TVR perkėlimo, aiškiai </w:t>
            </w:r>
            <w:r w:rsidR="00F01E4D">
              <w:rPr>
                <w:rFonts w:ascii="Times New Roman" w:hAnsi="Times New Roman" w:cs="Times New Roman"/>
                <w:color w:val="000000" w:themeColor="text1"/>
                <w:sz w:val="24"/>
                <w:szCs w:val="24"/>
              </w:rPr>
              <w:t>nurodė</w:t>
            </w:r>
            <w:r w:rsidRPr="00955BFC">
              <w:rPr>
                <w:rFonts w:ascii="Times New Roman" w:hAnsi="Times New Roman" w:cs="Times New Roman"/>
                <w:color w:val="000000" w:themeColor="text1"/>
                <w:sz w:val="24"/>
                <w:szCs w:val="24"/>
              </w:rPr>
              <w:t>, kad nuolatinio gyventojo neįtraukimas BPK 77</w:t>
            </w:r>
            <w:r w:rsidRPr="00955BFC">
              <w:rPr>
                <w:rFonts w:ascii="Times New Roman" w:hAnsi="Times New Roman" w:cs="Times New Roman"/>
                <w:color w:val="000000" w:themeColor="text1"/>
                <w:sz w:val="24"/>
                <w:szCs w:val="24"/>
                <w:vertAlign w:val="superscript"/>
              </w:rPr>
              <w:t>1</w:t>
            </w:r>
            <w:r w:rsidRPr="00955BFC">
              <w:rPr>
                <w:rFonts w:ascii="Times New Roman" w:hAnsi="Times New Roman" w:cs="Times New Roman"/>
                <w:color w:val="000000" w:themeColor="text1"/>
                <w:sz w:val="24"/>
                <w:szCs w:val="24"/>
              </w:rPr>
              <w:t xml:space="preserve"> straipsnio 3 dalyje yra nesuderinamas su nediskriminavimo principu. Atsižvelgiant į tai, būtina numatyti, kad BPK 77</w:t>
            </w:r>
            <w:r w:rsidRPr="00955BFC">
              <w:rPr>
                <w:rFonts w:ascii="Times New Roman" w:hAnsi="Times New Roman" w:cs="Times New Roman"/>
                <w:color w:val="000000" w:themeColor="text1"/>
                <w:sz w:val="24"/>
                <w:szCs w:val="24"/>
                <w:vertAlign w:val="superscript"/>
              </w:rPr>
              <w:t>1</w:t>
            </w:r>
            <w:r w:rsidRPr="00955BFC">
              <w:rPr>
                <w:rFonts w:ascii="Times New Roman" w:hAnsi="Times New Roman" w:cs="Times New Roman"/>
                <w:color w:val="000000" w:themeColor="text1"/>
                <w:sz w:val="24"/>
                <w:szCs w:val="24"/>
              </w:rPr>
              <w:t xml:space="preserve"> straipsnio 3 dalyje numatyta tranzito sąlyga taikytina ne tik Lietuvos Respublikos piliečiui, bet ir nuolatiniam gyventojui. Teisingumo ministerijos nuomone, atsižvelgiant į tai, kad tranzito prašymai nagrinėjami skubos tvarka</w:t>
            </w:r>
            <w:r w:rsidR="00F01E4D">
              <w:rPr>
                <w:rFonts w:ascii="Times New Roman" w:hAnsi="Times New Roman" w:cs="Times New Roman"/>
                <w:color w:val="000000" w:themeColor="text1"/>
                <w:sz w:val="24"/>
                <w:szCs w:val="24"/>
              </w:rPr>
              <w:t>,</w:t>
            </w:r>
            <w:r w:rsidRPr="00955BFC">
              <w:rPr>
                <w:rFonts w:ascii="Times New Roman" w:hAnsi="Times New Roman" w:cs="Times New Roman"/>
                <w:color w:val="000000" w:themeColor="text1"/>
                <w:sz w:val="24"/>
                <w:szCs w:val="24"/>
              </w:rPr>
              <w:t xml:space="preserve"> bei į tai, kad asmens perdavimo tol</w:t>
            </w:r>
            <w:r w:rsidR="00F01E4D">
              <w:rPr>
                <w:rFonts w:ascii="Times New Roman" w:hAnsi="Times New Roman" w:cs="Times New Roman"/>
                <w:color w:val="000000" w:themeColor="text1"/>
                <w:sz w:val="24"/>
                <w:szCs w:val="24"/>
              </w:rPr>
              <w:t xml:space="preserve">iau atlikti </w:t>
            </w:r>
            <w:r w:rsidRPr="00955BFC">
              <w:rPr>
                <w:rFonts w:ascii="Times New Roman" w:hAnsi="Times New Roman" w:cs="Times New Roman"/>
                <w:color w:val="000000" w:themeColor="text1"/>
                <w:sz w:val="24"/>
                <w:szCs w:val="24"/>
              </w:rPr>
              <w:t>bausm</w:t>
            </w:r>
            <w:r w:rsidR="00F01E4D">
              <w:rPr>
                <w:rFonts w:ascii="Times New Roman" w:hAnsi="Times New Roman" w:cs="Times New Roman"/>
                <w:color w:val="000000" w:themeColor="text1"/>
                <w:sz w:val="24"/>
                <w:szCs w:val="24"/>
              </w:rPr>
              <w:t>ę</w:t>
            </w:r>
            <w:r w:rsidRPr="00955BFC">
              <w:rPr>
                <w:rFonts w:ascii="Times New Roman" w:hAnsi="Times New Roman" w:cs="Times New Roman"/>
                <w:color w:val="000000" w:themeColor="text1"/>
                <w:sz w:val="24"/>
                <w:szCs w:val="24"/>
              </w:rPr>
              <w:t xml:space="preserve"> klausimai nagrinėtini atskirai vėlesniame etape ir pagal sąlygas ir tvarką</w:t>
            </w:r>
            <w:r w:rsidR="00F01E4D">
              <w:rPr>
                <w:rFonts w:ascii="Times New Roman" w:hAnsi="Times New Roman" w:cs="Times New Roman"/>
                <w:color w:val="000000" w:themeColor="text1"/>
                <w:sz w:val="24"/>
                <w:szCs w:val="24"/>
              </w:rPr>
              <w:t>,</w:t>
            </w:r>
            <w:r w:rsidRPr="00955BFC">
              <w:rPr>
                <w:rFonts w:ascii="Times New Roman" w:hAnsi="Times New Roman" w:cs="Times New Roman"/>
                <w:color w:val="000000" w:themeColor="text1"/>
                <w:sz w:val="24"/>
                <w:szCs w:val="24"/>
              </w:rPr>
              <w:t xml:space="preserve"> numatytą kituose teisės aktuose (Tarybos pamatiniame sprendime 2008/909/TVR), taikant BPK 77</w:t>
            </w:r>
            <w:r w:rsidRPr="00955BFC">
              <w:rPr>
                <w:rFonts w:ascii="Times New Roman" w:hAnsi="Times New Roman" w:cs="Times New Roman"/>
                <w:color w:val="000000" w:themeColor="text1"/>
                <w:sz w:val="24"/>
                <w:szCs w:val="24"/>
                <w:vertAlign w:val="superscript"/>
              </w:rPr>
              <w:t>1</w:t>
            </w:r>
            <w:r w:rsidRPr="00955BFC">
              <w:rPr>
                <w:rFonts w:ascii="Times New Roman" w:hAnsi="Times New Roman" w:cs="Times New Roman"/>
                <w:color w:val="000000" w:themeColor="text1"/>
                <w:sz w:val="24"/>
                <w:szCs w:val="24"/>
              </w:rPr>
              <w:t xml:space="preserve"> straipsnio 3 dalį pakaktų patikrinti naudojantis neatlygintina prieiga prie atitinkamai Gyventojų ar Užsieniečių registro, </w:t>
            </w:r>
            <w:r w:rsidR="000930AB">
              <w:rPr>
                <w:rFonts w:ascii="Times New Roman" w:hAnsi="Times New Roman" w:cs="Times New Roman"/>
                <w:color w:val="000000" w:themeColor="text1"/>
                <w:sz w:val="24"/>
                <w:szCs w:val="24"/>
              </w:rPr>
              <w:t>ar</w:t>
            </w:r>
            <w:r w:rsidR="000930AB" w:rsidRPr="00955BFC">
              <w:rPr>
                <w:rFonts w:ascii="Times New Roman" w:hAnsi="Times New Roman" w:cs="Times New Roman"/>
                <w:color w:val="000000" w:themeColor="text1"/>
                <w:sz w:val="24"/>
                <w:szCs w:val="24"/>
              </w:rPr>
              <w:t xml:space="preserve"> </w:t>
            </w:r>
            <w:bookmarkStart w:id="0" w:name="_GoBack"/>
            <w:bookmarkEnd w:id="0"/>
            <w:r w:rsidRPr="00955BFC">
              <w:rPr>
                <w:rFonts w:ascii="Times New Roman" w:hAnsi="Times New Roman" w:cs="Times New Roman"/>
                <w:color w:val="000000" w:themeColor="text1"/>
                <w:sz w:val="24"/>
                <w:szCs w:val="24"/>
              </w:rPr>
              <w:t>toks asmuo turi leidimą gyventi Lietuvoje. Be to, atkreiptinas dėmesys į tai, kad</w:t>
            </w:r>
            <w:r w:rsidR="00DB158A">
              <w:rPr>
                <w:rFonts w:ascii="Times New Roman" w:hAnsi="Times New Roman" w:cs="Times New Roman"/>
                <w:color w:val="000000" w:themeColor="text1"/>
                <w:sz w:val="24"/>
                <w:szCs w:val="24"/>
              </w:rPr>
              <w:t>,</w:t>
            </w:r>
            <w:r w:rsidRPr="00955BFC">
              <w:rPr>
                <w:rFonts w:ascii="Times New Roman" w:hAnsi="Times New Roman" w:cs="Times New Roman"/>
                <w:color w:val="000000" w:themeColor="text1"/>
                <w:sz w:val="24"/>
                <w:szCs w:val="24"/>
              </w:rPr>
              <w:t xml:space="preserve"> Europos Komisijos atstovų nuomone, išreikšta neformaliai bendradarbiaujant Lietuvai pradėtos pažeidimo </w:t>
            </w:r>
            <w:r w:rsidR="000930AB" w:rsidRPr="00955BFC">
              <w:rPr>
                <w:rFonts w:ascii="Times New Roman" w:hAnsi="Times New Roman" w:cs="Times New Roman"/>
                <w:color w:val="000000" w:themeColor="text1"/>
                <w:sz w:val="24"/>
                <w:szCs w:val="24"/>
              </w:rPr>
              <w:t>proc</w:t>
            </w:r>
            <w:r w:rsidR="000930AB">
              <w:rPr>
                <w:rFonts w:ascii="Times New Roman" w:hAnsi="Times New Roman" w:cs="Times New Roman"/>
                <w:color w:val="000000" w:themeColor="text1"/>
                <w:sz w:val="24"/>
                <w:szCs w:val="24"/>
              </w:rPr>
              <w:t>edūros</w:t>
            </w:r>
            <w:r w:rsidR="000930AB" w:rsidRPr="00955BFC">
              <w:rPr>
                <w:rFonts w:ascii="Times New Roman" w:hAnsi="Times New Roman" w:cs="Times New Roman"/>
                <w:color w:val="000000" w:themeColor="text1"/>
                <w:sz w:val="24"/>
                <w:szCs w:val="24"/>
              </w:rPr>
              <w:t xml:space="preserve"> </w:t>
            </w:r>
            <w:r w:rsidRPr="00955BFC">
              <w:rPr>
                <w:rFonts w:ascii="Times New Roman" w:hAnsi="Times New Roman" w:cs="Times New Roman"/>
                <w:color w:val="000000" w:themeColor="text1"/>
                <w:sz w:val="24"/>
                <w:szCs w:val="24"/>
              </w:rPr>
              <w:t>metu, Įstatymas dėl užsieniečių teisinės padėties (konkrečiai 104 ir 105 straipsniai) yra pakankamai platus, kad apimtų tiek „gyventojo“ („resident“), tiek „esančio asmens“ („staying in“) sąvokas, vartojamas Pamatiniame sprendime 2002/584/TVR.</w:t>
            </w:r>
          </w:p>
        </w:tc>
      </w:tr>
      <w:tr w:rsidR="00955BFC" w:rsidRPr="00753980" w14:paraId="0DE6B492" w14:textId="77777777" w:rsidTr="0041559F">
        <w:tblPrEx>
          <w:tblLook w:val="0000" w:firstRow="0" w:lastRow="0" w:firstColumn="0" w:lastColumn="0" w:noHBand="0" w:noVBand="0"/>
        </w:tblPrEx>
        <w:trPr>
          <w:trHeight w:val="567"/>
        </w:trPr>
        <w:tc>
          <w:tcPr>
            <w:tcW w:w="2689" w:type="dxa"/>
          </w:tcPr>
          <w:p w14:paraId="5C70C579" w14:textId="5FAC081F" w:rsidR="00955BFC" w:rsidRPr="00955BFC" w:rsidRDefault="00955BFC" w:rsidP="00955BF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Lietuvo</w:t>
            </w:r>
            <w:r w:rsidRPr="00955BFC">
              <w:rPr>
                <w:rFonts w:ascii="Times New Roman" w:hAnsi="Times New Roman" w:cs="Times New Roman"/>
                <w:color w:val="000000" w:themeColor="text1"/>
                <w:sz w:val="24"/>
                <w:szCs w:val="24"/>
              </w:rPr>
              <w:t>s Respub</w:t>
            </w:r>
            <w:r>
              <w:rPr>
                <w:rFonts w:ascii="Times New Roman" w:hAnsi="Times New Roman" w:cs="Times New Roman"/>
                <w:color w:val="000000" w:themeColor="text1"/>
                <w:sz w:val="24"/>
                <w:szCs w:val="24"/>
              </w:rPr>
              <w:t xml:space="preserve">likos generalinės prokuratūros </w:t>
            </w:r>
            <w:r w:rsidRPr="00955BFC">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 xml:space="preserve">-10-12 raštas </w:t>
            </w:r>
            <w:r w:rsidRPr="00955BFC">
              <w:rPr>
                <w:rFonts w:ascii="Times New Roman" w:hAnsi="Times New Roman" w:cs="Times New Roman"/>
                <w:color w:val="000000" w:themeColor="text1"/>
                <w:sz w:val="24"/>
                <w:szCs w:val="24"/>
              </w:rPr>
              <w:t>Nr. 17.2.-2815</w:t>
            </w:r>
          </w:p>
          <w:p w14:paraId="14A45C73" w14:textId="77777777" w:rsidR="00955BFC" w:rsidRPr="00955BFC" w:rsidRDefault="00955BFC" w:rsidP="00541503">
            <w:pPr>
              <w:spacing w:after="0"/>
              <w:rPr>
                <w:rFonts w:ascii="Times New Roman" w:hAnsi="Times New Roman" w:cs="Times New Roman"/>
                <w:color w:val="000000" w:themeColor="text1"/>
                <w:sz w:val="24"/>
                <w:szCs w:val="24"/>
              </w:rPr>
            </w:pPr>
          </w:p>
        </w:tc>
        <w:tc>
          <w:tcPr>
            <w:tcW w:w="6804" w:type="dxa"/>
          </w:tcPr>
          <w:p w14:paraId="007B5ACF" w14:textId="4C272661" w:rsidR="00955BFC" w:rsidRPr="00955BFC" w:rsidRDefault="00955BFC" w:rsidP="00955BFC">
            <w:pPr>
              <w:spacing w:after="0" w:line="240" w:lineRule="auto"/>
              <w:ind w:firstLine="567"/>
              <w:jc w:val="both"/>
              <w:rPr>
                <w:rFonts w:ascii="Times New Roman" w:hAnsi="Times New Roman"/>
                <w:sz w:val="24"/>
                <w:szCs w:val="24"/>
              </w:rPr>
            </w:pPr>
            <w:r w:rsidRPr="00955BFC">
              <w:rPr>
                <w:rFonts w:ascii="Times New Roman" w:eastAsia="Calibri" w:hAnsi="Times New Roman" w:cs="Times New Roman"/>
                <w:sz w:val="24"/>
              </w:rPr>
              <w:t>Nėra nurodyta, pagal kurios valstybės – išduodančiosios ar vykdančiosios – įstatymus bus vykdomas asmens išklausymas. Taip pat nėra aišku, kokių taisyklių turi būti laikomasi atliekant išklausymą, nes galiojančiame Baudžiamojo proceso kodekse (toliau – BPK) toks procesinis veiksmas nėra numatytas, o BPK pakeitimo projekto 71</w:t>
            </w:r>
            <w:r w:rsidRPr="00955BFC">
              <w:rPr>
                <w:rFonts w:ascii="Times New Roman" w:eastAsia="Calibri" w:hAnsi="Times New Roman" w:cs="Times New Roman"/>
                <w:sz w:val="24"/>
                <w:vertAlign w:val="superscript"/>
              </w:rPr>
              <w:t>1</w:t>
            </w:r>
            <w:r w:rsidRPr="00955BFC">
              <w:rPr>
                <w:rFonts w:ascii="Times New Roman" w:eastAsia="Calibri" w:hAnsi="Times New Roman" w:cs="Times New Roman"/>
                <w:sz w:val="24"/>
              </w:rPr>
              <w:t xml:space="preserve"> straipsnio 11 dalyje jo atlikimas nedetalizuojamas.</w:t>
            </w:r>
          </w:p>
        </w:tc>
        <w:tc>
          <w:tcPr>
            <w:tcW w:w="5499" w:type="dxa"/>
          </w:tcPr>
          <w:p w14:paraId="377D973A" w14:textId="77777777" w:rsidR="00955BFC" w:rsidRPr="00955BFC" w:rsidRDefault="00955BFC" w:rsidP="00955BFC">
            <w:pPr>
              <w:spacing w:after="0" w:line="240" w:lineRule="auto"/>
              <w:ind w:firstLine="567"/>
              <w:jc w:val="both"/>
              <w:rPr>
                <w:rFonts w:ascii="Times New Roman" w:hAnsi="Times New Roman" w:cs="Times New Roman"/>
                <w:b/>
                <w:bCs/>
                <w:color w:val="000000" w:themeColor="text1"/>
                <w:sz w:val="24"/>
                <w:szCs w:val="24"/>
              </w:rPr>
            </w:pPr>
            <w:r w:rsidRPr="00955BFC">
              <w:rPr>
                <w:rFonts w:ascii="Times New Roman" w:hAnsi="Times New Roman" w:cs="Times New Roman"/>
                <w:b/>
                <w:bCs/>
                <w:color w:val="000000" w:themeColor="text1"/>
                <w:sz w:val="24"/>
                <w:szCs w:val="24"/>
              </w:rPr>
              <w:t>Neatsižvelgta.</w:t>
            </w:r>
          </w:p>
          <w:p w14:paraId="17575F10" w14:textId="02FBA324" w:rsidR="00955BFC" w:rsidRPr="00955BFC" w:rsidRDefault="00955BFC" w:rsidP="00DB158A">
            <w:pPr>
              <w:spacing w:after="0" w:line="240" w:lineRule="auto"/>
              <w:ind w:firstLine="567"/>
              <w:jc w:val="both"/>
              <w:rPr>
                <w:rFonts w:ascii="Times New Roman" w:hAnsi="Times New Roman" w:cs="Times New Roman"/>
                <w:color w:val="000000" w:themeColor="text1"/>
                <w:sz w:val="24"/>
                <w:szCs w:val="24"/>
              </w:rPr>
            </w:pPr>
            <w:r w:rsidRPr="00955BFC">
              <w:rPr>
                <w:rFonts w:ascii="Times New Roman" w:hAnsi="Times New Roman" w:cs="Times New Roman"/>
                <w:color w:val="000000" w:themeColor="text1"/>
                <w:sz w:val="24"/>
                <w:szCs w:val="24"/>
              </w:rPr>
              <w:t>Pamatinio sprendimo 2002/584/TVR 19 straipsnio 2 dalyje numatyta, kad prašomas perduoti asmuo išklausomas pagal vykdančiosios valstybės įstatymus, laikantis išduodančiosios ir vykdančiosios teisminių institucijų abipusi</w:t>
            </w:r>
            <w:r w:rsidR="00DB158A">
              <w:rPr>
                <w:rFonts w:ascii="Times New Roman" w:hAnsi="Times New Roman" w:cs="Times New Roman"/>
                <w:color w:val="000000" w:themeColor="text1"/>
                <w:sz w:val="24"/>
                <w:szCs w:val="24"/>
              </w:rPr>
              <w:t>u</w:t>
            </w:r>
            <w:r w:rsidRPr="00955BFC">
              <w:rPr>
                <w:rFonts w:ascii="Times New Roman" w:hAnsi="Times New Roman" w:cs="Times New Roman"/>
                <w:color w:val="000000" w:themeColor="text1"/>
                <w:sz w:val="24"/>
                <w:szCs w:val="24"/>
              </w:rPr>
              <w:t xml:space="preserve"> susitarim</w:t>
            </w:r>
            <w:r w:rsidR="00DB158A">
              <w:rPr>
                <w:rFonts w:ascii="Times New Roman" w:hAnsi="Times New Roman" w:cs="Times New Roman"/>
                <w:color w:val="000000" w:themeColor="text1"/>
                <w:sz w:val="24"/>
                <w:szCs w:val="24"/>
              </w:rPr>
              <w:t>u</w:t>
            </w:r>
            <w:r w:rsidRPr="00955BFC">
              <w:rPr>
                <w:rFonts w:ascii="Times New Roman" w:hAnsi="Times New Roman" w:cs="Times New Roman"/>
                <w:color w:val="000000" w:themeColor="text1"/>
                <w:sz w:val="24"/>
                <w:szCs w:val="24"/>
              </w:rPr>
              <w:t xml:space="preserve"> nustatytų sąlygų. Įgyvendinant šią nuostatą, BPK projekte įtvirtinta, kad išklausymo metu išduodančiosios valstybės kompetentinga institucija turi laikytis sutartų sąlygų ir taisyklių, jeigu šių taisyklių laikymasis nepažeidžia Lietuvos Respublikos įstatymų ir neprieštarauja esminiams baudžiamojo proceso Lietuvos Respublikoje principams. Manome, kad ši projekto nuostata yra pakankama nustatyti, kad išklausymo procesas neturi prieštarauti Lietuvos teisės aktams ir baudžiamojo proceso pagrindiniams principams.</w:t>
            </w:r>
          </w:p>
        </w:tc>
      </w:tr>
      <w:tr w:rsidR="00955BFC" w:rsidRPr="00753980" w14:paraId="45460D5D" w14:textId="77777777" w:rsidTr="0041559F">
        <w:tblPrEx>
          <w:tblLook w:val="0000" w:firstRow="0" w:lastRow="0" w:firstColumn="0" w:lastColumn="0" w:noHBand="0" w:noVBand="0"/>
        </w:tblPrEx>
        <w:trPr>
          <w:trHeight w:val="567"/>
        </w:trPr>
        <w:tc>
          <w:tcPr>
            <w:tcW w:w="2689" w:type="dxa"/>
            <w:vMerge w:val="restart"/>
          </w:tcPr>
          <w:p w14:paraId="776FE5C5" w14:textId="77777777" w:rsidR="00955BFC" w:rsidRPr="00753980" w:rsidRDefault="00955BFC" w:rsidP="00955BFC">
            <w:pPr>
              <w:spacing w:after="0"/>
              <w:rPr>
                <w:rFonts w:ascii="Times New Roman" w:hAnsi="Times New Roman" w:cs="Times New Roman"/>
                <w:color w:val="000000" w:themeColor="text1"/>
                <w:sz w:val="24"/>
                <w:szCs w:val="24"/>
              </w:rPr>
            </w:pPr>
            <w:r w:rsidRPr="00753980">
              <w:rPr>
                <w:rFonts w:ascii="Times New Roman" w:hAnsi="Times New Roman" w:cs="Times New Roman"/>
                <w:color w:val="000000" w:themeColor="text1"/>
                <w:sz w:val="24"/>
                <w:szCs w:val="24"/>
              </w:rPr>
              <w:t xml:space="preserve">Nacionalinės teismų administracijos </w:t>
            </w:r>
          </w:p>
          <w:p w14:paraId="1619BD08" w14:textId="1ACEA2D7" w:rsidR="00955BFC" w:rsidRDefault="00955BFC" w:rsidP="00955BFC">
            <w:pPr>
              <w:spacing w:after="0"/>
              <w:rPr>
                <w:rFonts w:ascii="Times New Roman" w:hAnsi="Times New Roman" w:cs="Times New Roman"/>
                <w:color w:val="000000" w:themeColor="text1"/>
                <w:sz w:val="24"/>
                <w:szCs w:val="24"/>
              </w:rPr>
            </w:pPr>
            <w:r w:rsidRPr="00753980">
              <w:rPr>
                <w:rFonts w:ascii="Times New Roman" w:hAnsi="Times New Roman" w:cs="Times New Roman"/>
                <w:color w:val="000000" w:themeColor="text1"/>
                <w:sz w:val="24"/>
                <w:szCs w:val="24"/>
              </w:rPr>
              <w:t>2021-06-23 raštas Nr. 4R-837-(6.6)</w:t>
            </w:r>
          </w:p>
        </w:tc>
        <w:tc>
          <w:tcPr>
            <w:tcW w:w="6804" w:type="dxa"/>
          </w:tcPr>
          <w:p w14:paraId="51BA57EA" w14:textId="77777777" w:rsidR="00955BFC" w:rsidRPr="005F1314" w:rsidRDefault="00955BFC" w:rsidP="00955BFC">
            <w:pPr>
              <w:spacing w:after="0" w:line="240" w:lineRule="auto"/>
              <w:ind w:firstLine="567"/>
              <w:jc w:val="both"/>
              <w:rPr>
                <w:rFonts w:ascii="Times New Roman" w:hAnsi="Times New Roman" w:cs="Times New Roman"/>
                <w:color w:val="000000"/>
                <w:sz w:val="24"/>
                <w:szCs w:val="24"/>
              </w:rPr>
            </w:pPr>
            <w:r w:rsidRPr="005F1314">
              <w:rPr>
                <w:rFonts w:ascii="Times New Roman" w:hAnsi="Times New Roman" w:cs="Times New Roman"/>
                <w:color w:val="000000"/>
                <w:sz w:val="24"/>
                <w:szCs w:val="24"/>
              </w:rPr>
              <w:t xml:space="preserve">Svarstytina, ar projektų rengėjų siūloma teisėkūros iniciatyva padėtų spręsti keliamą problemą, nes ji, manytina, labiau susijusi su efektyvaus padarytų nusikaltimų atskleidimo ir išaiškinimo užtikrinimu, o ne su atsakomybės už šiuos nusikaltimus laipsniu. Administracija abejoja, ar vien sankcijos apatinės ribos padidinimas už atitinkamos BK numatytos nusikalstamos veikos padarymą gali </w:t>
            </w:r>
            <w:r w:rsidRPr="005F1314">
              <w:rPr>
                <w:rFonts w:ascii="Times New Roman" w:hAnsi="Times New Roman" w:cs="Times New Roman"/>
                <w:color w:val="000000"/>
                <w:sz w:val="24"/>
                <w:szCs w:val="24"/>
              </w:rPr>
              <w:lastRenderedPageBreak/>
              <w:t>pasiekti tuos tikslus, kurių siekiama griežtinant valstybės baudžiamąją politiką. Kita vertus, aiškinamajame rašte nėra pakankamai aiškiai pasisakyta, kokio masto problema yra sprendžiama, t. y. nepateikta kriminogeninės tokių nusikaltimų situacijos ar dinamikos, registruotų ir latentinių nusikalstamų</w:t>
            </w:r>
            <w:r>
              <w:rPr>
                <w:rFonts w:ascii="Times New Roman" w:hAnsi="Times New Roman" w:cs="Times New Roman"/>
                <w:color w:val="000000"/>
                <w:sz w:val="24"/>
                <w:szCs w:val="24"/>
              </w:rPr>
              <w:t xml:space="preserve"> veikų santykio analizė ir pan.</w:t>
            </w:r>
          </w:p>
          <w:p w14:paraId="7475A64F" w14:textId="74CB7AFB" w:rsidR="00955BFC" w:rsidRPr="00955BFC" w:rsidRDefault="00955BFC" w:rsidP="00955BFC">
            <w:pPr>
              <w:spacing w:after="0" w:line="240" w:lineRule="auto"/>
              <w:ind w:firstLine="567"/>
              <w:jc w:val="both"/>
              <w:rPr>
                <w:rFonts w:ascii="Times New Roman" w:eastAsia="Calibri" w:hAnsi="Times New Roman" w:cs="Times New Roman"/>
                <w:sz w:val="24"/>
              </w:rPr>
            </w:pPr>
            <w:r w:rsidRPr="005F1314">
              <w:rPr>
                <w:rFonts w:ascii="Times New Roman" w:hAnsi="Times New Roman" w:cs="Times New Roman"/>
                <w:color w:val="000000"/>
                <w:sz w:val="24"/>
                <w:szCs w:val="24"/>
              </w:rPr>
              <w:t>Dėl šių priežasčių Administracija siūlo BK projekto rengėjams persvarstyti baudžiamosios atsakomybės griežtinimą už BK 118 straipsnyje ir 119 straipsnyje numatytų nusikaltimų padarymą, įvertinant tai, kad projekto rengėjų siekiami tikslai siūlomomis  teisinėmis priemonėmis gali būti neįgyvendinti.</w:t>
            </w:r>
          </w:p>
        </w:tc>
        <w:tc>
          <w:tcPr>
            <w:tcW w:w="5499" w:type="dxa"/>
          </w:tcPr>
          <w:p w14:paraId="4D8362F4" w14:textId="77777777" w:rsidR="00955BFC" w:rsidRPr="00E62BAC" w:rsidRDefault="00955BFC" w:rsidP="00955BFC">
            <w:pPr>
              <w:spacing w:after="0" w:line="240" w:lineRule="auto"/>
              <w:ind w:firstLine="567"/>
              <w:jc w:val="both"/>
              <w:rPr>
                <w:rFonts w:ascii="Times New Roman" w:hAnsi="Times New Roman" w:cs="Times New Roman"/>
                <w:b/>
                <w:bCs/>
                <w:color w:val="000000"/>
                <w:sz w:val="24"/>
                <w:szCs w:val="24"/>
              </w:rPr>
            </w:pPr>
            <w:r w:rsidRPr="00E62BAC">
              <w:rPr>
                <w:rFonts w:ascii="Times New Roman" w:hAnsi="Times New Roman" w:cs="Times New Roman"/>
                <w:b/>
                <w:bCs/>
                <w:color w:val="000000"/>
                <w:sz w:val="24"/>
                <w:szCs w:val="24"/>
              </w:rPr>
              <w:lastRenderedPageBreak/>
              <w:t>Neatsižvelgta.</w:t>
            </w:r>
          </w:p>
          <w:p w14:paraId="44780A2D" w14:textId="0AAE5C38" w:rsidR="00955BFC" w:rsidRDefault="00955BFC" w:rsidP="00955BFC">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Vertinant </w:t>
            </w:r>
            <w:r w:rsidRPr="00A6254A">
              <w:rPr>
                <w:rFonts w:ascii="Times New Roman" w:hAnsi="Times New Roman" w:cs="Times New Roman"/>
                <w:bCs/>
                <w:color w:val="000000"/>
                <w:sz w:val="24"/>
                <w:szCs w:val="24"/>
              </w:rPr>
              <w:t xml:space="preserve">BK 118 straipsnyje ir 119 straipsnyje įtvirtintų nusikalstamų veikų </w:t>
            </w:r>
            <w:r>
              <w:rPr>
                <w:rFonts w:ascii="Times New Roman" w:hAnsi="Times New Roman" w:cs="Times New Roman"/>
                <w:bCs/>
                <w:color w:val="000000"/>
                <w:sz w:val="24"/>
                <w:szCs w:val="24"/>
              </w:rPr>
              <w:t xml:space="preserve">sankcijų veiksmingumą turėtų būti atsižvelgiama ne tik į </w:t>
            </w:r>
            <w:r w:rsidRPr="005F1314">
              <w:rPr>
                <w:rFonts w:ascii="Times New Roman" w:hAnsi="Times New Roman" w:cs="Times New Roman"/>
                <w:color w:val="000000"/>
                <w:sz w:val="24"/>
                <w:szCs w:val="24"/>
              </w:rPr>
              <w:t xml:space="preserve">kriminogeninės tokių nusikaltimų situacijos ar dinamikos, registruotų ir </w:t>
            </w:r>
            <w:r w:rsidRPr="005F1314">
              <w:rPr>
                <w:rFonts w:ascii="Times New Roman" w:hAnsi="Times New Roman" w:cs="Times New Roman"/>
                <w:color w:val="000000"/>
                <w:sz w:val="24"/>
                <w:szCs w:val="24"/>
              </w:rPr>
              <w:lastRenderedPageBreak/>
              <w:t>latentinių nusikalstamų</w:t>
            </w:r>
            <w:r>
              <w:rPr>
                <w:rFonts w:ascii="Times New Roman" w:hAnsi="Times New Roman" w:cs="Times New Roman"/>
                <w:color w:val="000000"/>
                <w:sz w:val="24"/>
                <w:szCs w:val="24"/>
              </w:rPr>
              <w:t xml:space="preserve"> veikų santykio analiz</w:t>
            </w:r>
            <w:r w:rsidR="00DB158A">
              <w:rPr>
                <w:rFonts w:ascii="Times New Roman" w:hAnsi="Times New Roman" w:cs="Times New Roman"/>
                <w:color w:val="000000"/>
                <w:sz w:val="24"/>
                <w:szCs w:val="24"/>
              </w:rPr>
              <w:t>ę</w:t>
            </w:r>
            <w:r>
              <w:rPr>
                <w:rFonts w:ascii="Times New Roman" w:hAnsi="Times New Roman" w:cs="Times New Roman"/>
                <w:color w:val="000000"/>
                <w:sz w:val="24"/>
                <w:szCs w:val="24"/>
              </w:rPr>
              <w:t xml:space="preserve"> ir pan., bet ir į geopolitinę situaciją.</w:t>
            </w:r>
          </w:p>
          <w:p w14:paraId="4C2B2A87" w14:textId="5E149667" w:rsidR="00955BFC" w:rsidRPr="00A6254A" w:rsidRDefault="00955BFC" w:rsidP="00955BFC">
            <w:pPr>
              <w:spacing w:after="0" w:line="240" w:lineRule="auto"/>
              <w:ind w:firstLine="567"/>
              <w:jc w:val="both"/>
              <w:rPr>
                <w:rFonts w:ascii="Times New Roman" w:hAnsi="Times New Roman" w:cs="Times New Roman"/>
                <w:bCs/>
                <w:color w:val="000000"/>
                <w:sz w:val="24"/>
                <w:szCs w:val="24"/>
              </w:rPr>
            </w:pPr>
            <w:r w:rsidRPr="00A6254A">
              <w:rPr>
                <w:rFonts w:ascii="Times New Roman" w:hAnsi="Times New Roman" w:cs="Times New Roman"/>
                <w:bCs/>
                <w:color w:val="000000"/>
                <w:sz w:val="24"/>
                <w:szCs w:val="24"/>
              </w:rPr>
              <w:t>Pažymėtina, kad šiuo metu galiojančios Nacionalinio saugumo strategijos (Lietuvos Respublikos Seimo 2017 m. sausio 17 d. nutarimo Nr</w:t>
            </w:r>
            <w:r w:rsidR="00DB158A" w:rsidRPr="00A6254A">
              <w:rPr>
                <w:rFonts w:ascii="Times New Roman" w:hAnsi="Times New Roman" w:cs="Times New Roman"/>
                <w:bCs/>
                <w:color w:val="000000"/>
                <w:sz w:val="24"/>
                <w:szCs w:val="24"/>
              </w:rPr>
              <w:t>.</w:t>
            </w:r>
            <w:r w:rsidR="00DB158A">
              <w:rPr>
                <w:rFonts w:ascii="Times New Roman" w:hAnsi="Times New Roman" w:cs="Times New Roman"/>
                <w:bCs/>
                <w:color w:val="000000"/>
                <w:sz w:val="24"/>
                <w:szCs w:val="24"/>
              </w:rPr>
              <w:t> </w:t>
            </w:r>
            <w:r w:rsidRPr="00A6254A">
              <w:rPr>
                <w:rFonts w:ascii="Times New Roman" w:hAnsi="Times New Roman" w:cs="Times New Roman"/>
                <w:bCs/>
                <w:color w:val="000000"/>
                <w:sz w:val="24"/>
                <w:szCs w:val="24"/>
              </w:rPr>
              <w:t>XIII-202 redakcija) 8 punkte nustatyta, kad Lietuvos Respublikos saugumui dabartiniu laikotarpiu pagrindinę grėsmę kelia agresyvūs Rusijos Federacijos veiksmai, pažeidžiantys visuotinėmis tarptautinės teisės normomis ir principais bei taikiu sambūviu pagrįstą saugumo architektūrą; agresija prieš kaimynines valstybes, Krymo aneksija, prie Lietuvos Respublikos ir kitų šalių sienų, ypač Kaliningrado (Karaliaučiaus) srityje, telkiama naujausia Rusijos Federacijos ginkluotė, didelio masto puolamojo pobūdžio pajėgos ir jų pratybos kelia tarptautinę įtampą ir pavojų pasaulio taikai; Rusijos Federacijos pasirengimas išvien naudoti karines ir ekonomines, energetines, informacines ir kitokio pobūdžio civilines priemones, nukreiptas prieš kaimynines valstybes, gebėjimas išnaudoti ir kurti vidines Lietuvos Respublikos Rytų kaimynystėje esančių valstybių problemas, taip pat pasirengimas panaudoti branduolinį ginklą ir prieš jo neturinčias valstybes yra iššūkis Lietuvos Respublikos ir visos euroatlantinės bendruomenės saugumui; šie veiksniai darys įtaką šalies saugumui ne tik artimiausiu metu, bet ir ateityje.</w:t>
            </w:r>
          </w:p>
          <w:p w14:paraId="2F0B5024" w14:textId="77777777" w:rsidR="00955BFC" w:rsidRDefault="00955BFC" w:rsidP="00955BFC">
            <w:pPr>
              <w:spacing w:after="0" w:line="240" w:lineRule="auto"/>
              <w:ind w:firstLine="567"/>
              <w:jc w:val="both"/>
              <w:rPr>
                <w:rFonts w:ascii="Times New Roman" w:hAnsi="Times New Roman" w:cs="Times New Roman"/>
                <w:bCs/>
                <w:color w:val="000000"/>
                <w:sz w:val="24"/>
                <w:szCs w:val="24"/>
              </w:rPr>
            </w:pPr>
            <w:r w:rsidRPr="00A6254A">
              <w:rPr>
                <w:rFonts w:ascii="Times New Roman" w:hAnsi="Times New Roman" w:cs="Times New Roman"/>
                <w:bCs/>
                <w:color w:val="000000"/>
                <w:sz w:val="24"/>
                <w:szCs w:val="24"/>
              </w:rPr>
              <w:t>Taip pat pagal Nacionalinio saugumo strategijos 14.2 papunktį prie grėsmių, pavojų ir rizikos veiksnių, kuriems nacionalinį saugumą užtikrinančios institucijos turi skirti ypatingą dėmesį, priskiriamos užmaskuotos karinės ir žvalgybos priemonės, kurias pasitelkia užsienio valstybės ir kurios gali būti panaudotos siekiant daryti neigiamą įtaką Lietuvos Respublikos politinei sistemai, kariniams pajėgumams, teisėsaugai, socialiniam ir ekonominiam stabilumui, apsunkinti nacionalinių ir NATO sprendimų priėmimo procesą, išbandyti NATO ir ES vienybę, neteisėtai gauti valstybės ir tarnybos paslaptį sudarančios informacijos.</w:t>
            </w:r>
          </w:p>
          <w:p w14:paraId="600E3969" w14:textId="00276BF5" w:rsidR="00955BFC" w:rsidRPr="008B44C9" w:rsidRDefault="00955BFC" w:rsidP="00955BFC">
            <w:pPr>
              <w:spacing w:after="0" w:line="240" w:lineRule="auto"/>
              <w:ind w:firstLine="567"/>
              <w:jc w:val="both"/>
              <w:rPr>
                <w:rFonts w:ascii="Times New Roman" w:hAnsi="Times New Roman" w:cs="Times New Roman"/>
                <w:bCs/>
                <w:color w:val="000000"/>
                <w:sz w:val="24"/>
                <w:szCs w:val="24"/>
              </w:rPr>
            </w:pPr>
            <w:r w:rsidRPr="008B44C9">
              <w:rPr>
                <w:rFonts w:ascii="Times New Roman" w:hAnsi="Times New Roman" w:cs="Times New Roman"/>
                <w:bCs/>
                <w:color w:val="000000"/>
                <w:sz w:val="24"/>
                <w:szCs w:val="24"/>
              </w:rPr>
              <w:t xml:space="preserve">Valstybės saugumo departamento ir Antrojo operatyvinių tarnybų departamento prie Krašto apsaugos ministerijos Grėsmių nacionaliniam saugumui vertinimuose nuolat informuojama visuomenė, kad </w:t>
            </w:r>
            <w:r w:rsidRPr="008B44C9">
              <w:rPr>
                <w:rFonts w:ascii="Times New Roman" w:hAnsi="Times New Roman" w:cs="Times New Roman"/>
                <w:sz w:val="24"/>
                <w:szCs w:val="24"/>
              </w:rPr>
              <w:t xml:space="preserve"> priešiškas žvalgybos tarnybas domina Lietuvos krašto apsaugos sistema bei svarbią reikšmę Lietuvos nacionaliniam saugumui turinti infrastruktūra – fiksuojamos Rusijos žvalgybos pastangos naudojant įvairius informacijos rinkimo būdus gauti informacijos ne tik apie Lietuvos karinius objektus ir Lietuvoje dislokuotas NATO pajėgas, bet ir nacionaliniam saugumui užtikrinti svarbią reikšmę turinčią infrastruktūrą.</w:t>
            </w:r>
            <w:r w:rsidRPr="008B44C9">
              <w:rPr>
                <w:rFonts w:ascii="Times New Roman" w:hAnsi="Times New Roman" w:cs="Times New Roman"/>
                <w:bCs/>
                <w:color w:val="000000"/>
                <w:sz w:val="24"/>
                <w:szCs w:val="24"/>
              </w:rPr>
              <w:t xml:space="preserve"> Lietuvos žvalgybos institucijos pažymi, kad i</w:t>
            </w:r>
            <w:r w:rsidRPr="008B44C9">
              <w:rPr>
                <w:rFonts w:ascii="Times New Roman" w:hAnsi="Times New Roman" w:cs="Times New Roman"/>
                <w:sz w:val="24"/>
                <w:szCs w:val="24"/>
              </w:rPr>
              <w:t xml:space="preserve">nformacijai gauti </w:t>
            </w:r>
            <w:r w:rsidRPr="008B44C9">
              <w:rPr>
                <w:rFonts w:ascii="Times New Roman" w:hAnsi="Times New Roman" w:cs="Times New Roman"/>
                <w:bCs/>
                <w:color w:val="000000"/>
                <w:sz w:val="24"/>
                <w:szCs w:val="24"/>
              </w:rPr>
              <w:t xml:space="preserve">priešiškos žvalgybos ir saugumo tarnybos vykdo </w:t>
            </w:r>
            <w:r w:rsidRPr="008B44C9">
              <w:rPr>
                <w:rFonts w:ascii="Times New Roman" w:hAnsi="Times New Roman" w:cs="Times New Roman"/>
                <w:sz w:val="24"/>
                <w:szCs w:val="24"/>
              </w:rPr>
              <w:t>Rusijos užsienio politikos tikslus remiančias šnipinėjimo ir įtakos operacijos prieš Lietuvą, o reguliariai į Rusiją, Baltarusiją vykstantys Lietuvos piliečiai yra nuolatinis šių valstybių žvalgybos tarnybų taikinys, net jei jie ir neturi prieigos prie įslaptintos informacijos ar didesnių žvalgybinių galimybių, nes ir teikti paprastą vizualinę informaciją apie objektus Lietuvos pasienio teritorijoje iš tiesų gali bet kuris asmuo.</w:t>
            </w:r>
          </w:p>
          <w:p w14:paraId="607A0CB3" w14:textId="35C69480" w:rsidR="00955BFC" w:rsidRPr="00955BFC" w:rsidRDefault="00955BFC" w:rsidP="00DB158A">
            <w:pPr>
              <w:spacing w:after="0" w:line="240" w:lineRule="auto"/>
              <w:ind w:firstLine="567"/>
              <w:jc w:val="both"/>
              <w:rPr>
                <w:rFonts w:ascii="Times New Roman" w:hAnsi="Times New Roman" w:cs="Times New Roman"/>
                <w:b/>
                <w:bCs/>
                <w:color w:val="000000" w:themeColor="text1"/>
                <w:sz w:val="24"/>
                <w:szCs w:val="24"/>
              </w:rPr>
            </w:pPr>
            <w:r w:rsidRPr="00A6254A">
              <w:rPr>
                <w:rFonts w:ascii="Times New Roman" w:hAnsi="Times New Roman" w:cs="Times New Roman"/>
                <w:bCs/>
                <w:color w:val="000000"/>
                <w:sz w:val="24"/>
                <w:szCs w:val="24"/>
              </w:rPr>
              <w:t>Atsižvelgiant į Lietuvos Respublikos geopolitinę padėtį, nemažėjantį priešiškų žvalgybos ir saugumo tarnybų</w:t>
            </w:r>
            <w:r w:rsidR="00DB158A">
              <w:rPr>
                <w:rFonts w:ascii="Times New Roman" w:hAnsi="Times New Roman" w:cs="Times New Roman"/>
                <w:bCs/>
                <w:color w:val="000000"/>
                <w:sz w:val="24"/>
                <w:szCs w:val="24"/>
              </w:rPr>
              <w:t xml:space="preserve"> veiksmų</w:t>
            </w:r>
            <w:r w:rsidRPr="00A6254A">
              <w:rPr>
                <w:rFonts w:ascii="Times New Roman" w:hAnsi="Times New Roman" w:cs="Times New Roman"/>
                <w:bCs/>
                <w:color w:val="000000"/>
                <w:sz w:val="24"/>
                <w:szCs w:val="24"/>
              </w:rPr>
              <w:t xml:space="preserve"> prieš Lietuvą</w:t>
            </w:r>
            <w:r w:rsidR="00DB158A" w:rsidRPr="00A6254A">
              <w:rPr>
                <w:rFonts w:ascii="Times New Roman" w:hAnsi="Times New Roman" w:cs="Times New Roman"/>
                <w:bCs/>
                <w:color w:val="000000"/>
                <w:sz w:val="24"/>
                <w:szCs w:val="24"/>
              </w:rPr>
              <w:t xml:space="preserve"> aktyvumą</w:t>
            </w:r>
            <w:r w:rsidRPr="00A6254A">
              <w:rPr>
                <w:rFonts w:ascii="Times New Roman" w:hAnsi="Times New Roman" w:cs="Times New Roman"/>
                <w:bCs/>
                <w:color w:val="000000"/>
                <w:sz w:val="24"/>
                <w:szCs w:val="24"/>
              </w:rPr>
              <w:t>, taip pat į tai, kad viena iš bausmės paskirčių yra sulaikyti asmenis nuo nusikalstamų veikų darymo (B</w:t>
            </w:r>
            <w:r w:rsidR="00DB158A">
              <w:rPr>
                <w:rFonts w:ascii="Times New Roman" w:hAnsi="Times New Roman" w:cs="Times New Roman"/>
                <w:bCs/>
                <w:color w:val="000000"/>
                <w:sz w:val="24"/>
                <w:szCs w:val="24"/>
              </w:rPr>
              <w:t xml:space="preserve">K </w:t>
            </w:r>
            <w:r w:rsidRPr="00A6254A">
              <w:rPr>
                <w:rFonts w:ascii="Times New Roman" w:hAnsi="Times New Roman" w:cs="Times New Roman"/>
                <w:bCs/>
                <w:color w:val="000000"/>
                <w:sz w:val="24"/>
                <w:szCs w:val="24"/>
              </w:rPr>
              <w:t xml:space="preserve">41 straipsnio 2 dalies 1 punktas) baudžiamosios atsakomybės padidinimas už šnipinėjimą, taip pat už padėjimą kitai valstybei veikti prieš Lietuvos Respubliką, atitinkamai padidinant (nustatant) laisvės atėmimo bausmės apatines ribas, yra tikslinga ir proporcinga priemonė, siekiant atgrasyti asmenis nuo bendradarbiavimo su užsienio valstybių subjektais </w:t>
            </w:r>
            <w:r w:rsidR="00DB158A">
              <w:rPr>
                <w:rFonts w:ascii="Times New Roman" w:hAnsi="Times New Roman" w:cs="Times New Roman"/>
                <w:bCs/>
                <w:color w:val="000000"/>
                <w:sz w:val="24"/>
                <w:szCs w:val="24"/>
              </w:rPr>
              <w:t xml:space="preserve">turint </w:t>
            </w:r>
            <w:r w:rsidRPr="00A6254A">
              <w:rPr>
                <w:rFonts w:ascii="Times New Roman" w:hAnsi="Times New Roman" w:cs="Times New Roman"/>
                <w:bCs/>
                <w:color w:val="000000"/>
                <w:sz w:val="24"/>
                <w:szCs w:val="24"/>
              </w:rPr>
              <w:t>tiksl</w:t>
            </w:r>
            <w:r w:rsidR="00DB158A">
              <w:rPr>
                <w:rFonts w:ascii="Times New Roman" w:hAnsi="Times New Roman" w:cs="Times New Roman"/>
                <w:bCs/>
                <w:color w:val="000000"/>
                <w:sz w:val="24"/>
                <w:szCs w:val="24"/>
              </w:rPr>
              <w:t>ą</w:t>
            </w:r>
            <w:r w:rsidRPr="00A6254A">
              <w:rPr>
                <w:rFonts w:ascii="Times New Roman" w:hAnsi="Times New Roman" w:cs="Times New Roman"/>
                <w:bCs/>
                <w:color w:val="000000"/>
                <w:sz w:val="24"/>
                <w:szCs w:val="24"/>
              </w:rPr>
              <w:t xml:space="preserve"> veikti kitos valstybės naudai (verbavimo atvejai), ir vertintina kaip priemonė</w:t>
            </w:r>
            <w:r w:rsidR="00DB158A">
              <w:rPr>
                <w:rFonts w:ascii="Times New Roman" w:hAnsi="Times New Roman" w:cs="Times New Roman"/>
                <w:bCs/>
                <w:color w:val="000000"/>
                <w:sz w:val="24"/>
                <w:szCs w:val="24"/>
              </w:rPr>
              <w:t>,</w:t>
            </w:r>
            <w:r w:rsidRPr="00A6254A">
              <w:rPr>
                <w:rFonts w:ascii="Times New Roman" w:hAnsi="Times New Roman" w:cs="Times New Roman"/>
                <w:bCs/>
                <w:color w:val="000000"/>
                <w:sz w:val="24"/>
                <w:szCs w:val="24"/>
              </w:rPr>
              <w:t xml:space="preserve"> prisidedanti prie Lietuvos valstybės saugumo stiprinimo.</w:t>
            </w:r>
          </w:p>
        </w:tc>
      </w:tr>
      <w:tr w:rsidR="00955BFC" w:rsidRPr="00753980" w14:paraId="51049B41" w14:textId="77777777" w:rsidTr="0041559F">
        <w:tblPrEx>
          <w:tblLook w:val="0000" w:firstRow="0" w:lastRow="0" w:firstColumn="0" w:lastColumn="0" w:noHBand="0" w:noVBand="0"/>
        </w:tblPrEx>
        <w:trPr>
          <w:trHeight w:val="567"/>
        </w:trPr>
        <w:tc>
          <w:tcPr>
            <w:tcW w:w="2689" w:type="dxa"/>
            <w:vMerge/>
          </w:tcPr>
          <w:p w14:paraId="257922B8" w14:textId="77777777" w:rsidR="00955BFC" w:rsidRPr="00753980" w:rsidRDefault="00955BFC" w:rsidP="00955BFC">
            <w:pPr>
              <w:spacing w:after="0"/>
              <w:rPr>
                <w:rFonts w:ascii="Times New Roman" w:hAnsi="Times New Roman" w:cs="Times New Roman"/>
                <w:color w:val="000000" w:themeColor="text1"/>
                <w:sz w:val="24"/>
                <w:szCs w:val="24"/>
              </w:rPr>
            </w:pPr>
          </w:p>
        </w:tc>
        <w:tc>
          <w:tcPr>
            <w:tcW w:w="6804" w:type="dxa"/>
          </w:tcPr>
          <w:p w14:paraId="62B6619A" w14:textId="77777777" w:rsidR="00955BFC" w:rsidRPr="005F1314" w:rsidRDefault="00955BFC" w:rsidP="00955BFC">
            <w:pPr>
              <w:spacing w:after="0" w:line="240" w:lineRule="auto"/>
              <w:ind w:firstLine="567"/>
              <w:jc w:val="both"/>
              <w:rPr>
                <w:rFonts w:ascii="Calibri" w:eastAsia="Times New Roman" w:hAnsi="Calibri" w:cs="Calibri"/>
                <w:color w:val="000000"/>
                <w:lang w:eastAsia="lt-LT"/>
              </w:rPr>
            </w:pPr>
            <w:r w:rsidRPr="005F1314">
              <w:rPr>
                <w:rFonts w:ascii="Times New Roman" w:eastAsia="Times New Roman" w:hAnsi="Times New Roman" w:cs="Times New Roman"/>
                <w:color w:val="000000"/>
                <w:sz w:val="24"/>
                <w:szCs w:val="24"/>
                <w:lang w:eastAsia="lt-LT"/>
              </w:rPr>
              <w:t xml:space="preserve">Administracija, vertindama BK sistemą, atkreipia dėmesį, kad atleidimo nuo baudžiamosios atsakomybės instituto taikymas yra susietas su atitinkamos nusikalstamos veikos padarymu, t. y. atitinkamo nusikaltimo sudėties požymių kaltininko veikoje konstatavimu. BK projekte, formuojant specialiąsias atleidimo nuo baudžiamosios atsakomybės sąlygas, vartojama formuluotė „asmuo, įtariamas padaręs &lt;...&gt;“. Šiuo atveju verta atkreipti dėmesį, kad asmens, įtariamo nusikalstamos veikos padarymu, ir asmens, padariusio nusikalstamą veiką, statusas yra skirtingas, o atleidimo nuo baudžiamosios atsakomybės klausimas (tiek taikant bendruosius, tiek specialiuosius atleidimo nuo baudžiamosios atsakomybės pagrindus) gali būti sprendžiamas, kai įsitikinama, kad asmuo tikrai yra pagrįstai kaltinamas nusikaltimo ar baudžiamojo nusižengimo </w:t>
            </w:r>
            <w:r w:rsidRPr="005F1314">
              <w:rPr>
                <w:rFonts w:ascii="Times New Roman" w:eastAsia="Times New Roman" w:hAnsi="Times New Roman" w:cs="Times New Roman"/>
                <w:color w:val="000000"/>
                <w:sz w:val="24"/>
                <w:szCs w:val="24"/>
                <w:lang w:eastAsia="lt-LT"/>
              </w:rPr>
              <w:lastRenderedPageBreak/>
              <w:t>padarymu (priešingu atveju jis turėtų būti išteisintas). Todėl siūlytina BK projektu siūlomas BK 118 straipsnio ir 119 straipsnio 3-čiąsias dalis formuoti taip, kaip formuojamos panašios normos kituose atleidimą nuo baudžiamosios atsakomybės numatančiuose BK straipsniuose.</w:t>
            </w:r>
          </w:p>
          <w:p w14:paraId="09CB4610" w14:textId="77777777" w:rsidR="00955BFC" w:rsidRPr="005F1314" w:rsidRDefault="00955BFC" w:rsidP="00955BFC">
            <w:pPr>
              <w:spacing w:after="0" w:line="240" w:lineRule="auto"/>
              <w:ind w:firstLine="567"/>
              <w:jc w:val="both"/>
              <w:rPr>
                <w:rFonts w:ascii="Calibri" w:eastAsia="Times New Roman" w:hAnsi="Calibri" w:cs="Calibri"/>
                <w:color w:val="000000"/>
                <w:lang w:eastAsia="lt-LT"/>
              </w:rPr>
            </w:pPr>
            <w:r w:rsidRPr="005F1314">
              <w:rPr>
                <w:rFonts w:ascii="Times New Roman" w:eastAsia="Times New Roman" w:hAnsi="Times New Roman" w:cs="Times New Roman"/>
                <w:color w:val="000000"/>
                <w:sz w:val="24"/>
                <w:szCs w:val="24"/>
                <w:lang w:eastAsia="lt-LT"/>
              </w:rPr>
              <w:t>Taip pat pastebėtina, kad BK projektu siūlomais naujais atleidimo nuo baudžiamosioms atsakomybės atvejais formuojamoms specialiosioms atleidimo nuo baudžiamosios atsakomybės rūšims yra nebūdingos papildomos atleidimo nuo baudžiamosios atsakomybės taikymo sąlygos (ankstesnis atleidimas, sunkūs padariniai). Pastebėtina, kad specialiosios atleidimo nuo baudžiamosios atsakomybės rūšys paprastai siejamos su aktyvia kaltininko atgaila arba išankstiniu savanorišku pranešimu apie padarytą nusikalstamą veiką, be jokių papildomų apribojimų.</w:t>
            </w:r>
          </w:p>
          <w:p w14:paraId="3335B7A0" w14:textId="564B839E" w:rsidR="00955BFC" w:rsidRPr="005F1314" w:rsidRDefault="00955BFC" w:rsidP="00955BFC">
            <w:pPr>
              <w:spacing w:after="0" w:line="240" w:lineRule="auto"/>
              <w:ind w:firstLine="567"/>
              <w:jc w:val="both"/>
              <w:rPr>
                <w:rFonts w:ascii="Times New Roman" w:hAnsi="Times New Roman" w:cs="Times New Roman"/>
                <w:color w:val="000000"/>
                <w:sz w:val="24"/>
                <w:szCs w:val="24"/>
              </w:rPr>
            </w:pPr>
            <w:r w:rsidRPr="005F1314">
              <w:rPr>
                <w:rFonts w:ascii="Times New Roman" w:eastAsia="Times New Roman" w:hAnsi="Times New Roman" w:cs="Times New Roman"/>
                <w:color w:val="000000"/>
                <w:sz w:val="24"/>
                <w:szCs w:val="24"/>
                <w:lang w:eastAsia="lt-LT"/>
              </w:rPr>
              <w:t>Be to, nei viena BK įtvirtinta atleidimo nuo baudžiamosios atsakomybės rūšis (bendroji ar specialioji) nenumato draudimo neribotą laiką būti atleistam nuo baudžiamosios atsakomybės už tos pačios ar kitos nusikalstamos veikos padarymą. Todėl siūlytina atsisakyti ribojimo atleisti nuo baudžiamosios atsakomybės už BK 118 ir 119 straipsniuose numatytus nusikaltimus, jei asmuo už šiuos nusikaltimus jau buvo atleistas nuo atsakomybės arba numatyti tokio ribojimo terminą (pvz., BK 38 straipsnio 2 dalis).</w:t>
            </w:r>
          </w:p>
        </w:tc>
        <w:tc>
          <w:tcPr>
            <w:tcW w:w="5499" w:type="dxa"/>
          </w:tcPr>
          <w:p w14:paraId="1CB442C4" w14:textId="77777777" w:rsidR="00955BFC" w:rsidRPr="00B75BBC" w:rsidRDefault="00955BFC" w:rsidP="00955BFC">
            <w:pPr>
              <w:spacing w:after="0" w:line="240" w:lineRule="auto"/>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N</w:t>
            </w:r>
            <w:r w:rsidRPr="00B75BBC">
              <w:rPr>
                <w:rFonts w:ascii="Times New Roman" w:hAnsi="Times New Roman" w:cs="Times New Roman"/>
                <w:b/>
                <w:color w:val="000000" w:themeColor="text1"/>
                <w:sz w:val="24"/>
                <w:szCs w:val="24"/>
              </w:rPr>
              <w:t>eatsižvelgta.</w:t>
            </w:r>
          </w:p>
          <w:p w14:paraId="2ED2333E" w14:textId="1E3BD136" w:rsidR="00955BFC" w:rsidRPr="00E62BAC" w:rsidRDefault="00955BFC" w:rsidP="00914A79">
            <w:pPr>
              <w:spacing w:after="0" w:line="240" w:lineRule="auto"/>
              <w:ind w:firstLine="567"/>
              <w:jc w:val="both"/>
              <w:rPr>
                <w:rFonts w:ascii="Times New Roman" w:hAnsi="Times New Roman" w:cs="Times New Roman"/>
                <w:b/>
                <w:bCs/>
                <w:color w:val="000000"/>
                <w:sz w:val="24"/>
                <w:szCs w:val="24"/>
              </w:rPr>
            </w:pPr>
            <w:r w:rsidRPr="00753980">
              <w:rPr>
                <w:rFonts w:ascii="Times New Roman" w:hAnsi="Times New Roman" w:cs="Times New Roman"/>
                <w:color w:val="000000"/>
                <w:sz w:val="24"/>
                <w:szCs w:val="24"/>
              </w:rPr>
              <w:t>BK projekto 118 ir 119 straipsniuose formuluojamos atleidimo nuo baudžiamosios atsakomybės sąlygos,</w:t>
            </w:r>
            <w:r w:rsidRPr="00541503">
              <w:rPr>
                <w:rFonts w:ascii="Times New Roman" w:hAnsi="Times New Roman" w:cs="Times New Roman"/>
                <w:color w:val="000000"/>
                <w:sz w:val="24"/>
                <w:szCs w:val="24"/>
              </w:rPr>
              <w:t xml:space="preserve"> taip pat siūloma formuluotė „asmuo, įtariamas padaręs &lt;...&gt;“</w:t>
            </w:r>
            <w:r w:rsidRPr="00753980">
              <w:rPr>
                <w:rFonts w:ascii="Times New Roman" w:hAnsi="Times New Roman" w:cs="Times New Roman"/>
                <w:color w:val="000000"/>
                <w:sz w:val="24"/>
                <w:szCs w:val="24"/>
              </w:rPr>
              <w:t xml:space="preserve">  formuluojamos pagal </w:t>
            </w:r>
            <w:r>
              <w:rPr>
                <w:rFonts w:ascii="Times New Roman" w:hAnsi="Times New Roman" w:cs="Times New Roman"/>
                <w:color w:val="000000"/>
                <w:sz w:val="24"/>
                <w:szCs w:val="24"/>
              </w:rPr>
              <w:t>BK</w:t>
            </w:r>
            <w:r w:rsidRPr="00753980">
              <w:rPr>
                <w:rFonts w:ascii="Times New Roman" w:hAnsi="Times New Roman" w:cs="Times New Roman"/>
                <w:color w:val="000000"/>
                <w:sz w:val="24"/>
                <w:szCs w:val="24"/>
              </w:rPr>
              <w:t xml:space="preserve"> </w:t>
            </w:r>
            <w:r w:rsidRPr="00541503">
              <w:rPr>
                <w:rFonts w:ascii="Times New Roman" w:hAnsi="Times New Roman" w:cs="Times New Roman"/>
                <w:bCs/>
                <w:color w:val="000000"/>
                <w:sz w:val="24"/>
                <w:szCs w:val="24"/>
              </w:rPr>
              <w:t>39</w:t>
            </w:r>
            <w:r w:rsidRPr="00541503">
              <w:rPr>
                <w:rFonts w:ascii="Times New Roman" w:hAnsi="Times New Roman" w:cs="Times New Roman"/>
                <w:bCs/>
                <w:color w:val="000000"/>
                <w:sz w:val="24"/>
                <w:szCs w:val="24"/>
                <w:vertAlign w:val="superscript"/>
              </w:rPr>
              <w:t>1</w:t>
            </w:r>
            <w:r w:rsidRPr="00753980">
              <w:rPr>
                <w:rFonts w:ascii="Times New Roman" w:hAnsi="Times New Roman" w:cs="Times New Roman"/>
                <w:color w:val="000000"/>
                <w:sz w:val="24"/>
                <w:szCs w:val="24"/>
              </w:rPr>
              <w:t xml:space="preserve"> straipsnyje įtvirtintą </w:t>
            </w:r>
            <w:r>
              <w:rPr>
                <w:rFonts w:ascii="Times New Roman" w:hAnsi="Times New Roman" w:cs="Times New Roman"/>
                <w:color w:val="000000"/>
                <w:sz w:val="24"/>
                <w:szCs w:val="24"/>
              </w:rPr>
              <w:t>taisyklę. BK</w:t>
            </w:r>
            <w:r w:rsidRPr="00753980">
              <w:rPr>
                <w:rFonts w:ascii="Times New Roman" w:hAnsi="Times New Roman" w:cs="Times New Roman"/>
                <w:color w:val="000000"/>
                <w:sz w:val="24"/>
                <w:szCs w:val="24"/>
              </w:rPr>
              <w:t xml:space="preserve"> </w:t>
            </w:r>
            <w:r w:rsidRPr="00541503">
              <w:rPr>
                <w:rFonts w:ascii="Times New Roman" w:hAnsi="Times New Roman" w:cs="Times New Roman"/>
                <w:bCs/>
                <w:color w:val="000000"/>
                <w:sz w:val="24"/>
                <w:szCs w:val="24"/>
              </w:rPr>
              <w:t>39</w:t>
            </w:r>
            <w:r w:rsidRPr="00541503">
              <w:rPr>
                <w:rFonts w:ascii="Times New Roman" w:hAnsi="Times New Roman" w:cs="Times New Roman"/>
                <w:bCs/>
                <w:color w:val="000000"/>
                <w:sz w:val="24"/>
                <w:szCs w:val="24"/>
                <w:vertAlign w:val="superscript"/>
              </w:rPr>
              <w:t>1</w:t>
            </w:r>
            <w:r w:rsidRPr="00753980">
              <w:rPr>
                <w:rFonts w:ascii="Times New Roman" w:hAnsi="Times New Roman" w:cs="Times New Roman"/>
                <w:color w:val="000000"/>
                <w:sz w:val="24"/>
                <w:szCs w:val="24"/>
              </w:rPr>
              <w:t xml:space="preserve"> straipsn</w:t>
            </w:r>
            <w:r>
              <w:rPr>
                <w:rFonts w:ascii="Times New Roman" w:hAnsi="Times New Roman" w:cs="Times New Roman"/>
                <w:color w:val="000000"/>
                <w:sz w:val="24"/>
                <w:szCs w:val="24"/>
              </w:rPr>
              <w:t xml:space="preserve">io 1 dalyje atleidimas nuo baudžiamosios atsakomybės numatomas būtent asmeniui </w:t>
            </w:r>
            <w:r w:rsidRPr="006102D8">
              <w:rPr>
                <w:rFonts w:ascii="Times New Roman" w:hAnsi="Times New Roman" w:cs="Times New Roman"/>
                <w:i/>
                <w:color w:val="000000"/>
                <w:sz w:val="24"/>
                <w:szCs w:val="24"/>
              </w:rPr>
              <w:t>įtariamam</w:t>
            </w:r>
            <w:r>
              <w:rPr>
                <w:rFonts w:ascii="Times New Roman" w:hAnsi="Times New Roman" w:cs="Times New Roman"/>
                <w:color w:val="000000"/>
                <w:sz w:val="24"/>
                <w:szCs w:val="24"/>
              </w:rPr>
              <w:t xml:space="preserve"> nusikalstamos veikos padarymu, o BK</w:t>
            </w:r>
            <w:r w:rsidRPr="00753980">
              <w:rPr>
                <w:rFonts w:ascii="Times New Roman" w:hAnsi="Times New Roman" w:cs="Times New Roman"/>
                <w:color w:val="000000"/>
                <w:sz w:val="24"/>
                <w:szCs w:val="24"/>
              </w:rPr>
              <w:t xml:space="preserve"> </w:t>
            </w:r>
            <w:r w:rsidRPr="00541503">
              <w:rPr>
                <w:rFonts w:ascii="Times New Roman" w:hAnsi="Times New Roman" w:cs="Times New Roman"/>
                <w:bCs/>
                <w:color w:val="000000"/>
                <w:sz w:val="24"/>
                <w:szCs w:val="24"/>
              </w:rPr>
              <w:t>39</w:t>
            </w:r>
            <w:r w:rsidRPr="00541503">
              <w:rPr>
                <w:rFonts w:ascii="Times New Roman" w:hAnsi="Times New Roman" w:cs="Times New Roman"/>
                <w:bCs/>
                <w:color w:val="000000"/>
                <w:sz w:val="24"/>
                <w:szCs w:val="24"/>
                <w:vertAlign w:val="superscript"/>
              </w:rPr>
              <w:t>1</w:t>
            </w:r>
            <w:r w:rsidRPr="00753980">
              <w:rPr>
                <w:rFonts w:ascii="Times New Roman" w:hAnsi="Times New Roman" w:cs="Times New Roman"/>
                <w:color w:val="000000"/>
                <w:sz w:val="24"/>
                <w:szCs w:val="24"/>
              </w:rPr>
              <w:t xml:space="preserve"> straipsn</w:t>
            </w:r>
            <w:r>
              <w:rPr>
                <w:rFonts w:ascii="Times New Roman" w:hAnsi="Times New Roman" w:cs="Times New Roman"/>
                <w:color w:val="000000"/>
                <w:sz w:val="24"/>
                <w:szCs w:val="24"/>
              </w:rPr>
              <w:t xml:space="preserve">io 1 dalyje atleidimas nuo baudžiamosios atsakomybės netaikomas asmeniui, </w:t>
            </w:r>
            <w:r w:rsidRPr="00896764">
              <w:rPr>
                <w:rFonts w:ascii="Times New Roman" w:hAnsi="Times New Roman" w:cs="Times New Roman"/>
                <w:color w:val="000000"/>
                <w:sz w:val="24"/>
                <w:szCs w:val="24"/>
              </w:rPr>
              <w:t>kuris dalyvavo tyčia nužudant arba kuris tokiais pagrindais nuo baudžiamosios atsakomybės jau buvo atleistas</w:t>
            </w:r>
            <w:r>
              <w:rPr>
                <w:rFonts w:ascii="Times New Roman" w:hAnsi="Times New Roman" w:cs="Times New Roman"/>
                <w:color w:val="000000"/>
                <w:sz w:val="24"/>
                <w:szCs w:val="24"/>
              </w:rPr>
              <w:t xml:space="preserve"> nenumatant ribojimo </w:t>
            </w:r>
            <w:r>
              <w:rPr>
                <w:rFonts w:ascii="Times New Roman" w:hAnsi="Times New Roman" w:cs="Times New Roman"/>
                <w:color w:val="000000"/>
                <w:sz w:val="24"/>
                <w:szCs w:val="24"/>
              </w:rPr>
              <w:lastRenderedPageBreak/>
              <w:t>termin</w:t>
            </w:r>
            <w:r w:rsidR="00914A79">
              <w:rPr>
                <w:rFonts w:ascii="Times New Roman" w:hAnsi="Times New Roman" w:cs="Times New Roman"/>
                <w:color w:val="000000"/>
                <w:sz w:val="24"/>
                <w:szCs w:val="24"/>
              </w:rPr>
              <w:t>o</w:t>
            </w:r>
            <w:r>
              <w:rPr>
                <w:rFonts w:ascii="Times New Roman" w:hAnsi="Times New Roman" w:cs="Times New Roman"/>
                <w:color w:val="000000"/>
                <w:sz w:val="24"/>
                <w:szCs w:val="24"/>
              </w:rPr>
              <w:t>.</w:t>
            </w:r>
            <w:r w:rsidRPr="008967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Atsižvelgiant į tai, laikytina, kad </w:t>
            </w:r>
            <w:r w:rsidRPr="005F1314">
              <w:rPr>
                <w:rFonts w:ascii="Times New Roman" w:eastAsia="Times New Roman" w:hAnsi="Times New Roman" w:cs="Times New Roman"/>
                <w:color w:val="000000"/>
                <w:sz w:val="24"/>
                <w:szCs w:val="24"/>
                <w:lang w:eastAsia="lt-LT"/>
              </w:rPr>
              <w:t xml:space="preserve">BK 118 straipsnio ir 119 straipsnio </w:t>
            </w:r>
            <w:r>
              <w:rPr>
                <w:rFonts w:ascii="Times New Roman" w:eastAsia="Times New Roman" w:hAnsi="Times New Roman" w:cs="Times New Roman"/>
                <w:color w:val="000000"/>
                <w:sz w:val="24"/>
                <w:szCs w:val="24"/>
                <w:lang w:eastAsia="lt-LT"/>
              </w:rPr>
              <w:t>trečiosios</w:t>
            </w:r>
            <w:r w:rsidRPr="005F1314">
              <w:rPr>
                <w:rFonts w:ascii="Times New Roman" w:eastAsia="Times New Roman" w:hAnsi="Times New Roman" w:cs="Times New Roman"/>
                <w:color w:val="000000"/>
                <w:sz w:val="24"/>
                <w:szCs w:val="24"/>
                <w:lang w:eastAsia="lt-LT"/>
              </w:rPr>
              <w:t xml:space="preserve"> dal</w:t>
            </w:r>
            <w:r>
              <w:rPr>
                <w:rFonts w:ascii="Times New Roman" w:eastAsia="Times New Roman" w:hAnsi="Times New Roman" w:cs="Times New Roman"/>
                <w:color w:val="000000"/>
                <w:sz w:val="24"/>
                <w:szCs w:val="24"/>
                <w:lang w:eastAsia="lt-LT"/>
              </w:rPr>
              <w:t>y</w:t>
            </w:r>
            <w:r w:rsidRPr="005F1314">
              <w:rPr>
                <w:rFonts w:ascii="Times New Roman" w:eastAsia="Times New Roman" w:hAnsi="Times New Roman" w:cs="Times New Roman"/>
                <w:color w:val="000000"/>
                <w:sz w:val="24"/>
                <w:szCs w:val="24"/>
                <w:lang w:eastAsia="lt-LT"/>
              </w:rPr>
              <w:t xml:space="preserve">s </w:t>
            </w:r>
            <w:r>
              <w:rPr>
                <w:rFonts w:ascii="Times New Roman" w:eastAsia="Times New Roman" w:hAnsi="Times New Roman" w:cs="Times New Roman"/>
                <w:color w:val="000000"/>
                <w:sz w:val="24"/>
                <w:szCs w:val="24"/>
                <w:lang w:eastAsia="lt-LT"/>
              </w:rPr>
              <w:t>yra suformuluotos pagal galiojantį BK reguliavimą.</w:t>
            </w:r>
          </w:p>
        </w:tc>
      </w:tr>
    </w:tbl>
    <w:p w14:paraId="0AF3ECD0" w14:textId="77777777" w:rsidR="00C832B4" w:rsidRPr="00B75BBC" w:rsidRDefault="008709CE" w:rsidP="00B75BBC">
      <w:pPr>
        <w:jc w:val="center"/>
        <w:rPr>
          <w:rFonts w:ascii="Times New Roman" w:hAnsi="Times New Roman" w:cs="Times New Roman"/>
          <w:color w:val="000000" w:themeColor="text1"/>
          <w:sz w:val="24"/>
          <w:szCs w:val="24"/>
        </w:rPr>
      </w:pPr>
      <w:r w:rsidRPr="00753980">
        <w:rPr>
          <w:rFonts w:ascii="Times New Roman" w:hAnsi="Times New Roman" w:cs="Times New Roman"/>
          <w:color w:val="000000" w:themeColor="text1"/>
          <w:sz w:val="24"/>
          <w:szCs w:val="24"/>
        </w:rPr>
        <w:lastRenderedPageBreak/>
        <w:t>______________________________________________</w:t>
      </w:r>
    </w:p>
    <w:sectPr w:rsidR="00C832B4" w:rsidRPr="00B75BBC" w:rsidSect="000B4566">
      <w:headerReference w:type="default" r:id="rId7"/>
      <w:pgSz w:w="16838" w:h="11906" w:orient="landscape"/>
      <w:pgMar w:top="1276"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35577" w14:textId="77777777" w:rsidR="004A31A9" w:rsidRDefault="004A31A9">
      <w:pPr>
        <w:spacing w:after="0" w:line="240" w:lineRule="auto"/>
      </w:pPr>
      <w:r>
        <w:separator/>
      </w:r>
    </w:p>
  </w:endnote>
  <w:endnote w:type="continuationSeparator" w:id="0">
    <w:p w14:paraId="5A621ED0" w14:textId="77777777" w:rsidR="004A31A9" w:rsidRDefault="004A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7A59" w14:textId="77777777" w:rsidR="004A31A9" w:rsidRDefault="004A31A9">
      <w:pPr>
        <w:spacing w:after="0" w:line="240" w:lineRule="auto"/>
      </w:pPr>
      <w:r>
        <w:separator/>
      </w:r>
    </w:p>
  </w:footnote>
  <w:footnote w:type="continuationSeparator" w:id="0">
    <w:p w14:paraId="5E815A16" w14:textId="77777777" w:rsidR="004A31A9" w:rsidRDefault="004A3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9137"/>
      <w:docPartObj>
        <w:docPartGallery w:val="Page Numbers (Top of Page)"/>
        <w:docPartUnique/>
      </w:docPartObj>
    </w:sdtPr>
    <w:sdtEndPr/>
    <w:sdtContent>
      <w:p w14:paraId="6F4A1132" w14:textId="5EB4958C" w:rsidR="003101E0" w:rsidRDefault="00B96E1C">
        <w:pPr>
          <w:pStyle w:val="Header"/>
          <w:jc w:val="center"/>
        </w:pPr>
        <w:r>
          <w:fldChar w:fldCharType="begin"/>
        </w:r>
        <w:r>
          <w:instrText>PAGE   \* MERGEFORMAT</w:instrText>
        </w:r>
        <w:r>
          <w:fldChar w:fldCharType="separate"/>
        </w:r>
        <w:r w:rsidR="000930AB">
          <w:rPr>
            <w:noProof/>
          </w:rPr>
          <w:t>5</w:t>
        </w:r>
        <w:r>
          <w:fldChar w:fldCharType="end"/>
        </w:r>
      </w:p>
    </w:sdtContent>
  </w:sdt>
  <w:p w14:paraId="07829976" w14:textId="77777777" w:rsidR="003101E0" w:rsidRPr="008D00F2" w:rsidRDefault="000930AB" w:rsidP="008D00F2">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0FE"/>
    <w:multiLevelType w:val="hybridMultilevel"/>
    <w:tmpl w:val="8ED4ED24"/>
    <w:lvl w:ilvl="0" w:tplc="159426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C676F"/>
    <w:multiLevelType w:val="hybridMultilevel"/>
    <w:tmpl w:val="03D6811E"/>
    <w:lvl w:ilvl="0" w:tplc="B04831D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B243C"/>
    <w:multiLevelType w:val="hybridMultilevel"/>
    <w:tmpl w:val="F9DE816E"/>
    <w:lvl w:ilvl="0" w:tplc="D3E0C8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A3769"/>
    <w:multiLevelType w:val="hybridMultilevel"/>
    <w:tmpl w:val="2FA88D58"/>
    <w:lvl w:ilvl="0" w:tplc="6C2C39DC">
      <w:start w:val="1"/>
      <w:numFmt w:val="decimal"/>
      <w:lvlText w:val="%1."/>
      <w:lvlJc w:val="left"/>
      <w:pPr>
        <w:ind w:left="720" w:hanging="360"/>
      </w:pPr>
      <w:rPr>
        <w:rFonts w:asciiTheme="minorHAnsi" w:hAnsiTheme="minorHAnsi"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CE"/>
    <w:rsid w:val="00037A09"/>
    <w:rsid w:val="000930AB"/>
    <w:rsid w:val="000C0132"/>
    <w:rsid w:val="000C3E7C"/>
    <w:rsid w:val="000D7FFB"/>
    <w:rsid w:val="00140A3D"/>
    <w:rsid w:val="00174AEA"/>
    <w:rsid w:val="001C7077"/>
    <w:rsid w:val="002B7F08"/>
    <w:rsid w:val="0039078B"/>
    <w:rsid w:val="003E54AA"/>
    <w:rsid w:val="003F4A7A"/>
    <w:rsid w:val="0041559F"/>
    <w:rsid w:val="004331D0"/>
    <w:rsid w:val="00445ED6"/>
    <w:rsid w:val="00493EC6"/>
    <w:rsid w:val="00494F29"/>
    <w:rsid w:val="004A31A9"/>
    <w:rsid w:val="004C778F"/>
    <w:rsid w:val="004E1B55"/>
    <w:rsid w:val="00541503"/>
    <w:rsid w:val="005469D6"/>
    <w:rsid w:val="005A3513"/>
    <w:rsid w:val="005B74A4"/>
    <w:rsid w:val="005C2DB5"/>
    <w:rsid w:val="005F1314"/>
    <w:rsid w:val="006102D8"/>
    <w:rsid w:val="00650FD8"/>
    <w:rsid w:val="006B15B7"/>
    <w:rsid w:val="00700F80"/>
    <w:rsid w:val="00753980"/>
    <w:rsid w:val="007622EB"/>
    <w:rsid w:val="00765F2A"/>
    <w:rsid w:val="00774F6C"/>
    <w:rsid w:val="00783166"/>
    <w:rsid w:val="007A74C0"/>
    <w:rsid w:val="007E69AD"/>
    <w:rsid w:val="008454C5"/>
    <w:rsid w:val="00857052"/>
    <w:rsid w:val="008709CE"/>
    <w:rsid w:val="0088541A"/>
    <w:rsid w:val="00896764"/>
    <w:rsid w:val="008B44C9"/>
    <w:rsid w:val="00914A79"/>
    <w:rsid w:val="00955BFC"/>
    <w:rsid w:val="009C6F4F"/>
    <w:rsid w:val="00A51881"/>
    <w:rsid w:val="00A6254A"/>
    <w:rsid w:val="00A63BBE"/>
    <w:rsid w:val="00A763FA"/>
    <w:rsid w:val="00A77841"/>
    <w:rsid w:val="00A81E08"/>
    <w:rsid w:val="00AF6301"/>
    <w:rsid w:val="00B3737C"/>
    <w:rsid w:val="00B53723"/>
    <w:rsid w:val="00B75BBC"/>
    <w:rsid w:val="00B96E1C"/>
    <w:rsid w:val="00BF27C3"/>
    <w:rsid w:val="00C270BE"/>
    <w:rsid w:val="00C27929"/>
    <w:rsid w:val="00C3421D"/>
    <w:rsid w:val="00C42CA0"/>
    <w:rsid w:val="00C832B4"/>
    <w:rsid w:val="00C912DB"/>
    <w:rsid w:val="00D135C3"/>
    <w:rsid w:val="00D62449"/>
    <w:rsid w:val="00D74A15"/>
    <w:rsid w:val="00D93CAC"/>
    <w:rsid w:val="00DA5A35"/>
    <w:rsid w:val="00DB158A"/>
    <w:rsid w:val="00DB1FAD"/>
    <w:rsid w:val="00DB5DC1"/>
    <w:rsid w:val="00E04D4C"/>
    <w:rsid w:val="00E17FA2"/>
    <w:rsid w:val="00E20D77"/>
    <w:rsid w:val="00E36A27"/>
    <w:rsid w:val="00E53359"/>
    <w:rsid w:val="00E56C98"/>
    <w:rsid w:val="00E6200F"/>
    <w:rsid w:val="00E62BAC"/>
    <w:rsid w:val="00E64395"/>
    <w:rsid w:val="00E74523"/>
    <w:rsid w:val="00E75CA3"/>
    <w:rsid w:val="00EA64EA"/>
    <w:rsid w:val="00ED0617"/>
    <w:rsid w:val="00F01E4D"/>
    <w:rsid w:val="00F8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F754"/>
  <w15:chartTrackingRefBased/>
  <w15:docId w15:val="{869728D6-FB01-4A92-B7CE-E9C5E7A9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9C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9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9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09CE"/>
    <w:rPr>
      <w:lang w:val="lt-LT"/>
    </w:rPr>
  </w:style>
  <w:style w:type="paragraph" w:customStyle="1" w:styleId="Preformatted">
    <w:name w:val="Preformatted"/>
    <w:basedOn w:val="Normal"/>
    <w:rsid w:val="008709CE"/>
    <w:pPr>
      <w:snapToGrid w:val="0"/>
      <w:spacing w:after="0" w:line="240" w:lineRule="auto"/>
    </w:pPr>
    <w:rPr>
      <w:rFonts w:ascii="Courier New" w:eastAsia="Times New Roman" w:hAnsi="Courier New" w:cs="Courier New"/>
      <w:sz w:val="20"/>
      <w:szCs w:val="20"/>
      <w:lang w:eastAsia="lt-LT"/>
    </w:rPr>
  </w:style>
  <w:style w:type="character" w:customStyle="1" w:styleId="bold1">
    <w:name w:val="bold1"/>
    <w:basedOn w:val="DefaultParagraphFont"/>
    <w:rsid w:val="008709CE"/>
    <w:rPr>
      <w:b/>
      <w:bCs/>
    </w:rPr>
  </w:style>
  <w:style w:type="paragraph" w:styleId="PlainText">
    <w:name w:val="Plain Text"/>
    <w:basedOn w:val="Normal"/>
    <w:link w:val="PlainTextChar"/>
    <w:uiPriority w:val="99"/>
    <w:semiHidden/>
    <w:unhideWhenUsed/>
    <w:rsid w:val="008709C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709CE"/>
    <w:rPr>
      <w:rFonts w:ascii="Calibri" w:hAnsi="Calibri" w:cs="Consolas"/>
      <w:szCs w:val="21"/>
      <w:lang w:val="lt-LT"/>
    </w:rPr>
  </w:style>
  <w:style w:type="paragraph" w:styleId="ListParagraph">
    <w:name w:val="List Paragraph"/>
    <w:basedOn w:val="Normal"/>
    <w:uiPriority w:val="34"/>
    <w:qFormat/>
    <w:rsid w:val="008709CE"/>
    <w:pPr>
      <w:ind w:left="720"/>
      <w:contextualSpacing/>
    </w:pPr>
  </w:style>
  <w:style w:type="paragraph" w:styleId="BalloonText">
    <w:name w:val="Balloon Text"/>
    <w:basedOn w:val="Normal"/>
    <w:link w:val="BalloonTextChar"/>
    <w:uiPriority w:val="99"/>
    <w:semiHidden/>
    <w:unhideWhenUsed/>
    <w:rsid w:val="00845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4C5"/>
    <w:rPr>
      <w:rFonts w:ascii="Segoe UI" w:hAnsi="Segoe UI" w:cs="Segoe UI"/>
      <w:sz w:val="18"/>
      <w:szCs w:val="18"/>
      <w:lang w:val="lt-LT"/>
    </w:rPr>
  </w:style>
  <w:style w:type="character" w:styleId="CommentReference">
    <w:name w:val="annotation reference"/>
    <w:basedOn w:val="DefaultParagraphFont"/>
    <w:uiPriority w:val="99"/>
    <w:semiHidden/>
    <w:unhideWhenUsed/>
    <w:rsid w:val="00E74523"/>
    <w:rPr>
      <w:sz w:val="16"/>
      <w:szCs w:val="16"/>
    </w:rPr>
  </w:style>
  <w:style w:type="paragraph" w:styleId="CommentText">
    <w:name w:val="annotation text"/>
    <w:basedOn w:val="Normal"/>
    <w:link w:val="CommentTextChar"/>
    <w:uiPriority w:val="99"/>
    <w:unhideWhenUsed/>
    <w:rsid w:val="00E74523"/>
    <w:pPr>
      <w:spacing w:line="240" w:lineRule="auto"/>
    </w:pPr>
    <w:rPr>
      <w:sz w:val="20"/>
      <w:szCs w:val="20"/>
    </w:rPr>
  </w:style>
  <w:style w:type="character" w:customStyle="1" w:styleId="CommentTextChar">
    <w:name w:val="Comment Text Char"/>
    <w:basedOn w:val="DefaultParagraphFont"/>
    <w:link w:val="CommentText"/>
    <w:uiPriority w:val="99"/>
    <w:rsid w:val="00E74523"/>
    <w:rPr>
      <w:sz w:val="20"/>
      <w:szCs w:val="20"/>
      <w:lang w:val="lt-LT"/>
    </w:rPr>
  </w:style>
  <w:style w:type="paragraph" w:styleId="CommentSubject">
    <w:name w:val="annotation subject"/>
    <w:basedOn w:val="CommentText"/>
    <w:next w:val="CommentText"/>
    <w:link w:val="CommentSubjectChar"/>
    <w:uiPriority w:val="99"/>
    <w:semiHidden/>
    <w:unhideWhenUsed/>
    <w:rsid w:val="00E74523"/>
    <w:rPr>
      <w:b/>
      <w:bCs/>
    </w:rPr>
  </w:style>
  <w:style w:type="character" w:customStyle="1" w:styleId="CommentSubjectChar">
    <w:name w:val="Comment Subject Char"/>
    <w:basedOn w:val="CommentTextChar"/>
    <w:link w:val="CommentSubject"/>
    <w:uiPriority w:val="99"/>
    <w:semiHidden/>
    <w:rsid w:val="00E74523"/>
    <w:rPr>
      <w:b/>
      <w:bCs/>
      <w:sz w:val="20"/>
      <w:szCs w:val="20"/>
      <w:lang w:val="lt-LT"/>
    </w:rPr>
  </w:style>
  <w:style w:type="paragraph" w:styleId="Revision">
    <w:name w:val="Revision"/>
    <w:hidden/>
    <w:uiPriority w:val="99"/>
    <w:semiHidden/>
    <w:rsid w:val="00E74523"/>
    <w:pPr>
      <w:spacing w:after="0" w:line="240" w:lineRule="auto"/>
    </w:pPr>
    <w:rPr>
      <w:lang w:val="lt-LT"/>
    </w:rPr>
  </w:style>
  <w:style w:type="paragraph" w:customStyle="1" w:styleId="Standard">
    <w:name w:val="Standard"/>
    <w:rsid w:val="005F1314"/>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character" w:customStyle="1" w:styleId="Numatytasispastraiposriftas1">
    <w:name w:val="Numatytasis pastraipos šriftas1"/>
    <w:rsid w:val="005F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9168">
      <w:bodyDiv w:val="1"/>
      <w:marLeft w:val="0"/>
      <w:marRight w:val="0"/>
      <w:marTop w:val="0"/>
      <w:marBottom w:val="0"/>
      <w:divBdr>
        <w:top w:val="none" w:sz="0" w:space="0" w:color="auto"/>
        <w:left w:val="none" w:sz="0" w:space="0" w:color="auto"/>
        <w:bottom w:val="none" w:sz="0" w:space="0" w:color="auto"/>
        <w:right w:val="none" w:sz="0" w:space="0" w:color="auto"/>
      </w:divBdr>
    </w:div>
    <w:div w:id="1420054150">
      <w:bodyDiv w:val="1"/>
      <w:marLeft w:val="0"/>
      <w:marRight w:val="0"/>
      <w:marTop w:val="0"/>
      <w:marBottom w:val="0"/>
      <w:divBdr>
        <w:top w:val="none" w:sz="0" w:space="0" w:color="auto"/>
        <w:left w:val="none" w:sz="0" w:space="0" w:color="auto"/>
        <w:bottom w:val="none" w:sz="0" w:space="0" w:color="auto"/>
        <w:right w:val="none" w:sz="0" w:space="0" w:color="auto"/>
      </w:divBdr>
    </w:div>
    <w:div w:id="1481341806">
      <w:bodyDiv w:val="1"/>
      <w:marLeft w:val="0"/>
      <w:marRight w:val="0"/>
      <w:marTop w:val="0"/>
      <w:marBottom w:val="0"/>
      <w:divBdr>
        <w:top w:val="none" w:sz="0" w:space="0" w:color="auto"/>
        <w:left w:val="none" w:sz="0" w:space="0" w:color="auto"/>
        <w:bottom w:val="none" w:sz="0" w:space="0" w:color="auto"/>
        <w:right w:val="none" w:sz="0" w:space="0" w:color="auto"/>
      </w:divBdr>
    </w:div>
    <w:div w:id="18664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13410</Words>
  <Characters>7644</Characters>
  <Application>Microsoft Office Word</Application>
  <DocSecurity>4</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2021-11-11T05:07:00Z</dcterms:created>
  <dc:creator>Audronė J.</dc:creator>
  <cp:lastModifiedBy>Mantas Keliotis</cp:lastModifiedBy>
  <dcterms:modified xsi:type="dcterms:W3CDTF">2021-11-11T05:07:00Z</dcterms:modified>
  <cp:revision>2</cp:revision>
</cp:coreProperties>
</file>