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638E9" w14:textId="77777777" w:rsidR="008709CE" w:rsidRPr="00753980" w:rsidRDefault="008709CE" w:rsidP="00541503">
      <w:pPr>
        <w:spacing w:after="0"/>
        <w:jc w:val="center"/>
        <w:rPr>
          <w:rFonts w:ascii="Times New Roman" w:hAnsi="Times New Roman" w:cs="Times New Roman"/>
          <w:b/>
          <w:color w:val="000000" w:themeColor="text1"/>
          <w:sz w:val="24"/>
          <w:szCs w:val="24"/>
        </w:rPr>
      </w:pPr>
      <w:r w:rsidRPr="00753980">
        <w:rPr>
          <w:rFonts w:ascii="Times New Roman" w:hAnsi="Times New Roman" w:cs="Times New Roman"/>
          <w:b/>
          <w:color w:val="000000" w:themeColor="text1"/>
          <w:sz w:val="24"/>
          <w:szCs w:val="24"/>
        </w:rPr>
        <w:t xml:space="preserve">DERINIMO PAŽYMA  </w:t>
      </w:r>
    </w:p>
    <w:p w14:paraId="76E1F511" w14:textId="4448FB0F" w:rsidR="008709CE" w:rsidRPr="00753980" w:rsidRDefault="008709CE" w:rsidP="007D3347">
      <w:pPr>
        <w:spacing w:after="0"/>
        <w:jc w:val="center"/>
        <w:rPr>
          <w:rFonts w:ascii="Times New Roman" w:hAnsi="Times New Roman" w:cs="Times New Roman"/>
          <w:b/>
          <w:color w:val="000000" w:themeColor="text1"/>
          <w:sz w:val="24"/>
          <w:szCs w:val="24"/>
        </w:rPr>
      </w:pPr>
      <w:r w:rsidRPr="00753980">
        <w:rPr>
          <w:rFonts w:ascii="Times New Roman" w:eastAsia="Times New Roman" w:hAnsi="Times New Roman" w:cs="Times New Roman"/>
          <w:b/>
          <w:bCs/>
          <w:color w:val="000000" w:themeColor="text1"/>
          <w:sz w:val="24"/>
          <w:szCs w:val="24"/>
          <w:lang w:eastAsia="lt-LT"/>
        </w:rPr>
        <w:t xml:space="preserve">DĖL </w:t>
      </w:r>
      <w:r w:rsidR="007D3347" w:rsidRPr="007D3347">
        <w:rPr>
          <w:rFonts w:ascii="Times New Roman" w:hAnsi="Times New Roman" w:cs="Times New Roman"/>
          <w:b/>
          <w:color w:val="000000"/>
          <w:sz w:val="24"/>
          <w:szCs w:val="24"/>
        </w:rPr>
        <w:t xml:space="preserve">LIETUVOS RESPUBLIKOS VIEŠŲJŲ PIRKIMŲ ĮSTATYMO NR. I-1491 2, 17, </w:t>
      </w:r>
      <w:r w:rsidR="00E665DB">
        <w:rPr>
          <w:rFonts w:ascii="Times New Roman" w:hAnsi="Times New Roman" w:cs="Times New Roman"/>
          <w:b/>
          <w:color w:val="000000"/>
          <w:sz w:val="24"/>
          <w:szCs w:val="24"/>
        </w:rPr>
        <w:t xml:space="preserve">25, </w:t>
      </w:r>
      <w:r w:rsidR="007D3347" w:rsidRPr="007D3347">
        <w:rPr>
          <w:rFonts w:ascii="Times New Roman" w:hAnsi="Times New Roman" w:cs="Times New Roman"/>
          <w:b/>
          <w:color w:val="000000"/>
          <w:sz w:val="24"/>
          <w:szCs w:val="24"/>
        </w:rPr>
        <w:t>27,</w:t>
      </w:r>
      <w:r w:rsidR="001A32C6">
        <w:rPr>
          <w:rFonts w:ascii="Times New Roman" w:hAnsi="Times New Roman" w:cs="Times New Roman"/>
          <w:b/>
          <w:color w:val="000000"/>
          <w:sz w:val="24"/>
          <w:szCs w:val="24"/>
        </w:rPr>
        <w:t xml:space="preserve"> 3</w:t>
      </w:r>
      <w:r w:rsidR="00285719">
        <w:rPr>
          <w:rFonts w:ascii="Times New Roman" w:hAnsi="Times New Roman" w:cs="Times New Roman"/>
          <w:b/>
          <w:color w:val="000000"/>
          <w:sz w:val="24"/>
          <w:szCs w:val="24"/>
        </w:rPr>
        <w:t>5</w:t>
      </w:r>
      <w:r w:rsidR="001A32C6">
        <w:rPr>
          <w:rFonts w:ascii="Times New Roman" w:hAnsi="Times New Roman" w:cs="Times New Roman"/>
          <w:b/>
          <w:color w:val="000000"/>
          <w:sz w:val="24"/>
          <w:szCs w:val="24"/>
        </w:rPr>
        <w:t>,</w:t>
      </w:r>
      <w:r w:rsidR="007D3347" w:rsidRPr="007D3347">
        <w:rPr>
          <w:rFonts w:ascii="Times New Roman" w:hAnsi="Times New Roman" w:cs="Times New Roman"/>
          <w:b/>
          <w:color w:val="000000"/>
          <w:sz w:val="24"/>
          <w:szCs w:val="24"/>
        </w:rPr>
        <w:t xml:space="preserve"> 37, </w:t>
      </w:r>
      <w:r w:rsidR="00475236">
        <w:rPr>
          <w:rFonts w:ascii="Times New Roman" w:hAnsi="Times New Roman" w:cs="Times New Roman"/>
          <w:b/>
          <w:color w:val="000000"/>
          <w:sz w:val="24"/>
          <w:szCs w:val="24"/>
        </w:rPr>
        <w:t xml:space="preserve">39, </w:t>
      </w:r>
      <w:r w:rsidR="007D3347" w:rsidRPr="007D3347">
        <w:rPr>
          <w:rFonts w:ascii="Times New Roman" w:hAnsi="Times New Roman" w:cs="Times New Roman"/>
          <w:b/>
          <w:color w:val="000000"/>
          <w:sz w:val="24"/>
          <w:szCs w:val="24"/>
        </w:rPr>
        <w:t xml:space="preserve">47, </w:t>
      </w:r>
      <w:r w:rsidR="00E665DB">
        <w:rPr>
          <w:rFonts w:ascii="Times New Roman" w:hAnsi="Times New Roman" w:cs="Times New Roman"/>
          <w:b/>
          <w:color w:val="000000"/>
          <w:sz w:val="24"/>
          <w:szCs w:val="24"/>
        </w:rPr>
        <w:t xml:space="preserve">51, </w:t>
      </w:r>
      <w:r w:rsidR="007D3347" w:rsidRPr="007D3347">
        <w:rPr>
          <w:rFonts w:ascii="Times New Roman" w:hAnsi="Times New Roman" w:cs="Times New Roman"/>
          <w:b/>
          <w:color w:val="000000"/>
          <w:sz w:val="24"/>
          <w:szCs w:val="24"/>
        </w:rPr>
        <w:t xml:space="preserve">87 ir 92 STRAIPSNIŲ PAKEITIMO, LIETUVOS RESPUBLIKOS PIRKIMŲ, ATLIEKAMŲ VANDENTVARKOS, ENERGETIKOS, TRANSPORTO AR PAŠTO PASLAUGŲ SRITIES PERKANČIŲJŲ SUBJEKTŲ, ĮSTATYMO NR. XIII-328 2, 29, </w:t>
      </w:r>
      <w:r w:rsidR="00E665DB">
        <w:rPr>
          <w:rFonts w:ascii="Times New Roman" w:hAnsi="Times New Roman" w:cs="Times New Roman"/>
          <w:b/>
          <w:color w:val="000000"/>
          <w:sz w:val="24"/>
          <w:szCs w:val="24"/>
        </w:rPr>
        <w:t xml:space="preserve">37, </w:t>
      </w:r>
      <w:r w:rsidR="007D3347" w:rsidRPr="007D3347">
        <w:rPr>
          <w:rFonts w:ascii="Times New Roman" w:hAnsi="Times New Roman" w:cs="Times New Roman"/>
          <w:b/>
          <w:color w:val="000000"/>
          <w:sz w:val="24"/>
          <w:szCs w:val="24"/>
        </w:rPr>
        <w:t xml:space="preserve">39, </w:t>
      </w:r>
      <w:r w:rsidR="001A32C6">
        <w:rPr>
          <w:rFonts w:ascii="Times New Roman" w:hAnsi="Times New Roman" w:cs="Times New Roman"/>
          <w:b/>
          <w:color w:val="000000"/>
          <w:sz w:val="24"/>
          <w:szCs w:val="24"/>
        </w:rPr>
        <w:t xml:space="preserve">48, </w:t>
      </w:r>
      <w:r w:rsidR="007D3347" w:rsidRPr="007D3347">
        <w:rPr>
          <w:rFonts w:ascii="Times New Roman" w:hAnsi="Times New Roman" w:cs="Times New Roman"/>
          <w:b/>
          <w:color w:val="000000"/>
          <w:sz w:val="24"/>
          <w:szCs w:val="24"/>
        </w:rPr>
        <w:t>50</w:t>
      </w:r>
      <w:r w:rsidR="00E665DB">
        <w:rPr>
          <w:rFonts w:ascii="Times New Roman" w:hAnsi="Times New Roman" w:cs="Times New Roman"/>
          <w:b/>
          <w:color w:val="000000"/>
          <w:sz w:val="24"/>
          <w:szCs w:val="24"/>
        </w:rPr>
        <w:t>, 52</w:t>
      </w:r>
      <w:r w:rsidR="00F454D0">
        <w:rPr>
          <w:rFonts w:ascii="Times New Roman" w:hAnsi="Times New Roman" w:cs="Times New Roman"/>
          <w:b/>
          <w:color w:val="000000"/>
          <w:sz w:val="24"/>
          <w:szCs w:val="24"/>
        </w:rPr>
        <w:t>,</w:t>
      </w:r>
      <w:r w:rsidR="007D3347" w:rsidRPr="007D3347">
        <w:rPr>
          <w:rFonts w:ascii="Times New Roman" w:hAnsi="Times New Roman" w:cs="Times New Roman"/>
          <w:b/>
          <w:color w:val="000000"/>
          <w:sz w:val="24"/>
          <w:szCs w:val="24"/>
        </w:rPr>
        <w:t xml:space="preserve"> 95</w:t>
      </w:r>
      <w:r w:rsidR="00F454D0">
        <w:rPr>
          <w:rFonts w:ascii="Times New Roman" w:hAnsi="Times New Roman" w:cs="Times New Roman"/>
          <w:b/>
          <w:color w:val="000000"/>
          <w:sz w:val="24"/>
          <w:szCs w:val="24"/>
        </w:rPr>
        <w:t xml:space="preserve"> IR 100</w:t>
      </w:r>
      <w:r w:rsidR="007D3347" w:rsidRPr="007D3347">
        <w:rPr>
          <w:rFonts w:ascii="Times New Roman" w:hAnsi="Times New Roman" w:cs="Times New Roman"/>
          <w:b/>
          <w:color w:val="000000"/>
          <w:sz w:val="24"/>
          <w:szCs w:val="24"/>
        </w:rPr>
        <w:t xml:space="preserve"> STRAIPSNIŲ PAKEITIMO, LIETUVOS RESPUBLIKOS</w:t>
      </w:r>
      <w:r w:rsidR="00E665DB">
        <w:rPr>
          <w:rFonts w:ascii="Times New Roman" w:hAnsi="Times New Roman" w:cs="Times New Roman"/>
          <w:b/>
          <w:color w:val="000000"/>
          <w:sz w:val="24"/>
          <w:szCs w:val="24"/>
        </w:rPr>
        <w:t xml:space="preserve"> </w:t>
      </w:r>
      <w:r w:rsidR="007D3347" w:rsidRPr="007D3347">
        <w:rPr>
          <w:rFonts w:ascii="Times New Roman" w:hAnsi="Times New Roman" w:cs="Times New Roman"/>
          <w:b/>
          <w:color w:val="000000"/>
          <w:sz w:val="24"/>
          <w:szCs w:val="24"/>
        </w:rPr>
        <w:t xml:space="preserve">VIEŠŲJŲ PIRKIMŲ, ATLIEKAMŲ GYNYBOS IR SAUGUMO SRITYJE, ĮSTATYMO NR. XI-1491 4, 6, </w:t>
      </w:r>
      <w:r w:rsidR="00E665DB">
        <w:rPr>
          <w:rFonts w:ascii="Times New Roman" w:hAnsi="Times New Roman" w:cs="Times New Roman"/>
          <w:b/>
          <w:color w:val="000000"/>
          <w:sz w:val="24"/>
          <w:szCs w:val="24"/>
        </w:rPr>
        <w:t xml:space="preserve">17, </w:t>
      </w:r>
      <w:r w:rsidR="001A32C6">
        <w:rPr>
          <w:rFonts w:ascii="Times New Roman" w:hAnsi="Times New Roman" w:cs="Times New Roman"/>
          <w:b/>
          <w:color w:val="000000"/>
          <w:sz w:val="24"/>
          <w:szCs w:val="24"/>
        </w:rPr>
        <w:t xml:space="preserve">24, </w:t>
      </w:r>
      <w:r w:rsidR="007D3347" w:rsidRPr="007D3347">
        <w:rPr>
          <w:rFonts w:ascii="Times New Roman" w:hAnsi="Times New Roman" w:cs="Times New Roman"/>
          <w:b/>
          <w:color w:val="000000"/>
          <w:sz w:val="24"/>
          <w:szCs w:val="24"/>
        </w:rPr>
        <w:t>34, 40 ir 44 STRAIPSNIŲ PAKEITIMO, LIETUVOS RESPUBLIKOS</w:t>
      </w:r>
      <w:r w:rsidR="007D3347">
        <w:rPr>
          <w:rFonts w:ascii="Times New Roman" w:hAnsi="Times New Roman" w:cs="Times New Roman"/>
          <w:b/>
          <w:color w:val="000000"/>
          <w:sz w:val="24"/>
          <w:szCs w:val="24"/>
        </w:rPr>
        <w:t xml:space="preserve"> </w:t>
      </w:r>
      <w:r w:rsidR="007D3347" w:rsidRPr="007D3347">
        <w:rPr>
          <w:rFonts w:ascii="Times New Roman" w:hAnsi="Times New Roman" w:cs="Times New Roman"/>
          <w:b/>
          <w:color w:val="000000"/>
          <w:sz w:val="24"/>
          <w:szCs w:val="24"/>
        </w:rPr>
        <w:t>NACIONALINIAM SAUGUMUI UŽTIKRINTI SVARBIŲ OBJEKTŲ APSAUGOS ĮSTATYMO NR. IX-1132 1, 2 IR 13 STRAIPSNIŲ PAKEITIMO ĮSTATYMŲ PROJEKTŲ</w:t>
      </w:r>
      <w:r w:rsidR="00993563">
        <w:rPr>
          <w:rFonts w:ascii="Times New Roman" w:hAnsi="Times New Roman" w:cs="Times New Roman"/>
          <w:b/>
          <w:color w:val="000000"/>
          <w:sz w:val="24"/>
          <w:szCs w:val="24"/>
        </w:rPr>
        <w:t xml:space="preserve"> </w:t>
      </w:r>
    </w:p>
    <w:tbl>
      <w:tblPr>
        <w:tblStyle w:val="TableGrid"/>
        <w:tblW w:w="0" w:type="auto"/>
        <w:tblLook w:val="04A0" w:firstRow="1" w:lastRow="0" w:firstColumn="1" w:lastColumn="0" w:noHBand="0" w:noVBand="1"/>
      </w:tblPr>
      <w:tblGrid>
        <w:gridCol w:w="2689"/>
        <w:gridCol w:w="6804"/>
        <w:gridCol w:w="5499"/>
      </w:tblGrid>
      <w:tr w:rsidR="008709CE" w:rsidRPr="00753980" w14:paraId="7768EFD6" w14:textId="77777777" w:rsidTr="0041559F">
        <w:trPr>
          <w:trHeight w:val="1280"/>
        </w:trPr>
        <w:tc>
          <w:tcPr>
            <w:tcW w:w="2689" w:type="dxa"/>
            <w:vAlign w:val="center"/>
          </w:tcPr>
          <w:p w14:paraId="558396BE" w14:textId="74258AFA" w:rsidR="008709CE" w:rsidRPr="00753980" w:rsidRDefault="008709CE" w:rsidP="0025554C">
            <w:pPr>
              <w:spacing w:after="0" w:line="240" w:lineRule="auto"/>
              <w:jc w:val="center"/>
              <w:rPr>
                <w:rFonts w:ascii="Times New Roman" w:hAnsi="Times New Roman" w:cs="Times New Roman"/>
                <w:b/>
                <w:color w:val="000000" w:themeColor="text1"/>
                <w:sz w:val="24"/>
                <w:szCs w:val="24"/>
              </w:rPr>
            </w:pPr>
            <w:r w:rsidRPr="00753980">
              <w:rPr>
                <w:rFonts w:ascii="Times New Roman" w:hAnsi="Times New Roman" w:cs="Times New Roman"/>
                <w:b/>
                <w:color w:val="000000" w:themeColor="text1"/>
                <w:sz w:val="24"/>
                <w:szCs w:val="24"/>
              </w:rPr>
              <w:t>Suinteresuotos institucijos</w:t>
            </w:r>
            <w:r w:rsidR="00D81076">
              <w:rPr>
                <w:rFonts w:ascii="Times New Roman" w:hAnsi="Times New Roman" w:cs="Times New Roman"/>
                <w:b/>
                <w:color w:val="000000" w:themeColor="text1"/>
                <w:sz w:val="24"/>
                <w:szCs w:val="24"/>
              </w:rPr>
              <w:t xml:space="preserve"> ar asmens</w:t>
            </w:r>
            <w:r w:rsidRPr="00753980">
              <w:rPr>
                <w:rFonts w:ascii="Times New Roman" w:hAnsi="Times New Roman" w:cs="Times New Roman"/>
                <w:b/>
                <w:color w:val="000000" w:themeColor="text1"/>
                <w:sz w:val="24"/>
                <w:szCs w:val="24"/>
              </w:rPr>
              <w:t xml:space="preserve">, į kurių pastabas ir pasiūlymus neatsižvelgta </w:t>
            </w:r>
          </w:p>
        </w:tc>
        <w:tc>
          <w:tcPr>
            <w:tcW w:w="6804" w:type="dxa"/>
            <w:vAlign w:val="center"/>
          </w:tcPr>
          <w:p w14:paraId="343AE3BF" w14:textId="77777777" w:rsidR="008709CE" w:rsidRPr="00753980" w:rsidRDefault="008709CE" w:rsidP="0025554C">
            <w:pPr>
              <w:spacing w:after="0" w:line="240" w:lineRule="auto"/>
              <w:jc w:val="center"/>
              <w:rPr>
                <w:rFonts w:ascii="Times New Roman" w:hAnsi="Times New Roman" w:cs="Times New Roman"/>
                <w:b/>
                <w:color w:val="000000" w:themeColor="text1"/>
                <w:sz w:val="24"/>
                <w:szCs w:val="24"/>
              </w:rPr>
            </w:pPr>
            <w:r w:rsidRPr="00753980">
              <w:rPr>
                <w:rFonts w:ascii="Times New Roman" w:hAnsi="Times New Roman" w:cs="Times New Roman"/>
                <w:b/>
                <w:color w:val="000000" w:themeColor="text1"/>
                <w:sz w:val="24"/>
                <w:szCs w:val="24"/>
              </w:rPr>
              <w:t>Suinteresuotų institucijų ir asmenų pastabos ir pasiūlymai, į kuriuos neatsižvelgta arba atsižvelgta iš dalies</w:t>
            </w:r>
          </w:p>
        </w:tc>
        <w:tc>
          <w:tcPr>
            <w:tcW w:w="5499" w:type="dxa"/>
            <w:vAlign w:val="center"/>
          </w:tcPr>
          <w:p w14:paraId="523FDF5E" w14:textId="77777777" w:rsidR="008709CE" w:rsidRPr="00753980" w:rsidRDefault="008709CE" w:rsidP="0025554C">
            <w:pPr>
              <w:spacing w:after="0" w:line="240" w:lineRule="auto"/>
              <w:jc w:val="center"/>
              <w:rPr>
                <w:rFonts w:ascii="Times New Roman" w:hAnsi="Times New Roman" w:cs="Times New Roman"/>
                <w:b/>
                <w:color w:val="000000" w:themeColor="text1"/>
                <w:sz w:val="24"/>
                <w:szCs w:val="24"/>
              </w:rPr>
            </w:pPr>
            <w:r w:rsidRPr="00753980">
              <w:rPr>
                <w:rFonts w:ascii="Times New Roman" w:hAnsi="Times New Roman" w:cs="Times New Roman"/>
                <w:b/>
                <w:color w:val="000000" w:themeColor="text1"/>
                <w:sz w:val="24"/>
                <w:szCs w:val="24"/>
              </w:rPr>
              <w:t>Argumentai, kodėl neatsižvelgta arba tik iš dalies atsižvelgta į suinteresuotų institucijų ir asmenų pastabas ir pasiūlymus</w:t>
            </w:r>
          </w:p>
        </w:tc>
      </w:tr>
      <w:tr w:rsidR="00FE3659" w:rsidRPr="00753980" w14:paraId="05623B87" w14:textId="77777777" w:rsidTr="0041559F">
        <w:tblPrEx>
          <w:tblLook w:val="0000" w:firstRow="0" w:lastRow="0" w:firstColumn="0" w:lastColumn="0" w:noHBand="0" w:noVBand="0"/>
        </w:tblPrEx>
        <w:trPr>
          <w:trHeight w:val="567"/>
        </w:trPr>
        <w:tc>
          <w:tcPr>
            <w:tcW w:w="2689" w:type="dxa"/>
          </w:tcPr>
          <w:p w14:paraId="1C806181" w14:textId="32AEDC60" w:rsidR="00FE3659" w:rsidRPr="007D1DB6" w:rsidRDefault="00DD0F0A" w:rsidP="00DD0F0A">
            <w:pPr>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UAB „</w:t>
            </w:r>
            <w:proofErr w:type="spellStart"/>
            <w:r w:rsidR="00230FB1" w:rsidRPr="00230FB1">
              <w:rPr>
                <w:rFonts w:ascii="Times New Roman" w:hAnsi="Times New Roman" w:cs="Times New Roman"/>
                <w:sz w:val="24"/>
                <w:szCs w:val="24"/>
              </w:rPr>
              <w:t>Huawei</w:t>
            </w:r>
            <w:proofErr w:type="spellEnd"/>
            <w:r w:rsidR="00230FB1" w:rsidRPr="00230FB1">
              <w:rPr>
                <w:rFonts w:ascii="Times New Roman" w:hAnsi="Times New Roman" w:cs="Times New Roman"/>
                <w:sz w:val="24"/>
                <w:szCs w:val="24"/>
              </w:rPr>
              <w:t xml:space="preserve"> Technologies (Vilnius)</w:t>
            </w:r>
            <w:r>
              <w:rPr>
                <w:rFonts w:ascii="Times New Roman" w:hAnsi="Times New Roman" w:cs="Times New Roman"/>
                <w:sz w:val="24"/>
                <w:szCs w:val="24"/>
              </w:rPr>
              <w:t xml:space="preserve">“, </w:t>
            </w:r>
            <w:r w:rsidR="00FE3659" w:rsidRPr="007A5633">
              <w:rPr>
                <w:rFonts w:ascii="Times New Roman" w:hAnsi="Times New Roman" w:cs="Times New Roman"/>
                <w:sz w:val="24"/>
                <w:szCs w:val="24"/>
              </w:rPr>
              <w:t>2021-11-26 raštas</w:t>
            </w:r>
          </w:p>
        </w:tc>
        <w:tc>
          <w:tcPr>
            <w:tcW w:w="6804" w:type="dxa"/>
          </w:tcPr>
          <w:p w14:paraId="7F86CDD1" w14:textId="77777777" w:rsidR="005F0F7D" w:rsidRDefault="000A39DA" w:rsidP="005F0F7D">
            <w:pPr>
              <w:pStyle w:val="BodyText"/>
              <w:ind w:firstLine="0"/>
              <w:rPr>
                <w:szCs w:val="24"/>
              </w:rPr>
            </w:pPr>
            <w:r w:rsidRPr="000A39DA">
              <w:rPr>
                <w:szCs w:val="24"/>
              </w:rPr>
              <w:t xml:space="preserve">Įstatymų projektai </w:t>
            </w:r>
            <w:r w:rsidRPr="000A39DA">
              <w:rPr>
                <w:b/>
                <w:szCs w:val="24"/>
              </w:rPr>
              <w:t>prieštarauja laisvo prekių judėjimo, įsisteigimo laisvės ir laisvės teikti paslaugas principams.</w:t>
            </w:r>
            <w:r w:rsidRPr="000A39DA">
              <w:rPr>
                <w:szCs w:val="24"/>
              </w:rPr>
              <w:t xml:space="preserve"> Įstatymų projektai diskriminuoja trečiųjų šalių tiekėjus pagal jų kilmės šalį, tuo pažeisdami Sutarties dėl Europos Sąjungos veikimo 18 straipsnį ir Europos Sąjungos Pagrindinių teisių chartijos 20 ir 21 straipsnius.</w:t>
            </w:r>
          </w:p>
          <w:p w14:paraId="06AF0E5B" w14:textId="77777777" w:rsidR="005F0F7D" w:rsidRDefault="005F0F7D" w:rsidP="005F0F7D">
            <w:pPr>
              <w:pStyle w:val="BodyText"/>
              <w:ind w:firstLine="749"/>
              <w:rPr>
                <w:szCs w:val="24"/>
              </w:rPr>
            </w:pPr>
          </w:p>
          <w:p w14:paraId="7A5663A9" w14:textId="77777777" w:rsidR="005F0F7D" w:rsidRDefault="000A39DA" w:rsidP="005F0F7D">
            <w:pPr>
              <w:pStyle w:val="BodyText"/>
              <w:ind w:firstLine="0"/>
              <w:rPr>
                <w:szCs w:val="24"/>
              </w:rPr>
            </w:pPr>
            <w:r w:rsidRPr="000A39DA">
              <w:rPr>
                <w:color w:val="000000" w:themeColor="text1"/>
                <w:szCs w:val="24"/>
              </w:rPr>
              <w:t xml:space="preserve">Įstatymų projektai akivaizdžiai </w:t>
            </w:r>
            <w:r w:rsidRPr="000A39DA">
              <w:rPr>
                <w:b/>
                <w:color w:val="000000" w:themeColor="text1"/>
                <w:szCs w:val="24"/>
              </w:rPr>
              <w:t>pažeidžia proporcingumo reikalavimą,</w:t>
            </w:r>
            <w:r w:rsidRPr="000A39DA">
              <w:rPr>
                <w:color w:val="000000" w:themeColor="text1"/>
                <w:szCs w:val="24"/>
              </w:rPr>
              <w:t xml:space="preserve"> nes apriboja ūkio subjektus labiau, negu to reikia nacionaliniam saugumui užtikrinti. Pagal proporcingumo principą, kuris yra bendrasis Europos Sąjungos teisės principas, valstybių narių arba perkančiųjų organizacijų nustatytos taisyklės įgyvendinant direktyvų nuostatas, neturi viršyti to, kas būtina direktyvose nurodytiems tikslams pasiekti (ESTT 2008 m. gruodžio 16 d. sprendimas </w:t>
            </w:r>
            <w:proofErr w:type="spellStart"/>
            <w:r w:rsidRPr="000A39DA">
              <w:rPr>
                <w:color w:val="000000" w:themeColor="text1"/>
                <w:szCs w:val="24"/>
              </w:rPr>
              <w:t>Michaniki</w:t>
            </w:r>
            <w:proofErr w:type="spellEnd"/>
            <w:r w:rsidRPr="000A39DA">
              <w:rPr>
                <w:color w:val="000000" w:themeColor="text1"/>
                <w:szCs w:val="24"/>
              </w:rPr>
              <w:t xml:space="preserve">, C‑213/07, 2020 m. sausio 30 d. sprendimas </w:t>
            </w:r>
            <w:proofErr w:type="spellStart"/>
            <w:r w:rsidRPr="000A39DA">
              <w:rPr>
                <w:color w:val="000000" w:themeColor="text1"/>
                <w:szCs w:val="24"/>
              </w:rPr>
              <w:t>Tim</w:t>
            </w:r>
            <w:proofErr w:type="spellEnd"/>
            <w:r w:rsidRPr="000A39DA">
              <w:rPr>
                <w:color w:val="000000" w:themeColor="text1"/>
                <w:szCs w:val="24"/>
              </w:rPr>
              <w:t>, C‑395/18).</w:t>
            </w:r>
          </w:p>
          <w:p w14:paraId="19598EAB" w14:textId="77777777" w:rsidR="005F0F7D" w:rsidRDefault="005F0F7D" w:rsidP="005F0F7D">
            <w:pPr>
              <w:pStyle w:val="BodyText"/>
              <w:ind w:firstLine="0"/>
              <w:rPr>
                <w:color w:val="000000" w:themeColor="text1"/>
                <w:szCs w:val="24"/>
              </w:rPr>
            </w:pPr>
          </w:p>
          <w:p w14:paraId="005CC440" w14:textId="77777777" w:rsidR="005F0F7D" w:rsidRDefault="000A39DA" w:rsidP="005F0F7D">
            <w:pPr>
              <w:pStyle w:val="BodyText"/>
              <w:ind w:firstLine="0"/>
              <w:rPr>
                <w:color w:val="000000" w:themeColor="text1"/>
                <w:szCs w:val="24"/>
              </w:rPr>
            </w:pPr>
            <w:r w:rsidRPr="000A39DA">
              <w:rPr>
                <w:color w:val="000000" w:themeColor="text1"/>
                <w:szCs w:val="24"/>
              </w:rPr>
              <w:t xml:space="preserve">Automatiškas tariamai nepatikimose valstybėse registruotų gamintojų ir paslaugų </w:t>
            </w:r>
            <w:r w:rsidRPr="000A39DA">
              <w:rPr>
                <w:b/>
                <w:color w:val="000000" w:themeColor="text1"/>
                <w:szCs w:val="24"/>
              </w:rPr>
              <w:t>tiekėjų pašalinimas iš rinkos žymiai sumažintų konkurenciją tarp likusių gamintojų bei priverstų perkančiąsias organizacijas permokėti už perkamas prekes ir paslaugas.</w:t>
            </w:r>
            <w:r w:rsidRPr="000A39DA">
              <w:rPr>
                <w:color w:val="000000" w:themeColor="text1"/>
                <w:szCs w:val="24"/>
              </w:rPr>
              <w:t xml:space="preserve"> </w:t>
            </w:r>
            <w:r w:rsidRPr="000A39DA">
              <w:rPr>
                <w:b/>
                <w:color w:val="000000" w:themeColor="text1"/>
                <w:szCs w:val="24"/>
              </w:rPr>
              <w:t>Konkurencijos taryba</w:t>
            </w:r>
            <w:r w:rsidRPr="000A39DA">
              <w:rPr>
                <w:color w:val="000000" w:themeColor="text1"/>
                <w:szCs w:val="24"/>
              </w:rPr>
              <w:t xml:space="preserve"> yra ne kartą pažymėjusi, kad ribojimus įtvirtinantis reguliavimas: „gali daryti įtaką konkurencijai atitinkamose rinkose, sumažindamas rinkos dalyvių skaičių, todėl </w:t>
            </w:r>
            <w:r w:rsidRPr="000A39DA">
              <w:rPr>
                <w:color w:val="000000" w:themeColor="text1"/>
                <w:szCs w:val="24"/>
              </w:rPr>
              <w:lastRenderedPageBreak/>
              <w:t xml:space="preserve">manome, kad </w:t>
            </w:r>
            <w:r w:rsidRPr="000A39DA">
              <w:rPr>
                <w:b/>
                <w:color w:val="000000" w:themeColor="text1"/>
                <w:szCs w:val="24"/>
              </w:rPr>
              <w:t>turėtų būti įvertintas ir aprašytas tokio numatomo teisinio reguliavimo poveikis konkurencijai</w:t>
            </w:r>
            <w:r w:rsidRPr="000A39DA">
              <w:rPr>
                <w:color w:val="000000" w:themeColor="text1"/>
                <w:szCs w:val="24"/>
              </w:rPr>
              <w:t>, ir, jeigu neigiamas poveikis konkurencijai būtų nustatytas, turėtų būti įvertinta ir pagrįsta, ar kokie nors kiti viešojo intereso tikslai (pavyzdžiui, nacionalinio saugumo) nusveria galimas rizikas dėl poveikio konkurencijai. Taip pat, jeigu būtų nustatytas neigiamas poveikis konkurencijai, kurį galima pateisinti dėl tam tikrų viešojo intereso tikslų, turėtų būti įvertinta, ar negalima būtų taikyti kitų, mažiau konkurenciją ribojančių (arba iš viso jos neribojančių) ir viešojo intereso tikslų pasiekiančių priemonių“.</w:t>
            </w:r>
            <w:r w:rsidR="005F0F7D">
              <w:rPr>
                <w:color w:val="000000" w:themeColor="text1"/>
                <w:szCs w:val="24"/>
              </w:rPr>
              <w:t xml:space="preserve"> </w:t>
            </w:r>
          </w:p>
          <w:p w14:paraId="4F9D1FC2" w14:textId="77777777" w:rsidR="005F0F7D" w:rsidRDefault="005F0F7D" w:rsidP="005F0F7D">
            <w:pPr>
              <w:pStyle w:val="BodyText"/>
              <w:ind w:firstLine="0"/>
              <w:rPr>
                <w:color w:val="000000" w:themeColor="text1"/>
                <w:szCs w:val="24"/>
              </w:rPr>
            </w:pPr>
          </w:p>
          <w:p w14:paraId="43B3394E" w14:textId="2C8B6926" w:rsidR="005F0F7D" w:rsidRDefault="005F0F7D" w:rsidP="005F0F7D">
            <w:pPr>
              <w:pStyle w:val="BodyText"/>
              <w:ind w:firstLine="0"/>
              <w:rPr>
                <w:b/>
                <w:color w:val="000000" w:themeColor="text1"/>
                <w:szCs w:val="24"/>
              </w:rPr>
            </w:pPr>
            <w:r>
              <w:rPr>
                <w:color w:val="000000" w:themeColor="text1"/>
                <w:szCs w:val="24"/>
              </w:rPr>
              <w:t>Į</w:t>
            </w:r>
            <w:r w:rsidR="000A39DA" w:rsidRPr="000A39DA">
              <w:rPr>
                <w:color w:val="000000" w:themeColor="text1"/>
                <w:szCs w:val="24"/>
              </w:rPr>
              <w:t>statymų projektai suteikia Užsienio reikalų ministerijai ir Krašto apsaugos ministerijai teisę savo nuožiūra, be jokių aiškių, objektyvių ir patikrinamų kriterijų, parengti „nepatikimų valstybių“ bei techninės ar programinės įrang</w:t>
            </w:r>
            <w:r w:rsidR="000A39DA" w:rsidRPr="000A39DA">
              <w:rPr>
                <w:color w:val="000000" w:themeColor="text1"/>
                <w:szCs w:val="24"/>
              </w:rPr>
              <w:t>a</w:t>
            </w:r>
            <w:r w:rsidR="000A39DA" w:rsidRPr="000A39DA">
              <w:rPr>
                <w:color w:val="000000" w:themeColor="text1"/>
                <w:szCs w:val="24"/>
              </w:rPr>
              <w:t xml:space="preserve">, jos priežiūros ar palaikymo paslaugų, kurių nebus galima įsigyti iš tariamai nepatikimų valstybių, sąrašus. Toks reglamentavimas suteikia minėtoms institucijoms galimybę piktnaudžiauti savo įgaliojimais bei savavališkai juos įgyvendinti be jokios parlamentinės kontrolės. Sukuriama situacija, kuomet tiekėjui, kuris siūlo prekes pagamintas trečiosiose valstybėse arba kitaip atitinka siūlomo įstatymo sąvoką, draudimas vykdyti ekonominę veiklą yra nustatomas ne įstatymu, bet poįstatyminiu teisės aktu. </w:t>
            </w:r>
            <w:r w:rsidR="000A39DA" w:rsidRPr="000A39DA">
              <w:rPr>
                <w:b/>
                <w:color w:val="000000" w:themeColor="text1"/>
                <w:szCs w:val="24"/>
              </w:rPr>
              <w:t>Tai akivaizdžiai prieštarauja konstituciniam teisinės valstybės principui, kuris, be kita ko, reiškia, kad subjektinių teisių ribojimas yra galimas tik įstatymu, dar daugiau, pažeidžiamas deleguojamosios teisėkūros draudimas.</w:t>
            </w:r>
          </w:p>
          <w:p w14:paraId="14787056" w14:textId="5EB0025D" w:rsidR="005F0F7D" w:rsidRDefault="005F0F7D" w:rsidP="005F0F7D">
            <w:pPr>
              <w:pStyle w:val="BodyText"/>
              <w:ind w:firstLine="0"/>
              <w:rPr>
                <w:b/>
                <w:color w:val="000000" w:themeColor="text1"/>
                <w:szCs w:val="24"/>
              </w:rPr>
            </w:pPr>
            <w:r>
              <w:rPr>
                <w:b/>
                <w:color w:val="000000" w:themeColor="text1"/>
                <w:szCs w:val="24"/>
              </w:rPr>
              <w:br/>
            </w:r>
            <w:r w:rsidR="000A39DA" w:rsidRPr="000A39DA">
              <w:rPr>
                <w:b/>
                <w:color w:val="000000" w:themeColor="text1"/>
                <w:szCs w:val="24"/>
              </w:rPr>
              <w:t>Įstatymų projektai nepaiso Sutarties dėl Europos Sąjungos veikimo 34 ir 56 straipsniuose numatytų laisvo prekių ir paslaugų judėjimo principų, nes netenkina sąlygų, leidžiančių nukrypti nuo šių principų taikymo visuomenės saugumo interesais.</w:t>
            </w:r>
          </w:p>
          <w:p w14:paraId="0C4E9656" w14:textId="77777777" w:rsidR="005F0F7D" w:rsidRDefault="000A39DA" w:rsidP="005F0F7D">
            <w:pPr>
              <w:pStyle w:val="BodyText"/>
              <w:ind w:firstLine="749"/>
              <w:rPr>
                <w:color w:val="000000" w:themeColor="text1"/>
                <w:szCs w:val="24"/>
              </w:rPr>
            </w:pPr>
            <w:r w:rsidRPr="000A39DA">
              <w:rPr>
                <w:color w:val="000000" w:themeColor="text1"/>
                <w:szCs w:val="24"/>
              </w:rPr>
              <w:t xml:space="preserve">Įstatymų projektai </w:t>
            </w:r>
            <w:r w:rsidRPr="000A39DA">
              <w:rPr>
                <w:b/>
                <w:color w:val="000000" w:themeColor="text1"/>
                <w:szCs w:val="24"/>
              </w:rPr>
              <w:t>nepaiso gero administravimo principo ir teisės į veiksmingą teisminę teisi</w:t>
            </w:r>
            <w:bookmarkStart w:id="0" w:name="_GoBack"/>
            <w:bookmarkEnd w:id="0"/>
            <w:r w:rsidRPr="000A39DA">
              <w:rPr>
                <w:b/>
                <w:color w:val="000000" w:themeColor="text1"/>
                <w:szCs w:val="24"/>
              </w:rPr>
              <w:t>ų gynimo priemonę</w:t>
            </w:r>
            <w:r w:rsidRPr="000A39DA">
              <w:rPr>
                <w:color w:val="000000" w:themeColor="text1"/>
                <w:szCs w:val="24"/>
              </w:rPr>
              <w:t xml:space="preserve">, nes iš viešųjų pirkimų eliminuojami tiekėjai neturi teisės būti išklausyti (įrodyti, kad jie nekelia didesnės rizikos nei kiti tiekėjai) ir/ar </w:t>
            </w:r>
            <w:r w:rsidRPr="000A39DA">
              <w:rPr>
                <w:color w:val="000000" w:themeColor="text1"/>
                <w:szCs w:val="24"/>
              </w:rPr>
              <w:lastRenderedPageBreak/>
              <w:t>užginčyti jų automatinį pašalinimą, nors būtent jie yra tiesiogiai</w:t>
            </w:r>
            <w:r w:rsidR="005F0F7D">
              <w:rPr>
                <w:color w:val="000000" w:themeColor="text1"/>
                <w:szCs w:val="24"/>
              </w:rPr>
              <w:t xml:space="preserve"> pašalinami iš rinkos.</w:t>
            </w:r>
          </w:p>
          <w:p w14:paraId="04F79C29" w14:textId="77777777" w:rsidR="005F0F7D" w:rsidRDefault="005F0F7D" w:rsidP="005F0F7D">
            <w:pPr>
              <w:pStyle w:val="BodyText"/>
              <w:ind w:firstLine="0"/>
              <w:rPr>
                <w:color w:val="000000" w:themeColor="text1"/>
                <w:szCs w:val="24"/>
              </w:rPr>
            </w:pPr>
          </w:p>
          <w:p w14:paraId="051A2D7F" w14:textId="77777777" w:rsidR="005F0F7D" w:rsidRDefault="000A39DA" w:rsidP="005F0F7D">
            <w:pPr>
              <w:pStyle w:val="BodyText"/>
              <w:ind w:firstLine="0"/>
              <w:rPr>
                <w:b/>
                <w:color w:val="000000" w:themeColor="text1"/>
                <w:szCs w:val="24"/>
              </w:rPr>
            </w:pPr>
            <w:r w:rsidRPr="000A39DA">
              <w:rPr>
                <w:color w:val="000000" w:themeColor="text1"/>
                <w:szCs w:val="24"/>
              </w:rPr>
              <w:t xml:space="preserve">Įstatymų projektai </w:t>
            </w:r>
            <w:r w:rsidRPr="000A39DA">
              <w:rPr>
                <w:b/>
                <w:color w:val="000000" w:themeColor="text1"/>
                <w:szCs w:val="24"/>
              </w:rPr>
              <w:t>sukuria specialias teises Europos įrangos tiekėjams, tokiu būdu pažeidžiant Sutarties dėl Europos Sąjungos ve</w:t>
            </w:r>
            <w:r w:rsidR="005F0F7D">
              <w:rPr>
                <w:b/>
                <w:color w:val="000000" w:themeColor="text1"/>
                <w:szCs w:val="24"/>
              </w:rPr>
              <w:t>ikimo 106, 18 ir 34 straipsnius.</w:t>
            </w:r>
          </w:p>
          <w:p w14:paraId="382FDC26" w14:textId="77777777" w:rsidR="005F0F7D" w:rsidRDefault="005F0F7D" w:rsidP="005F0F7D">
            <w:pPr>
              <w:pStyle w:val="BodyText"/>
              <w:ind w:firstLine="0"/>
              <w:rPr>
                <w:color w:val="000000" w:themeColor="text1"/>
                <w:szCs w:val="24"/>
              </w:rPr>
            </w:pPr>
          </w:p>
          <w:p w14:paraId="042940FF" w14:textId="1C74CE56" w:rsidR="000A39DA" w:rsidRPr="005F0F7D" w:rsidRDefault="000A39DA" w:rsidP="005B2979">
            <w:pPr>
              <w:pStyle w:val="BodyText"/>
              <w:ind w:firstLine="0"/>
              <w:rPr>
                <w:b/>
                <w:color w:val="000000" w:themeColor="text1"/>
                <w:szCs w:val="24"/>
              </w:rPr>
            </w:pPr>
            <w:r w:rsidRPr="000A39DA">
              <w:rPr>
                <w:color w:val="000000" w:themeColor="text1"/>
                <w:szCs w:val="24"/>
              </w:rPr>
              <w:t xml:space="preserve">Įstatymų projektuose įtvirtintas </w:t>
            </w:r>
            <w:r w:rsidRPr="000A39DA">
              <w:rPr>
                <w:b/>
                <w:color w:val="000000" w:themeColor="text1"/>
                <w:szCs w:val="24"/>
              </w:rPr>
              <w:t>apribojimas nepaiso Lietuvos tarptautinių įsipareigojimų, nes automatiškas prekių ir paslaugų iš tariamai nepatikimų valstybių pašalinimas pažeidžia palankiausio nacionalinio režimo sąlygą,</w:t>
            </w:r>
            <w:r w:rsidRPr="000A39DA">
              <w:rPr>
                <w:color w:val="000000" w:themeColor="text1"/>
                <w:szCs w:val="24"/>
              </w:rPr>
              <w:t xml:space="preserve"> įtvirtintą daugumoje Lietuvos pasirašytų dvišalių investicijų sutarčių ir Pasaulio Prekybos Organizacijos teisėje.</w:t>
            </w:r>
          </w:p>
        </w:tc>
        <w:tc>
          <w:tcPr>
            <w:tcW w:w="5499" w:type="dxa"/>
          </w:tcPr>
          <w:p w14:paraId="2B6119F6" w14:textId="4256968E" w:rsidR="00D81076" w:rsidRDefault="00D81076" w:rsidP="005F0F7D">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Neatsižvelgta.</w:t>
            </w:r>
          </w:p>
          <w:p w14:paraId="48274077" w14:textId="77777777" w:rsidR="005F0F7D" w:rsidRDefault="005F0F7D" w:rsidP="005F0F7D">
            <w:pPr>
              <w:spacing w:after="0" w:line="240" w:lineRule="auto"/>
              <w:jc w:val="both"/>
              <w:rPr>
                <w:rFonts w:ascii="Times New Roman" w:hAnsi="Times New Roman" w:cs="Times New Roman"/>
                <w:color w:val="000000" w:themeColor="text1"/>
                <w:sz w:val="24"/>
                <w:szCs w:val="24"/>
              </w:rPr>
            </w:pPr>
          </w:p>
          <w:p w14:paraId="33155375" w14:textId="318071AF" w:rsidR="0081269D" w:rsidRDefault="0081269D" w:rsidP="005F0F7D">
            <w:pPr>
              <w:spacing w:after="0" w:line="240" w:lineRule="auto"/>
              <w:jc w:val="both"/>
              <w:rPr>
                <w:rFonts w:ascii="Times New Roman" w:hAnsi="Times New Roman" w:cs="Times New Roman"/>
                <w:color w:val="000000" w:themeColor="text1"/>
                <w:sz w:val="24"/>
                <w:szCs w:val="24"/>
              </w:rPr>
            </w:pPr>
            <w:r w:rsidRPr="007A1A19">
              <w:rPr>
                <w:rFonts w:ascii="Times New Roman" w:hAnsi="Times New Roman" w:cs="Times New Roman"/>
                <w:color w:val="000000" w:themeColor="text1"/>
                <w:sz w:val="24"/>
                <w:szCs w:val="24"/>
              </w:rPr>
              <w:t xml:space="preserve">Pagal Europos Sąjungos teisę </w:t>
            </w:r>
            <w:r w:rsidR="00284821">
              <w:rPr>
                <w:rFonts w:ascii="Times New Roman" w:hAnsi="Times New Roman" w:cs="Times New Roman"/>
                <w:color w:val="000000" w:themeColor="text1"/>
                <w:sz w:val="24"/>
                <w:szCs w:val="24"/>
              </w:rPr>
              <w:t>k</w:t>
            </w:r>
            <w:r w:rsidR="00284821" w:rsidRPr="00DA06C0">
              <w:rPr>
                <w:rFonts w:ascii="Times New Roman" w:hAnsi="Times New Roman" w:cs="Times New Roman"/>
                <w:color w:val="000000" w:themeColor="text1"/>
                <w:sz w:val="24"/>
                <w:szCs w:val="24"/>
              </w:rPr>
              <w:t>iekviena valstybė narė išimtinai išlieka atsakinga visų pirma už savo nacionalinį saugumą</w:t>
            </w:r>
            <w:r w:rsidR="00284821">
              <w:rPr>
                <w:rFonts w:ascii="Times New Roman" w:hAnsi="Times New Roman" w:cs="Times New Roman"/>
                <w:color w:val="000000" w:themeColor="text1"/>
                <w:sz w:val="24"/>
                <w:szCs w:val="24"/>
              </w:rPr>
              <w:t xml:space="preserve">, o </w:t>
            </w:r>
            <w:r w:rsidRPr="007A1A19">
              <w:rPr>
                <w:rFonts w:ascii="Times New Roman" w:hAnsi="Times New Roman" w:cs="Times New Roman"/>
                <w:color w:val="000000" w:themeColor="text1"/>
                <w:sz w:val="24"/>
                <w:szCs w:val="24"/>
              </w:rPr>
              <w:t>prekių ir paslaugų judėjimo apribojimas yra galimas, jeigu tai pateisinama visuomenės saugumo</w:t>
            </w:r>
            <w:r w:rsidR="00D81076" w:rsidRPr="007A1A19">
              <w:rPr>
                <w:rFonts w:ascii="Times New Roman" w:hAnsi="Times New Roman" w:cs="Times New Roman"/>
                <w:color w:val="000000" w:themeColor="text1"/>
                <w:sz w:val="24"/>
                <w:szCs w:val="24"/>
              </w:rPr>
              <w:t xml:space="preserve"> (nacionalinio saugumo)</w:t>
            </w:r>
            <w:r w:rsidRPr="007A1A19">
              <w:rPr>
                <w:rFonts w:ascii="Times New Roman" w:hAnsi="Times New Roman" w:cs="Times New Roman"/>
                <w:color w:val="000000" w:themeColor="text1"/>
                <w:sz w:val="24"/>
                <w:szCs w:val="24"/>
              </w:rPr>
              <w:t xml:space="preserve"> tikslais, tačiau ribojimai turi būti proporcingi: ribojanti priemonė turi </w:t>
            </w:r>
            <w:r w:rsidR="00515E81">
              <w:rPr>
                <w:rFonts w:ascii="Times New Roman" w:hAnsi="Times New Roman" w:cs="Times New Roman"/>
                <w:color w:val="000000" w:themeColor="text1"/>
                <w:sz w:val="24"/>
                <w:szCs w:val="24"/>
              </w:rPr>
              <w:t xml:space="preserve">būti </w:t>
            </w:r>
            <w:r w:rsidRPr="007A1A19">
              <w:rPr>
                <w:rFonts w:ascii="Times New Roman" w:hAnsi="Times New Roman" w:cs="Times New Roman"/>
                <w:color w:val="000000" w:themeColor="text1"/>
                <w:sz w:val="24"/>
                <w:szCs w:val="24"/>
              </w:rPr>
              <w:t>tinkama ir būtina pageidaujam</w:t>
            </w:r>
            <w:r w:rsidR="00515E81">
              <w:rPr>
                <w:rFonts w:ascii="Times New Roman" w:hAnsi="Times New Roman" w:cs="Times New Roman"/>
                <w:color w:val="000000" w:themeColor="text1"/>
                <w:sz w:val="24"/>
                <w:szCs w:val="24"/>
              </w:rPr>
              <w:t>am</w:t>
            </w:r>
            <w:r w:rsidRPr="007A1A19">
              <w:rPr>
                <w:rFonts w:ascii="Times New Roman" w:hAnsi="Times New Roman" w:cs="Times New Roman"/>
                <w:color w:val="000000" w:themeColor="text1"/>
                <w:sz w:val="24"/>
                <w:szCs w:val="24"/>
              </w:rPr>
              <w:t xml:space="preserve"> tiksl</w:t>
            </w:r>
            <w:r w:rsidR="00515E81">
              <w:rPr>
                <w:rFonts w:ascii="Times New Roman" w:hAnsi="Times New Roman" w:cs="Times New Roman"/>
                <w:color w:val="000000" w:themeColor="text1"/>
                <w:sz w:val="24"/>
                <w:szCs w:val="24"/>
              </w:rPr>
              <w:t>ui</w:t>
            </w:r>
            <w:r w:rsidR="00515E81" w:rsidRPr="007A1A19">
              <w:rPr>
                <w:rFonts w:ascii="Times New Roman" w:hAnsi="Times New Roman" w:cs="Times New Roman"/>
                <w:color w:val="000000" w:themeColor="text1"/>
                <w:sz w:val="24"/>
                <w:szCs w:val="24"/>
              </w:rPr>
              <w:t xml:space="preserve"> pasiekti</w:t>
            </w:r>
            <w:r w:rsidRPr="007A1A19">
              <w:rPr>
                <w:rFonts w:ascii="Times New Roman" w:hAnsi="Times New Roman" w:cs="Times New Roman"/>
                <w:color w:val="000000" w:themeColor="text1"/>
                <w:sz w:val="24"/>
                <w:szCs w:val="24"/>
              </w:rPr>
              <w:t xml:space="preserve">, be to, </w:t>
            </w:r>
            <w:r w:rsidR="00230FB1" w:rsidRPr="00230FB1">
              <w:rPr>
                <w:rFonts w:ascii="Times New Roman" w:hAnsi="Times New Roman" w:cs="Times New Roman"/>
                <w:color w:val="000000" w:themeColor="text1"/>
                <w:sz w:val="24"/>
                <w:szCs w:val="24"/>
              </w:rPr>
              <w:t>atsižvelgiant į pageidaujamą pasiekti tikslą, nesudaryti per daug sunkumų asmenims</w:t>
            </w:r>
            <w:r w:rsidR="00615B05">
              <w:rPr>
                <w:rFonts w:ascii="Times New Roman" w:hAnsi="Times New Roman" w:cs="Times New Roman"/>
                <w:color w:val="000000" w:themeColor="text1"/>
                <w:sz w:val="24"/>
                <w:szCs w:val="24"/>
              </w:rPr>
              <w:t xml:space="preserve"> nustatant jiems nepagrįstus reikalavimus</w:t>
            </w:r>
            <w:r w:rsidR="00230FB1">
              <w:rPr>
                <w:rFonts w:ascii="Times New Roman" w:hAnsi="Times New Roman" w:cs="Times New Roman"/>
                <w:color w:val="000000" w:themeColor="text1"/>
                <w:sz w:val="24"/>
                <w:szCs w:val="24"/>
              </w:rPr>
              <w:t>.</w:t>
            </w:r>
          </w:p>
          <w:p w14:paraId="77071CD6" w14:textId="5447B8B1" w:rsidR="005F0F7D" w:rsidRPr="007A1A19" w:rsidRDefault="00515E81" w:rsidP="005F0F7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6F398070" w14:textId="6302A110" w:rsidR="003174BC" w:rsidRPr="007A1A19" w:rsidRDefault="00864E2C" w:rsidP="005F0F7D">
            <w:pPr>
              <w:spacing w:after="0" w:line="240" w:lineRule="auto"/>
              <w:jc w:val="both"/>
            </w:pPr>
            <w:r w:rsidRPr="007A1A19">
              <w:rPr>
                <w:rFonts w:ascii="Times New Roman" w:hAnsi="Times New Roman" w:cs="Times New Roman"/>
                <w:color w:val="000000" w:themeColor="text1"/>
                <w:sz w:val="24"/>
                <w:szCs w:val="24"/>
              </w:rPr>
              <w:t>Įstatym</w:t>
            </w:r>
            <w:r w:rsidR="000D7715">
              <w:rPr>
                <w:rFonts w:ascii="Times New Roman" w:hAnsi="Times New Roman" w:cs="Times New Roman"/>
                <w:color w:val="000000" w:themeColor="text1"/>
                <w:sz w:val="24"/>
                <w:szCs w:val="24"/>
              </w:rPr>
              <w:t>ų</w:t>
            </w:r>
            <w:r w:rsidRPr="007A1A19">
              <w:rPr>
                <w:rFonts w:ascii="Times New Roman" w:hAnsi="Times New Roman" w:cs="Times New Roman"/>
                <w:color w:val="000000" w:themeColor="text1"/>
                <w:sz w:val="24"/>
                <w:szCs w:val="24"/>
              </w:rPr>
              <w:t xml:space="preserve"> projektuose numatytomis priemonėmis ribojamas prekių ar paslaugų įsigijimas iš grėsmę nacionaliniam saugumui keliančių valstybių ūkio subjektų, kai tiekėjas, j</w:t>
            </w:r>
            <w:r w:rsidR="00D81076" w:rsidRPr="007A1A19">
              <w:rPr>
                <w:rFonts w:ascii="Times New Roman" w:hAnsi="Times New Roman" w:cs="Times New Roman"/>
                <w:color w:val="000000" w:themeColor="text1"/>
                <w:sz w:val="24"/>
                <w:szCs w:val="24"/>
              </w:rPr>
              <w:t xml:space="preserve">o subtiekėjai, ūkio subjektai, kurių </w:t>
            </w:r>
            <w:proofErr w:type="spellStart"/>
            <w:r w:rsidR="00D81076" w:rsidRPr="007A1A19">
              <w:rPr>
                <w:rFonts w:ascii="Times New Roman" w:hAnsi="Times New Roman" w:cs="Times New Roman"/>
                <w:color w:val="000000" w:themeColor="text1"/>
                <w:sz w:val="24"/>
                <w:szCs w:val="24"/>
              </w:rPr>
              <w:t>pajėgumais</w:t>
            </w:r>
            <w:proofErr w:type="spellEnd"/>
            <w:r w:rsidR="00D81076" w:rsidRPr="007A1A19">
              <w:rPr>
                <w:rFonts w:ascii="Times New Roman" w:hAnsi="Times New Roman" w:cs="Times New Roman"/>
                <w:color w:val="000000" w:themeColor="text1"/>
                <w:sz w:val="24"/>
                <w:szCs w:val="24"/>
              </w:rPr>
              <w:t xml:space="preserve"> remiamasi,</w:t>
            </w:r>
            <w:r w:rsidRPr="007A1A19">
              <w:rPr>
                <w:rFonts w:ascii="Times New Roman" w:hAnsi="Times New Roman" w:cs="Times New Roman"/>
                <w:color w:val="000000" w:themeColor="text1"/>
                <w:sz w:val="24"/>
                <w:szCs w:val="24"/>
              </w:rPr>
              <w:t xml:space="preserve"> įrangos gamintojai ar palaikytojai, </w:t>
            </w:r>
            <w:r w:rsidR="00D81076" w:rsidRPr="007A1A19">
              <w:rPr>
                <w:rFonts w:ascii="Times New Roman" w:hAnsi="Times New Roman" w:cs="Times New Roman"/>
                <w:color w:val="000000" w:themeColor="text1"/>
                <w:sz w:val="24"/>
                <w:szCs w:val="24"/>
              </w:rPr>
              <w:t>ar juos kontroliuojantys asmenys yra iš valstybių, kurios kelia grėsmę nacionaliniam saugumui</w:t>
            </w:r>
            <w:r w:rsidR="00F47DF3">
              <w:rPr>
                <w:rFonts w:ascii="Times New Roman" w:hAnsi="Times New Roman" w:cs="Times New Roman"/>
                <w:color w:val="000000" w:themeColor="text1"/>
                <w:sz w:val="24"/>
                <w:szCs w:val="24"/>
              </w:rPr>
              <w:t>,</w:t>
            </w:r>
            <w:r w:rsidR="00D81076" w:rsidRPr="007A1A19">
              <w:rPr>
                <w:rFonts w:ascii="Times New Roman" w:hAnsi="Times New Roman" w:cs="Times New Roman"/>
                <w:color w:val="000000" w:themeColor="text1"/>
                <w:sz w:val="24"/>
                <w:szCs w:val="24"/>
              </w:rPr>
              <w:t xml:space="preserve"> ir tai </w:t>
            </w:r>
            <w:r w:rsidRPr="007A1A19">
              <w:rPr>
                <w:rFonts w:ascii="Times New Roman" w:hAnsi="Times New Roman" w:cs="Times New Roman"/>
                <w:color w:val="000000" w:themeColor="text1"/>
                <w:sz w:val="24"/>
                <w:szCs w:val="24"/>
              </w:rPr>
              <w:t xml:space="preserve">leidžia pasiekti </w:t>
            </w:r>
            <w:r w:rsidR="000D7715">
              <w:rPr>
                <w:rFonts w:ascii="Times New Roman" w:hAnsi="Times New Roman" w:cs="Times New Roman"/>
                <w:color w:val="000000" w:themeColor="text1"/>
                <w:sz w:val="24"/>
                <w:szCs w:val="24"/>
              </w:rPr>
              <w:t>į</w:t>
            </w:r>
            <w:r w:rsidRPr="007A1A19">
              <w:rPr>
                <w:rFonts w:ascii="Times New Roman" w:hAnsi="Times New Roman" w:cs="Times New Roman"/>
                <w:color w:val="000000" w:themeColor="text1"/>
                <w:sz w:val="24"/>
                <w:szCs w:val="24"/>
              </w:rPr>
              <w:t>statym</w:t>
            </w:r>
            <w:r w:rsidR="000D7715">
              <w:rPr>
                <w:rFonts w:ascii="Times New Roman" w:hAnsi="Times New Roman" w:cs="Times New Roman"/>
                <w:color w:val="000000" w:themeColor="text1"/>
                <w:sz w:val="24"/>
                <w:szCs w:val="24"/>
              </w:rPr>
              <w:t>ų</w:t>
            </w:r>
            <w:r w:rsidRPr="007A1A19">
              <w:rPr>
                <w:rFonts w:ascii="Times New Roman" w:hAnsi="Times New Roman" w:cs="Times New Roman"/>
                <w:color w:val="000000" w:themeColor="text1"/>
                <w:sz w:val="24"/>
                <w:szCs w:val="24"/>
              </w:rPr>
              <w:t xml:space="preserve"> tikslą </w:t>
            </w:r>
            <w:r w:rsidR="000D7715">
              <w:rPr>
                <w:rFonts w:ascii="Times New Roman" w:hAnsi="Times New Roman" w:cs="Times New Roman"/>
                <w:color w:val="000000" w:themeColor="text1"/>
                <w:sz w:val="24"/>
                <w:szCs w:val="24"/>
              </w:rPr>
              <w:t>–</w:t>
            </w:r>
            <w:r w:rsidRPr="007A1A19">
              <w:rPr>
                <w:rFonts w:ascii="Times New Roman" w:hAnsi="Times New Roman" w:cs="Times New Roman"/>
                <w:color w:val="000000" w:themeColor="text1"/>
                <w:sz w:val="24"/>
                <w:szCs w:val="24"/>
              </w:rPr>
              <w:t xml:space="preserve"> </w:t>
            </w:r>
            <w:r w:rsidR="00D81076" w:rsidRPr="007A1A19">
              <w:rPr>
                <w:rFonts w:ascii="Times New Roman" w:hAnsi="Times New Roman" w:cs="Times New Roman"/>
                <w:color w:val="000000" w:themeColor="text1"/>
                <w:sz w:val="24"/>
                <w:szCs w:val="24"/>
              </w:rPr>
              <w:t>su</w:t>
            </w:r>
            <w:r w:rsidRPr="007A1A19">
              <w:rPr>
                <w:rFonts w:ascii="Times New Roman" w:hAnsi="Times New Roman" w:cs="Times New Roman"/>
                <w:color w:val="000000" w:themeColor="text1"/>
                <w:sz w:val="24"/>
                <w:szCs w:val="24"/>
              </w:rPr>
              <w:t xml:space="preserve">valdyti rizikas, kylančias nacionaliniam saugumui dėl nesaugių (nepatikimų) informacinių technologijų naudojimo </w:t>
            </w:r>
            <w:r w:rsidRPr="007A1A19">
              <w:rPr>
                <w:rFonts w:ascii="Times New Roman" w:hAnsi="Times New Roman" w:cs="Times New Roman"/>
                <w:color w:val="000000" w:themeColor="text1"/>
                <w:sz w:val="24"/>
                <w:szCs w:val="24"/>
              </w:rPr>
              <w:lastRenderedPageBreak/>
              <w:t>nacionaliniam saugumui svarbioje elektroninių ryšių infrastruktūro</w:t>
            </w:r>
            <w:r w:rsidR="00284821">
              <w:rPr>
                <w:rFonts w:ascii="Times New Roman" w:hAnsi="Times New Roman" w:cs="Times New Roman"/>
                <w:color w:val="000000" w:themeColor="text1"/>
                <w:sz w:val="24"/>
                <w:szCs w:val="24"/>
              </w:rPr>
              <w:t>je</w:t>
            </w:r>
            <w:r w:rsidRPr="007A1A19">
              <w:rPr>
                <w:rFonts w:ascii="Times New Roman" w:hAnsi="Times New Roman" w:cs="Times New Roman"/>
                <w:color w:val="000000" w:themeColor="text1"/>
                <w:sz w:val="24"/>
                <w:szCs w:val="24"/>
              </w:rPr>
              <w:t>.</w:t>
            </w:r>
            <w:r w:rsidR="003174BC" w:rsidRPr="007A1A19">
              <w:t xml:space="preserve"> </w:t>
            </w:r>
          </w:p>
          <w:p w14:paraId="64327243" w14:textId="7A857509" w:rsidR="00864E2C" w:rsidRPr="007A1A19" w:rsidRDefault="003174BC" w:rsidP="005F0F7D">
            <w:pPr>
              <w:spacing w:after="0" w:line="240" w:lineRule="auto"/>
              <w:jc w:val="both"/>
              <w:rPr>
                <w:rFonts w:ascii="Times New Roman" w:hAnsi="Times New Roman" w:cs="Times New Roman"/>
                <w:color w:val="000000" w:themeColor="text1"/>
                <w:sz w:val="24"/>
                <w:szCs w:val="24"/>
              </w:rPr>
            </w:pPr>
            <w:r w:rsidRPr="007A1A19">
              <w:rPr>
                <w:rFonts w:ascii="Times New Roman" w:hAnsi="Times New Roman" w:cs="Times New Roman"/>
                <w:color w:val="000000" w:themeColor="text1"/>
                <w:sz w:val="24"/>
                <w:szCs w:val="24"/>
              </w:rPr>
              <w:t xml:space="preserve">Šiomis priemonėmis nebus sukuriama neproporcinga žala, </w:t>
            </w:r>
            <w:r w:rsidR="000D7715">
              <w:rPr>
                <w:rFonts w:ascii="Times New Roman" w:hAnsi="Times New Roman" w:cs="Times New Roman"/>
                <w:color w:val="000000" w:themeColor="text1"/>
                <w:sz w:val="24"/>
                <w:szCs w:val="24"/>
              </w:rPr>
              <w:t>palyginti</w:t>
            </w:r>
            <w:r w:rsidR="000D7715" w:rsidRPr="007A1A19">
              <w:rPr>
                <w:rFonts w:ascii="Times New Roman" w:hAnsi="Times New Roman" w:cs="Times New Roman"/>
                <w:color w:val="000000" w:themeColor="text1"/>
                <w:sz w:val="24"/>
                <w:szCs w:val="24"/>
              </w:rPr>
              <w:t xml:space="preserve"> </w:t>
            </w:r>
            <w:r w:rsidRPr="007A1A19">
              <w:rPr>
                <w:rFonts w:ascii="Times New Roman" w:hAnsi="Times New Roman" w:cs="Times New Roman"/>
                <w:color w:val="000000" w:themeColor="text1"/>
                <w:sz w:val="24"/>
                <w:szCs w:val="24"/>
              </w:rPr>
              <w:t>su saugomu nacionalinio saugumo interesu. Nors siūlomais įstatymų pakeitimais ir bus apribojama asmenų iš keleto grėsmę keliančių valstybių teisė dalyvauti tam tikruose viešuosiuose pirkimuose, taip bus išvengiama didelio masto žalos, kuri galėtų kilti, jei kibernetinio saugumo spragos</w:t>
            </w:r>
            <w:r w:rsidR="000D7715">
              <w:rPr>
                <w:rFonts w:ascii="Times New Roman" w:hAnsi="Times New Roman" w:cs="Times New Roman"/>
                <w:color w:val="000000" w:themeColor="text1"/>
                <w:sz w:val="24"/>
                <w:szCs w:val="24"/>
              </w:rPr>
              <w:t>,</w:t>
            </w:r>
            <w:r w:rsidRPr="007A1A19">
              <w:rPr>
                <w:rFonts w:ascii="Times New Roman" w:hAnsi="Times New Roman" w:cs="Times New Roman"/>
                <w:color w:val="000000" w:themeColor="text1"/>
                <w:sz w:val="24"/>
                <w:szCs w:val="24"/>
              </w:rPr>
              <w:t xml:space="preserve"> sukurtos naudojant nepatikimą įrangą ar paslaugas, būtų išnaudojamos priešiškų valstybių. </w:t>
            </w:r>
            <w:r w:rsidR="00D17AE8" w:rsidRPr="00D17AE8">
              <w:rPr>
                <w:rFonts w:ascii="Times New Roman" w:hAnsi="Times New Roman" w:cs="Times New Roman"/>
                <w:color w:val="000000" w:themeColor="text1"/>
                <w:sz w:val="24"/>
                <w:szCs w:val="24"/>
              </w:rPr>
              <w:t xml:space="preserve">Pažymėtina, kad perkančiųjų organizacijų tinklų ir informacinėms sistemoms bei paslaugoms tenka gyvybiškai svarbus vaidmuo visuomenėje, teikiamos ypatingos svarbos paslaugos valstybės valdymo bei viešojo saugumo ir teisinės tvarkos, energetikos, transporto ir pašto, sveikatos priežiūros, geriamojo vandens tiekimo, paskirstymo ir tvarkymo sektoriuose, kurių neveikimas ar veikimo sutrikimas padarytų didelį neigiamą poveikį nacionaliniam saugumui, šalies ūkiui, valstybės ar visuomenės interesams.  </w:t>
            </w:r>
          </w:p>
          <w:p w14:paraId="55C26FD9" w14:textId="77777777" w:rsidR="005F0F7D" w:rsidRDefault="005F0F7D" w:rsidP="005F0F7D">
            <w:pPr>
              <w:spacing w:after="0" w:line="240" w:lineRule="auto"/>
              <w:jc w:val="both"/>
              <w:rPr>
                <w:rFonts w:ascii="Times New Roman" w:hAnsi="Times New Roman" w:cs="Times New Roman"/>
                <w:color w:val="000000" w:themeColor="text1"/>
                <w:sz w:val="24"/>
                <w:szCs w:val="24"/>
              </w:rPr>
            </w:pPr>
          </w:p>
          <w:p w14:paraId="3C398339" w14:textId="41DA26E5" w:rsidR="0081269D" w:rsidRPr="007A1A19" w:rsidRDefault="0081269D" w:rsidP="005F0F7D">
            <w:pPr>
              <w:spacing w:after="0" w:line="240" w:lineRule="auto"/>
              <w:jc w:val="both"/>
              <w:rPr>
                <w:rFonts w:ascii="Times New Roman" w:hAnsi="Times New Roman" w:cs="Times New Roman"/>
                <w:color w:val="000000" w:themeColor="text1"/>
                <w:sz w:val="24"/>
                <w:szCs w:val="24"/>
              </w:rPr>
            </w:pPr>
            <w:r w:rsidRPr="007A1A19">
              <w:rPr>
                <w:rFonts w:ascii="Times New Roman" w:hAnsi="Times New Roman" w:cs="Times New Roman"/>
                <w:color w:val="000000" w:themeColor="text1"/>
                <w:sz w:val="24"/>
                <w:szCs w:val="24"/>
              </w:rPr>
              <w:t>Atkreiptinas dėmesys, kad</w:t>
            </w:r>
            <w:r w:rsidR="00D81076" w:rsidRPr="007A1A19">
              <w:rPr>
                <w:rFonts w:ascii="Times New Roman" w:hAnsi="Times New Roman" w:cs="Times New Roman"/>
                <w:color w:val="000000" w:themeColor="text1"/>
                <w:sz w:val="24"/>
                <w:szCs w:val="24"/>
              </w:rPr>
              <w:t xml:space="preserve"> detalus</w:t>
            </w:r>
            <w:r w:rsidRPr="007A1A19">
              <w:rPr>
                <w:rFonts w:ascii="Times New Roman" w:hAnsi="Times New Roman" w:cs="Times New Roman"/>
                <w:color w:val="000000" w:themeColor="text1"/>
                <w:sz w:val="24"/>
                <w:szCs w:val="24"/>
              </w:rPr>
              <w:t xml:space="preserve"> gamintojo siūlomos įrangos patikrinimas nėra įmanomas. Įranga gali atitikti aukščiausius standartus, tačiau neįmanoma kiekvienu </w:t>
            </w:r>
            <w:r w:rsidR="00B94631">
              <w:rPr>
                <w:rFonts w:ascii="Times New Roman" w:hAnsi="Times New Roman" w:cs="Times New Roman"/>
                <w:color w:val="000000" w:themeColor="text1"/>
                <w:sz w:val="24"/>
                <w:szCs w:val="24"/>
              </w:rPr>
              <w:t>atskiru</w:t>
            </w:r>
            <w:r w:rsidR="00B94631" w:rsidRPr="007A1A19">
              <w:rPr>
                <w:rFonts w:ascii="Times New Roman" w:hAnsi="Times New Roman" w:cs="Times New Roman"/>
                <w:color w:val="000000" w:themeColor="text1"/>
                <w:sz w:val="24"/>
                <w:szCs w:val="24"/>
              </w:rPr>
              <w:t xml:space="preserve"> </w:t>
            </w:r>
            <w:r w:rsidRPr="007A1A19">
              <w:rPr>
                <w:rFonts w:ascii="Times New Roman" w:hAnsi="Times New Roman" w:cs="Times New Roman"/>
                <w:color w:val="000000" w:themeColor="text1"/>
                <w:sz w:val="24"/>
                <w:szCs w:val="24"/>
              </w:rPr>
              <w:t xml:space="preserve">atveju patikrinti, ar įranga paties gamintojo nėra suprojektuota </w:t>
            </w:r>
            <w:proofErr w:type="spellStart"/>
            <w:r w:rsidRPr="007A1A19">
              <w:rPr>
                <w:rFonts w:ascii="Times New Roman" w:hAnsi="Times New Roman" w:cs="Times New Roman"/>
                <w:color w:val="000000" w:themeColor="text1"/>
                <w:sz w:val="24"/>
                <w:szCs w:val="24"/>
              </w:rPr>
              <w:t>kenk</w:t>
            </w:r>
            <w:r w:rsidRPr="007A1A19">
              <w:rPr>
                <w:rFonts w:ascii="Times New Roman" w:hAnsi="Times New Roman" w:cs="Times New Roman"/>
                <w:color w:val="000000" w:themeColor="text1"/>
                <w:sz w:val="24"/>
                <w:szCs w:val="24"/>
              </w:rPr>
              <w:t>ėjiškai</w:t>
            </w:r>
            <w:proofErr w:type="spellEnd"/>
            <w:r w:rsidR="00B94631">
              <w:rPr>
                <w:rFonts w:ascii="Times New Roman" w:hAnsi="Times New Roman" w:cs="Times New Roman"/>
                <w:color w:val="000000" w:themeColor="text1"/>
                <w:sz w:val="24"/>
                <w:szCs w:val="24"/>
              </w:rPr>
              <w:t>,</w:t>
            </w:r>
            <w:r w:rsidRPr="007A1A19">
              <w:rPr>
                <w:rFonts w:ascii="Times New Roman" w:hAnsi="Times New Roman" w:cs="Times New Roman"/>
                <w:color w:val="000000" w:themeColor="text1"/>
                <w:sz w:val="24"/>
                <w:szCs w:val="24"/>
              </w:rPr>
              <w:t xml:space="preserve"> ar ji bus saugiai atnaujinama, prižiūrima ir palaikoma</w:t>
            </w:r>
            <w:r w:rsidR="00B94631">
              <w:rPr>
                <w:rFonts w:ascii="Times New Roman" w:hAnsi="Times New Roman" w:cs="Times New Roman"/>
                <w:color w:val="000000" w:themeColor="text1"/>
                <w:sz w:val="24"/>
                <w:szCs w:val="24"/>
              </w:rPr>
              <w:t>,</w:t>
            </w:r>
            <w:r w:rsidRPr="007A1A19">
              <w:rPr>
                <w:rFonts w:ascii="Times New Roman" w:hAnsi="Times New Roman" w:cs="Times New Roman"/>
                <w:color w:val="000000" w:themeColor="text1"/>
                <w:sz w:val="24"/>
                <w:szCs w:val="24"/>
              </w:rPr>
              <w:t xml:space="preserve"> arba tokio patikrinimo kaštai yra neproporcingai dideli.</w:t>
            </w:r>
            <w:r w:rsidR="00D81076" w:rsidRPr="007A1A19">
              <w:rPr>
                <w:rFonts w:ascii="Times New Roman" w:hAnsi="Times New Roman" w:cs="Times New Roman"/>
                <w:color w:val="000000" w:themeColor="text1"/>
                <w:sz w:val="24"/>
                <w:szCs w:val="24"/>
              </w:rPr>
              <w:t xml:space="preserve"> Nesutiktina su argumentais, jog pašalinimas yra automatinis. Apribojančios priemonės, atsižvelgiant į ES teisės ir konstitucinį proporcingumo principą</w:t>
            </w:r>
            <w:r w:rsidR="00B94631">
              <w:rPr>
                <w:rFonts w:ascii="Times New Roman" w:hAnsi="Times New Roman" w:cs="Times New Roman"/>
                <w:color w:val="000000" w:themeColor="text1"/>
                <w:sz w:val="24"/>
                <w:szCs w:val="24"/>
              </w:rPr>
              <w:t>,</w:t>
            </w:r>
            <w:r w:rsidR="00D81076" w:rsidRPr="007A1A19">
              <w:rPr>
                <w:rFonts w:ascii="Times New Roman" w:hAnsi="Times New Roman" w:cs="Times New Roman"/>
                <w:color w:val="000000" w:themeColor="text1"/>
                <w:sz w:val="24"/>
                <w:szCs w:val="24"/>
              </w:rPr>
              <w:t xml:space="preserve"> </w:t>
            </w:r>
            <w:r w:rsidR="00B94631" w:rsidRPr="007A1A19">
              <w:rPr>
                <w:rFonts w:ascii="Times New Roman" w:hAnsi="Times New Roman" w:cs="Times New Roman"/>
                <w:color w:val="000000" w:themeColor="text1"/>
                <w:sz w:val="24"/>
                <w:szCs w:val="24"/>
              </w:rPr>
              <w:t xml:space="preserve">nustatomos </w:t>
            </w:r>
            <w:r w:rsidR="00D81076" w:rsidRPr="007A1A19">
              <w:rPr>
                <w:rFonts w:ascii="Times New Roman" w:hAnsi="Times New Roman" w:cs="Times New Roman"/>
                <w:color w:val="000000" w:themeColor="text1"/>
                <w:sz w:val="24"/>
                <w:szCs w:val="24"/>
              </w:rPr>
              <w:t xml:space="preserve">tik toms perkančiosioms organizacijoms, kurių </w:t>
            </w:r>
            <w:r w:rsidR="00234678" w:rsidRPr="007A1A19">
              <w:rPr>
                <w:rFonts w:ascii="Times New Roman" w:hAnsi="Times New Roman" w:cs="Times New Roman"/>
                <w:color w:val="000000" w:themeColor="text1"/>
                <w:sz w:val="24"/>
                <w:szCs w:val="24"/>
              </w:rPr>
              <w:t>nenutrūkstamas funkcijų vykdymas yra svarbus valstybės funkcionavimui,</w:t>
            </w:r>
            <w:r w:rsidR="00D17AE8">
              <w:rPr>
                <w:rFonts w:ascii="Times New Roman" w:hAnsi="Times New Roman" w:cs="Times New Roman"/>
                <w:color w:val="000000" w:themeColor="text1"/>
                <w:sz w:val="24"/>
                <w:szCs w:val="24"/>
              </w:rPr>
              <w:t xml:space="preserve"> o</w:t>
            </w:r>
            <w:r w:rsidR="00234678" w:rsidRPr="007A1A19">
              <w:rPr>
                <w:rFonts w:ascii="Times New Roman" w:hAnsi="Times New Roman" w:cs="Times New Roman"/>
                <w:color w:val="000000" w:themeColor="text1"/>
                <w:sz w:val="24"/>
                <w:szCs w:val="24"/>
              </w:rPr>
              <w:t xml:space="preserve"> </w:t>
            </w:r>
            <w:r w:rsidR="005B2979" w:rsidRPr="005B2979">
              <w:rPr>
                <w:rFonts w:ascii="Times New Roman" w:hAnsi="Times New Roman" w:cs="Times New Roman"/>
                <w:bCs/>
                <w:color w:val="000000" w:themeColor="text1"/>
                <w:sz w:val="24"/>
                <w:szCs w:val="24"/>
              </w:rPr>
              <w:t>Bendrojo viešųjų pirkimų žodyno</w:t>
            </w:r>
            <w:r w:rsidR="005B2979" w:rsidRPr="005B2979">
              <w:rPr>
                <w:rFonts w:ascii="Times New Roman" w:hAnsi="Times New Roman" w:cs="Times New Roman"/>
                <w:color w:val="000000" w:themeColor="text1"/>
                <w:sz w:val="24"/>
                <w:szCs w:val="24"/>
              </w:rPr>
              <w:t xml:space="preserve"> </w:t>
            </w:r>
            <w:r w:rsidR="00234678" w:rsidRPr="007A1A19">
              <w:rPr>
                <w:rFonts w:ascii="Times New Roman" w:hAnsi="Times New Roman" w:cs="Times New Roman"/>
                <w:color w:val="000000" w:themeColor="text1"/>
                <w:sz w:val="24"/>
                <w:szCs w:val="24"/>
              </w:rPr>
              <w:t xml:space="preserve">kodų sąrašas rengiamas atsižvelgiant į su </w:t>
            </w:r>
            <w:r w:rsidR="00234678" w:rsidRPr="007A1A19">
              <w:rPr>
                <w:rFonts w:ascii="Times New Roman" w:hAnsi="Times New Roman" w:cs="Times New Roman"/>
                <w:color w:val="000000" w:themeColor="text1"/>
                <w:sz w:val="24"/>
                <w:szCs w:val="24"/>
              </w:rPr>
              <w:lastRenderedPageBreak/>
              <w:t>nacionaliniu saugumu susijusi</w:t>
            </w:r>
            <w:r w:rsidR="00B94631">
              <w:rPr>
                <w:rFonts w:ascii="Times New Roman" w:hAnsi="Times New Roman" w:cs="Times New Roman"/>
                <w:color w:val="000000" w:themeColor="text1"/>
                <w:sz w:val="24"/>
                <w:szCs w:val="24"/>
              </w:rPr>
              <w:t>a</w:t>
            </w:r>
            <w:r w:rsidR="00234678" w:rsidRPr="007A1A19">
              <w:rPr>
                <w:rFonts w:ascii="Times New Roman" w:hAnsi="Times New Roman" w:cs="Times New Roman"/>
                <w:color w:val="000000" w:themeColor="text1"/>
                <w:sz w:val="24"/>
                <w:szCs w:val="24"/>
              </w:rPr>
              <w:t>s technologin</w:t>
            </w:r>
            <w:r w:rsidR="00B94631">
              <w:rPr>
                <w:rFonts w:ascii="Times New Roman" w:hAnsi="Times New Roman" w:cs="Times New Roman"/>
                <w:color w:val="000000" w:themeColor="text1"/>
                <w:sz w:val="24"/>
                <w:szCs w:val="24"/>
              </w:rPr>
              <w:t>e</w:t>
            </w:r>
            <w:r w:rsidR="00234678" w:rsidRPr="007A1A19">
              <w:rPr>
                <w:rFonts w:ascii="Times New Roman" w:hAnsi="Times New Roman" w:cs="Times New Roman"/>
                <w:color w:val="000000" w:themeColor="text1"/>
                <w:sz w:val="24"/>
                <w:szCs w:val="24"/>
              </w:rPr>
              <w:t>s rizik</w:t>
            </w:r>
            <w:r w:rsidR="00B94631">
              <w:rPr>
                <w:rFonts w:ascii="Times New Roman" w:hAnsi="Times New Roman" w:cs="Times New Roman"/>
                <w:color w:val="000000" w:themeColor="text1"/>
                <w:sz w:val="24"/>
                <w:szCs w:val="24"/>
              </w:rPr>
              <w:t>a</w:t>
            </w:r>
            <w:r w:rsidR="00234678" w:rsidRPr="007A1A19">
              <w:rPr>
                <w:rFonts w:ascii="Times New Roman" w:hAnsi="Times New Roman" w:cs="Times New Roman"/>
                <w:color w:val="000000" w:themeColor="text1"/>
                <w:sz w:val="24"/>
                <w:szCs w:val="24"/>
              </w:rPr>
              <w:t xml:space="preserve">s, taip pat draudimas įsigyti taikomas tik grėsmę nacionaliniam saugumui keliančių valstybių subjektams, kurie yra tiksliai </w:t>
            </w:r>
            <w:r w:rsidR="00B94631">
              <w:rPr>
                <w:rFonts w:ascii="Times New Roman" w:hAnsi="Times New Roman" w:cs="Times New Roman"/>
                <w:color w:val="000000" w:themeColor="text1"/>
                <w:sz w:val="24"/>
                <w:szCs w:val="24"/>
              </w:rPr>
              <w:t>nurodomi</w:t>
            </w:r>
            <w:r w:rsidR="00B94631" w:rsidRPr="007A1A19">
              <w:rPr>
                <w:rFonts w:ascii="Times New Roman" w:hAnsi="Times New Roman" w:cs="Times New Roman"/>
                <w:color w:val="000000" w:themeColor="text1"/>
                <w:sz w:val="24"/>
                <w:szCs w:val="24"/>
              </w:rPr>
              <w:t xml:space="preserve"> </w:t>
            </w:r>
            <w:r w:rsidR="00234678" w:rsidRPr="007A1A19">
              <w:rPr>
                <w:rFonts w:ascii="Times New Roman" w:hAnsi="Times New Roman" w:cs="Times New Roman"/>
                <w:color w:val="000000" w:themeColor="text1"/>
                <w:sz w:val="24"/>
                <w:szCs w:val="24"/>
              </w:rPr>
              <w:t xml:space="preserve">Nacionalinio saugumo strategijoje. Dėl šios priežasties priemonių taikymas yra </w:t>
            </w:r>
            <w:r w:rsidR="00B94631">
              <w:rPr>
                <w:rFonts w:ascii="Times New Roman" w:hAnsi="Times New Roman" w:cs="Times New Roman"/>
                <w:color w:val="000000" w:themeColor="text1"/>
                <w:sz w:val="24"/>
                <w:szCs w:val="24"/>
              </w:rPr>
              <w:t>gana</w:t>
            </w:r>
            <w:r w:rsidR="00B94631" w:rsidRPr="007A1A19">
              <w:rPr>
                <w:rFonts w:ascii="Times New Roman" w:hAnsi="Times New Roman" w:cs="Times New Roman"/>
                <w:color w:val="000000" w:themeColor="text1"/>
                <w:sz w:val="24"/>
                <w:szCs w:val="24"/>
              </w:rPr>
              <w:t xml:space="preserve"> </w:t>
            </w:r>
            <w:r w:rsidR="00234678" w:rsidRPr="007A1A19">
              <w:rPr>
                <w:rFonts w:ascii="Times New Roman" w:hAnsi="Times New Roman" w:cs="Times New Roman"/>
                <w:color w:val="000000" w:themeColor="text1"/>
                <w:sz w:val="24"/>
                <w:szCs w:val="24"/>
              </w:rPr>
              <w:t>individualus ir neprieštarauja Europos Sąjungos Teisingumo Teismo teismų praktikai.</w:t>
            </w:r>
          </w:p>
          <w:p w14:paraId="14CEE6A8" w14:textId="77777777" w:rsidR="005F0F7D" w:rsidRDefault="005F0F7D" w:rsidP="005F0F7D">
            <w:pPr>
              <w:spacing w:after="0" w:line="240" w:lineRule="auto"/>
              <w:jc w:val="both"/>
              <w:rPr>
                <w:rFonts w:ascii="Times New Roman" w:hAnsi="Times New Roman" w:cs="Times New Roman"/>
                <w:color w:val="000000" w:themeColor="text1"/>
                <w:sz w:val="24"/>
                <w:szCs w:val="24"/>
              </w:rPr>
            </w:pPr>
          </w:p>
          <w:p w14:paraId="056BF123" w14:textId="6D49B62E" w:rsidR="0081269D" w:rsidRPr="007A1A19" w:rsidRDefault="00234678" w:rsidP="005F0F7D">
            <w:pPr>
              <w:spacing w:after="0" w:line="240" w:lineRule="auto"/>
              <w:jc w:val="both"/>
              <w:rPr>
                <w:rFonts w:ascii="Times New Roman" w:hAnsi="Times New Roman" w:cs="Times New Roman"/>
                <w:color w:val="000000" w:themeColor="text1"/>
                <w:sz w:val="24"/>
                <w:szCs w:val="24"/>
              </w:rPr>
            </w:pPr>
            <w:r w:rsidRPr="007A1A19">
              <w:rPr>
                <w:rFonts w:ascii="Times New Roman" w:hAnsi="Times New Roman" w:cs="Times New Roman"/>
                <w:color w:val="000000" w:themeColor="text1"/>
                <w:sz w:val="24"/>
                <w:szCs w:val="24"/>
              </w:rPr>
              <w:t>Valstybių sąrašas bus sudaromas</w:t>
            </w:r>
            <w:r w:rsidR="007A1A19" w:rsidRPr="007A1A19">
              <w:rPr>
                <w:rFonts w:ascii="Times New Roman" w:hAnsi="Times New Roman" w:cs="Times New Roman"/>
                <w:color w:val="000000" w:themeColor="text1"/>
                <w:sz w:val="24"/>
                <w:szCs w:val="24"/>
              </w:rPr>
              <w:t xml:space="preserve"> atsižvelgiant į Nacionalinio saugumo strategijoje</w:t>
            </w:r>
            <w:r w:rsidR="00514A8F">
              <w:rPr>
                <w:rFonts w:ascii="Times New Roman" w:hAnsi="Times New Roman" w:cs="Times New Roman"/>
                <w:color w:val="000000" w:themeColor="text1"/>
                <w:sz w:val="24"/>
                <w:szCs w:val="24"/>
              </w:rPr>
              <w:t xml:space="preserve">, </w:t>
            </w:r>
            <w:r w:rsidR="00514A8F" w:rsidRPr="00514A8F">
              <w:rPr>
                <w:rFonts w:ascii="Times New Roman" w:hAnsi="Times New Roman" w:cs="Times New Roman"/>
                <w:color w:val="000000" w:themeColor="text1"/>
                <w:sz w:val="24"/>
                <w:szCs w:val="24"/>
              </w:rPr>
              <w:t>patvirtintoje Lietuvos Respublikos Seimo 2021 m. gruodžio 1</w:t>
            </w:r>
            <w:r w:rsidR="00230FB1">
              <w:rPr>
                <w:rFonts w:ascii="Times New Roman" w:hAnsi="Times New Roman" w:cs="Times New Roman"/>
                <w:color w:val="000000" w:themeColor="text1"/>
                <w:sz w:val="24"/>
                <w:szCs w:val="24"/>
              </w:rPr>
              <w:t>6</w:t>
            </w:r>
            <w:r w:rsidR="00514A8F" w:rsidRPr="00514A8F">
              <w:rPr>
                <w:rFonts w:ascii="Times New Roman" w:hAnsi="Times New Roman" w:cs="Times New Roman"/>
                <w:color w:val="000000" w:themeColor="text1"/>
                <w:sz w:val="24"/>
                <w:szCs w:val="24"/>
              </w:rPr>
              <w:t xml:space="preserve"> d. nutarimu Nr. XIV</w:t>
            </w:r>
            <w:r w:rsidR="00230FB1">
              <w:rPr>
                <w:rFonts w:ascii="Times New Roman" w:hAnsi="Times New Roman" w:cs="Times New Roman"/>
                <w:color w:val="000000" w:themeColor="text1"/>
                <w:sz w:val="24"/>
                <w:szCs w:val="24"/>
              </w:rPr>
              <w:t>-795</w:t>
            </w:r>
            <w:r w:rsidR="00514A8F" w:rsidRPr="00514A8F">
              <w:rPr>
                <w:rFonts w:ascii="Times New Roman" w:hAnsi="Times New Roman" w:cs="Times New Roman"/>
                <w:color w:val="000000" w:themeColor="text1"/>
                <w:sz w:val="24"/>
                <w:szCs w:val="24"/>
              </w:rPr>
              <w:t xml:space="preserve">, </w:t>
            </w:r>
            <w:r w:rsidR="005B2979">
              <w:rPr>
                <w:rFonts w:ascii="Times New Roman" w:hAnsi="Times New Roman" w:cs="Times New Roman"/>
                <w:color w:val="000000" w:themeColor="text1"/>
                <w:sz w:val="24"/>
                <w:szCs w:val="24"/>
              </w:rPr>
              <w:t>nurodytas</w:t>
            </w:r>
            <w:r w:rsidR="005B2979" w:rsidRPr="007A1A19">
              <w:rPr>
                <w:rFonts w:ascii="Times New Roman" w:hAnsi="Times New Roman" w:cs="Times New Roman"/>
                <w:color w:val="000000" w:themeColor="text1"/>
                <w:sz w:val="24"/>
                <w:szCs w:val="24"/>
              </w:rPr>
              <w:t xml:space="preserve"> </w:t>
            </w:r>
            <w:r w:rsidR="007A1A19" w:rsidRPr="007A1A19">
              <w:rPr>
                <w:rFonts w:ascii="Times New Roman" w:hAnsi="Times New Roman" w:cs="Times New Roman"/>
                <w:color w:val="000000" w:themeColor="text1"/>
                <w:sz w:val="24"/>
                <w:szCs w:val="24"/>
              </w:rPr>
              <w:t>valstybes, kurios kelia grėsmę nacionaliniam saugumui. Šiame dokumente detaliai nurodomos tiek valstybės, tiek ir šių valstybių sukeliamos grėsmės Lietuvos valstybės saugumui</w:t>
            </w:r>
            <w:r w:rsidR="00514A8F">
              <w:rPr>
                <w:rFonts w:ascii="Times New Roman" w:hAnsi="Times New Roman" w:cs="Times New Roman"/>
                <w:color w:val="000000" w:themeColor="text1"/>
                <w:sz w:val="24"/>
                <w:szCs w:val="24"/>
              </w:rPr>
              <w:t>.</w:t>
            </w:r>
          </w:p>
          <w:p w14:paraId="149376F9" w14:textId="77777777" w:rsidR="005F0F7D" w:rsidRDefault="005F0F7D" w:rsidP="005F0F7D">
            <w:pPr>
              <w:spacing w:after="0" w:line="240" w:lineRule="auto"/>
              <w:jc w:val="both"/>
              <w:rPr>
                <w:rFonts w:ascii="Times New Roman" w:hAnsi="Times New Roman" w:cs="Times New Roman"/>
                <w:color w:val="000000" w:themeColor="text1"/>
                <w:sz w:val="24"/>
                <w:szCs w:val="24"/>
              </w:rPr>
            </w:pPr>
          </w:p>
          <w:p w14:paraId="3DAF33C7" w14:textId="08D44716" w:rsidR="00FE3659" w:rsidRDefault="0081269D" w:rsidP="005F0F7D">
            <w:pPr>
              <w:spacing w:after="0" w:line="240" w:lineRule="auto"/>
              <w:jc w:val="both"/>
              <w:rPr>
                <w:rFonts w:ascii="Times New Roman" w:hAnsi="Times New Roman" w:cs="Times New Roman"/>
                <w:b/>
                <w:color w:val="000000" w:themeColor="text1"/>
                <w:sz w:val="24"/>
                <w:szCs w:val="24"/>
              </w:rPr>
            </w:pPr>
            <w:r w:rsidRPr="007A1A19">
              <w:rPr>
                <w:rFonts w:ascii="Times New Roman" w:hAnsi="Times New Roman" w:cs="Times New Roman"/>
                <w:color w:val="000000" w:themeColor="text1"/>
                <w:sz w:val="24"/>
                <w:szCs w:val="24"/>
              </w:rPr>
              <w:t>Konstitucinis Teisimas yra išaiškinęs, kad nacionalinis saugumas yra pirmaeilis ir gyvybinis valstybės interesas ir valstybė konstituciškai svarbiam tikslui užtikrinti valstybės ir visuomenės saugumą privalo nustatyti specialų teisinį reguliavimą valstybės ir visuomenės saugumui svarbiems ūkio sektoriams, be kita ko, specialius reikalavimus (sąlygas) ūkinei veiklai siekiant išvengti grėsmės valstybės ar visuomenės saugumui. Atsižvelgiant į tai, darytina išvada, kad įstatymo tikslas yra svarbesnis nei trečiosiose valstybėse įsisteigusių gamintojų verslo interesai.</w:t>
            </w:r>
          </w:p>
        </w:tc>
      </w:tr>
    </w:tbl>
    <w:p w14:paraId="0AF3ECD0" w14:textId="01C12F33" w:rsidR="00C832B4" w:rsidRPr="00B75BBC" w:rsidRDefault="008709CE" w:rsidP="00B75BBC">
      <w:pPr>
        <w:jc w:val="center"/>
        <w:rPr>
          <w:rFonts w:ascii="Times New Roman" w:hAnsi="Times New Roman" w:cs="Times New Roman"/>
          <w:color w:val="000000" w:themeColor="text1"/>
          <w:sz w:val="24"/>
          <w:szCs w:val="24"/>
        </w:rPr>
      </w:pPr>
      <w:r w:rsidRPr="00753980">
        <w:rPr>
          <w:rFonts w:ascii="Times New Roman" w:hAnsi="Times New Roman" w:cs="Times New Roman"/>
          <w:color w:val="000000" w:themeColor="text1"/>
          <w:sz w:val="24"/>
          <w:szCs w:val="24"/>
        </w:rPr>
        <w:lastRenderedPageBreak/>
        <w:t>_______________________________</w:t>
      </w:r>
    </w:p>
    <w:sectPr w:rsidR="00C832B4" w:rsidRPr="00B75BBC" w:rsidSect="00C843AD">
      <w:headerReference w:type="default" r:id="rId8"/>
      <w:pgSz w:w="16838" w:h="11906" w:orient="landscape"/>
      <w:pgMar w:top="1276" w:right="567" w:bottom="540"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F2244" w14:textId="77777777" w:rsidR="00F6617E" w:rsidRDefault="00F6617E">
      <w:pPr>
        <w:spacing w:after="0" w:line="240" w:lineRule="auto"/>
      </w:pPr>
      <w:r>
        <w:separator/>
      </w:r>
    </w:p>
  </w:endnote>
  <w:endnote w:type="continuationSeparator" w:id="0">
    <w:p w14:paraId="22C0C98B" w14:textId="77777777" w:rsidR="00F6617E" w:rsidRDefault="00F66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2008E" w14:textId="77777777" w:rsidR="00F6617E" w:rsidRDefault="00F6617E">
      <w:pPr>
        <w:spacing w:after="0" w:line="240" w:lineRule="auto"/>
      </w:pPr>
      <w:r>
        <w:separator/>
      </w:r>
    </w:p>
  </w:footnote>
  <w:footnote w:type="continuationSeparator" w:id="0">
    <w:p w14:paraId="133BAB0E" w14:textId="77777777" w:rsidR="00F6617E" w:rsidRDefault="00F66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533987"/>
      <w:docPartObj>
        <w:docPartGallery w:val="Page Numbers (Top of Page)"/>
        <w:docPartUnique/>
      </w:docPartObj>
    </w:sdtPr>
    <w:sdtEndPr>
      <w:rPr>
        <w:noProof/>
      </w:rPr>
    </w:sdtEndPr>
    <w:sdtContent>
      <w:p w14:paraId="520E1AC9" w14:textId="1BB8404E" w:rsidR="00C843AD" w:rsidRDefault="00C843AD">
        <w:pPr>
          <w:pStyle w:val="Header"/>
          <w:jc w:val="center"/>
        </w:pPr>
        <w:r w:rsidRPr="00C843AD">
          <w:rPr>
            <w:rFonts w:ascii="Times New Roman" w:hAnsi="Times New Roman" w:cs="Times New Roman"/>
            <w:sz w:val="24"/>
            <w:szCs w:val="24"/>
          </w:rPr>
          <w:fldChar w:fldCharType="begin"/>
        </w:r>
        <w:r w:rsidRPr="00C843AD">
          <w:rPr>
            <w:rFonts w:ascii="Times New Roman" w:hAnsi="Times New Roman" w:cs="Times New Roman"/>
            <w:sz w:val="24"/>
            <w:szCs w:val="24"/>
          </w:rPr>
          <w:instrText xml:space="preserve"> PAGE   \* MERGEFORMAT </w:instrText>
        </w:r>
        <w:r w:rsidRPr="00C843AD">
          <w:rPr>
            <w:rFonts w:ascii="Times New Roman" w:hAnsi="Times New Roman" w:cs="Times New Roman"/>
            <w:sz w:val="24"/>
            <w:szCs w:val="24"/>
          </w:rPr>
          <w:fldChar w:fldCharType="separate"/>
        </w:r>
        <w:r w:rsidR="00DD0F0A">
          <w:rPr>
            <w:rFonts w:ascii="Times New Roman" w:hAnsi="Times New Roman" w:cs="Times New Roman"/>
            <w:noProof/>
            <w:sz w:val="24"/>
            <w:szCs w:val="24"/>
          </w:rPr>
          <w:t>3</w:t>
        </w:r>
        <w:r w:rsidRPr="00C843AD">
          <w:rPr>
            <w:rFonts w:ascii="Times New Roman" w:hAnsi="Times New Roman" w:cs="Times New Roman"/>
            <w:noProof/>
            <w:sz w:val="24"/>
            <w:szCs w:val="24"/>
          </w:rPr>
          <w:fldChar w:fldCharType="end"/>
        </w:r>
      </w:p>
    </w:sdtContent>
  </w:sdt>
  <w:p w14:paraId="07829976" w14:textId="77777777" w:rsidR="003101E0" w:rsidRPr="008D00F2" w:rsidRDefault="00DD0F0A" w:rsidP="008D00F2">
    <w:pPr>
      <w:pStyle w:val="Header"/>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10FE"/>
    <w:multiLevelType w:val="hybridMultilevel"/>
    <w:tmpl w:val="8ED4ED24"/>
    <w:lvl w:ilvl="0" w:tplc="1594267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C676F"/>
    <w:multiLevelType w:val="hybridMultilevel"/>
    <w:tmpl w:val="03D6811E"/>
    <w:lvl w:ilvl="0" w:tplc="B04831D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5B243C"/>
    <w:multiLevelType w:val="hybridMultilevel"/>
    <w:tmpl w:val="F9DE816E"/>
    <w:lvl w:ilvl="0" w:tplc="D3E0C87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BB15BA"/>
    <w:multiLevelType w:val="hybridMultilevel"/>
    <w:tmpl w:val="19AC54A4"/>
    <w:lvl w:ilvl="0" w:tplc="A5009E72">
      <w:start w:val="1"/>
      <w:numFmt w:val="decimal"/>
      <w:lvlText w:val="%1)"/>
      <w:lvlJc w:val="left"/>
      <w:pPr>
        <w:ind w:left="1636" w:hanging="360"/>
      </w:pPr>
      <w:rPr>
        <w:rFonts w:ascii="Times New Roman" w:hAnsi="Times New Roman" w:cs="Times New Roman" w:hint="default"/>
        <w:color w:val="000000"/>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4" w15:restartNumberingAfterBreak="0">
    <w:nsid w:val="4C0928F9"/>
    <w:multiLevelType w:val="hybridMultilevel"/>
    <w:tmpl w:val="DD6C38C8"/>
    <w:lvl w:ilvl="0" w:tplc="A94A0E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6" w15:restartNumberingAfterBreak="0">
    <w:nsid w:val="712A3769"/>
    <w:multiLevelType w:val="hybridMultilevel"/>
    <w:tmpl w:val="2FA88D58"/>
    <w:lvl w:ilvl="0" w:tplc="6C2C39DC">
      <w:start w:val="1"/>
      <w:numFmt w:val="decimal"/>
      <w:lvlText w:val="%1."/>
      <w:lvlJc w:val="left"/>
      <w:pPr>
        <w:ind w:left="720" w:hanging="360"/>
      </w:pPr>
      <w:rPr>
        <w:rFonts w:asciiTheme="minorHAnsi" w:hAnsiTheme="minorHAnsi" w:cstheme="minorBid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A5137A"/>
    <w:multiLevelType w:val="hybridMultilevel"/>
    <w:tmpl w:val="FD9CFEF6"/>
    <w:lvl w:ilvl="0" w:tplc="6B1A5770">
      <w:start w:val="1"/>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num w:numId="1">
    <w:abstractNumId w:val="6"/>
  </w:num>
  <w:num w:numId="2">
    <w:abstractNumId w:val="2"/>
  </w:num>
  <w:num w:numId="3">
    <w:abstractNumId w:val="1"/>
  </w:num>
  <w:num w:numId="4">
    <w:abstractNumId w:val="0"/>
  </w:num>
  <w:num w:numId="5">
    <w:abstractNumId w:val="4"/>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9CE"/>
    <w:rsid w:val="00037A09"/>
    <w:rsid w:val="000A39DA"/>
    <w:rsid w:val="000C0132"/>
    <w:rsid w:val="000C3E7C"/>
    <w:rsid w:val="000C5D6C"/>
    <w:rsid w:val="000D2518"/>
    <w:rsid w:val="000D7715"/>
    <w:rsid w:val="000D7FFB"/>
    <w:rsid w:val="00140A3D"/>
    <w:rsid w:val="00174AEA"/>
    <w:rsid w:val="001A32C6"/>
    <w:rsid w:val="001B097D"/>
    <w:rsid w:val="001C7077"/>
    <w:rsid w:val="001E45DC"/>
    <w:rsid w:val="001F6BA4"/>
    <w:rsid w:val="00210FC7"/>
    <w:rsid w:val="00230FB1"/>
    <w:rsid w:val="00234678"/>
    <w:rsid w:val="00244658"/>
    <w:rsid w:val="0025554C"/>
    <w:rsid w:val="00284821"/>
    <w:rsid w:val="00285719"/>
    <w:rsid w:val="00291B1F"/>
    <w:rsid w:val="002B7F08"/>
    <w:rsid w:val="002D2555"/>
    <w:rsid w:val="003174BC"/>
    <w:rsid w:val="00350AEE"/>
    <w:rsid w:val="00355A91"/>
    <w:rsid w:val="00370043"/>
    <w:rsid w:val="0039078B"/>
    <w:rsid w:val="003B249B"/>
    <w:rsid w:val="003E54AA"/>
    <w:rsid w:val="003F4A7A"/>
    <w:rsid w:val="0040511C"/>
    <w:rsid w:val="0041559F"/>
    <w:rsid w:val="004331D0"/>
    <w:rsid w:val="00445ED6"/>
    <w:rsid w:val="00474AFD"/>
    <w:rsid w:val="00475236"/>
    <w:rsid w:val="00481C0C"/>
    <w:rsid w:val="00485463"/>
    <w:rsid w:val="00493EC6"/>
    <w:rsid w:val="00494F29"/>
    <w:rsid w:val="0049568F"/>
    <w:rsid w:val="004A1243"/>
    <w:rsid w:val="004A31A9"/>
    <w:rsid w:val="004C778F"/>
    <w:rsid w:val="0051463A"/>
    <w:rsid w:val="00514A8F"/>
    <w:rsid w:val="00515E81"/>
    <w:rsid w:val="00541503"/>
    <w:rsid w:val="005469D6"/>
    <w:rsid w:val="00595C21"/>
    <w:rsid w:val="005A3513"/>
    <w:rsid w:val="005B2979"/>
    <w:rsid w:val="005B74A4"/>
    <w:rsid w:val="005C2DB5"/>
    <w:rsid w:val="005E30D9"/>
    <w:rsid w:val="005F0F7D"/>
    <w:rsid w:val="005F1314"/>
    <w:rsid w:val="006102D8"/>
    <w:rsid w:val="00613FAB"/>
    <w:rsid w:val="00615B05"/>
    <w:rsid w:val="00626826"/>
    <w:rsid w:val="00643016"/>
    <w:rsid w:val="006467E4"/>
    <w:rsid w:val="00650FD8"/>
    <w:rsid w:val="006B15B7"/>
    <w:rsid w:val="006E460C"/>
    <w:rsid w:val="006E56DD"/>
    <w:rsid w:val="00700F80"/>
    <w:rsid w:val="00747364"/>
    <w:rsid w:val="00753980"/>
    <w:rsid w:val="00761D54"/>
    <w:rsid w:val="007622EB"/>
    <w:rsid w:val="00765F2A"/>
    <w:rsid w:val="00774F6C"/>
    <w:rsid w:val="00783166"/>
    <w:rsid w:val="007A1A19"/>
    <w:rsid w:val="007A5633"/>
    <w:rsid w:val="007A74C0"/>
    <w:rsid w:val="007B0E19"/>
    <w:rsid w:val="007D1DB6"/>
    <w:rsid w:val="007D3347"/>
    <w:rsid w:val="007D3AA0"/>
    <w:rsid w:val="007E69AD"/>
    <w:rsid w:val="007F6883"/>
    <w:rsid w:val="0081269D"/>
    <w:rsid w:val="008454C5"/>
    <w:rsid w:val="00857052"/>
    <w:rsid w:val="00864E2C"/>
    <w:rsid w:val="008709CE"/>
    <w:rsid w:val="008719DE"/>
    <w:rsid w:val="00871A76"/>
    <w:rsid w:val="00876CCF"/>
    <w:rsid w:val="0088541A"/>
    <w:rsid w:val="00896764"/>
    <w:rsid w:val="008A0020"/>
    <w:rsid w:val="008A1868"/>
    <w:rsid w:val="008B44C9"/>
    <w:rsid w:val="008C6905"/>
    <w:rsid w:val="008D179A"/>
    <w:rsid w:val="008D5801"/>
    <w:rsid w:val="008E2386"/>
    <w:rsid w:val="008F2C3D"/>
    <w:rsid w:val="009048C8"/>
    <w:rsid w:val="00955BFC"/>
    <w:rsid w:val="00970922"/>
    <w:rsid w:val="00993563"/>
    <w:rsid w:val="009A2F47"/>
    <w:rsid w:val="009C6F4F"/>
    <w:rsid w:val="00A00B7D"/>
    <w:rsid w:val="00A36D69"/>
    <w:rsid w:val="00A40683"/>
    <w:rsid w:val="00A51881"/>
    <w:rsid w:val="00A6254A"/>
    <w:rsid w:val="00A63BBE"/>
    <w:rsid w:val="00A763FA"/>
    <w:rsid w:val="00A77841"/>
    <w:rsid w:val="00A81E08"/>
    <w:rsid w:val="00AF6301"/>
    <w:rsid w:val="00B02401"/>
    <w:rsid w:val="00B3737C"/>
    <w:rsid w:val="00B45F95"/>
    <w:rsid w:val="00B53723"/>
    <w:rsid w:val="00B71CCA"/>
    <w:rsid w:val="00B75BBC"/>
    <w:rsid w:val="00B94631"/>
    <w:rsid w:val="00B96E1C"/>
    <w:rsid w:val="00BF27C3"/>
    <w:rsid w:val="00BF3C74"/>
    <w:rsid w:val="00C270BE"/>
    <w:rsid w:val="00C27929"/>
    <w:rsid w:val="00C3421D"/>
    <w:rsid w:val="00C35755"/>
    <w:rsid w:val="00C42CA0"/>
    <w:rsid w:val="00C64CF3"/>
    <w:rsid w:val="00C77698"/>
    <w:rsid w:val="00C832B4"/>
    <w:rsid w:val="00C843AD"/>
    <w:rsid w:val="00C912DB"/>
    <w:rsid w:val="00C96A7E"/>
    <w:rsid w:val="00CE5858"/>
    <w:rsid w:val="00CF5E26"/>
    <w:rsid w:val="00D022F6"/>
    <w:rsid w:val="00D135C3"/>
    <w:rsid w:val="00D17AE8"/>
    <w:rsid w:val="00D31634"/>
    <w:rsid w:val="00D371AE"/>
    <w:rsid w:val="00D62449"/>
    <w:rsid w:val="00D708A5"/>
    <w:rsid w:val="00D74A15"/>
    <w:rsid w:val="00D81076"/>
    <w:rsid w:val="00D93CAC"/>
    <w:rsid w:val="00DA5A35"/>
    <w:rsid w:val="00DB1FAD"/>
    <w:rsid w:val="00DB5DC1"/>
    <w:rsid w:val="00DD0F0A"/>
    <w:rsid w:val="00E04D4C"/>
    <w:rsid w:val="00E17FA2"/>
    <w:rsid w:val="00E20D77"/>
    <w:rsid w:val="00E228FC"/>
    <w:rsid w:val="00E36A27"/>
    <w:rsid w:val="00E53359"/>
    <w:rsid w:val="00E5538B"/>
    <w:rsid w:val="00E56C98"/>
    <w:rsid w:val="00E6200F"/>
    <w:rsid w:val="00E62BAC"/>
    <w:rsid w:val="00E63189"/>
    <w:rsid w:val="00E665DB"/>
    <w:rsid w:val="00E74523"/>
    <w:rsid w:val="00E75CA3"/>
    <w:rsid w:val="00E8083E"/>
    <w:rsid w:val="00EA5874"/>
    <w:rsid w:val="00EA64EA"/>
    <w:rsid w:val="00EC1DAF"/>
    <w:rsid w:val="00ED0617"/>
    <w:rsid w:val="00EE16A6"/>
    <w:rsid w:val="00EF7F61"/>
    <w:rsid w:val="00F454D0"/>
    <w:rsid w:val="00F47DF3"/>
    <w:rsid w:val="00F6617E"/>
    <w:rsid w:val="00FD7C4B"/>
    <w:rsid w:val="00FE3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BF754"/>
  <w15:chartTrackingRefBased/>
  <w15:docId w15:val="{869728D6-FB01-4A92-B7CE-E9C5E7A9D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9CE"/>
    <w:pPr>
      <w:spacing w:after="200" w:line="27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09CE"/>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09CE"/>
    <w:pPr>
      <w:tabs>
        <w:tab w:val="center" w:pos="4819"/>
        <w:tab w:val="right" w:pos="9638"/>
      </w:tabs>
      <w:spacing w:after="0" w:line="240" w:lineRule="auto"/>
    </w:pPr>
  </w:style>
  <w:style w:type="character" w:customStyle="1" w:styleId="HeaderChar">
    <w:name w:val="Header Char"/>
    <w:basedOn w:val="DefaultParagraphFont"/>
    <w:link w:val="Header"/>
    <w:uiPriority w:val="99"/>
    <w:rsid w:val="008709CE"/>
    <w:rPr>
      <w:lang w:val="lt-LT"/>
    </w:rPr>
  </w:style>
  <w:style w:type="paragraph" w:customStyle="1" w:styleId="Preformatted">
    <w:name w:val="Preformatted"/>
    <w:basedOn w:val="Normal"/>
    <w:rsid w:val="008709CE"/>
    <w:pPr>
      <w:snapToGrid w:val="0"/>
      <w:spacing w:after="0" w:line="240" w:lineRule="auto"/>
    </w:pPr>
    <w:rPr>
      <w:rFonts w:ascii="Courier New" w:eastAsia="Times New Roman" w:hAnsi="Courier New" w:cs="Courier New"/>
      <w:sz w:val="20"/>
      <w:szCs w:val="20"/>
      <w:lang w:eastAsia="lt-LT"/>
    </w:rPr>
  </w:style>
  <w:style w:type="character" w:customStyle="1" w:styleId="bold1">
    <w:name w:val="bold1"/>
    <w:basedOn w:val="DefaultParagraphFont"/>
    <w:rsid w:val="008709CE"/>
    <w:rPr>
      <w:b/>
      <w:bCs/>
    </w:rPr>
  </w:style>
  <w:style w:type="paragraph" w:styleId="PlainText">
    <w:name w:val="Plain Text"/>
    <w:basedOn w:val="Normal"/>
    <w:link w:val="PlainTextChar"/>
    <w:uiPriority w:val="99"/>
    <w:semiHidden/>
    <w:unhideWhenUsed/>
    <w:rsid w:val="008709C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8709CE"/>
    <w:rPr>
      <w:rFonts w:ascii="Calibri" w:hAnsi="Calibri" w:cs="Consolas"/>
      <w:szCs w:val="21"/>
      <w:lang w:val="lt-LT"/>
    </w:rPr>
  </w:style>
  <w:style w:type="paragraph" w:styleId="ListParagraph">
    <w:name w:val="List Paragraph"/>
    <w:basedOn w:val="Normal"/>
    <w:uiPriority w:val="34"/>
    <w:qFormat/>
    <w:rsid w:val="008709CE"/>
    <w:pPr>
      <w:ind w:left="720"/>
      <w:contextualSpacing/>
    </w:pPr>
  </w:style>
  <w:style w:type="paragraph" w:styleId="BalloonText">
    <w:name w:val="Balloon Text"/>
    <w:basedOn w:val="Normal"/>
    <w:link w:val="BalloonTextChar"/>
    <w:uiPriority w:val="99"/>
    <w:semiHidden/>
    <w:unhideWhenUsed/>
    <w:rsid w:val="008454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4C5"/>
    <w:rPr>
      <w:rFonts w:ascii="Segoe UI" w:hAnsi="Segoe UI" w:cs="Segoe UI"/>
      <w:sz w:val="18"/>
      <w:szCs w:val="18"/>
      <w:lang w:val="lt-LT"/>
    </w:rPr>
  </w:style>
  <w:style w:type="character" w:styleId="CommentReference">
    <w:name w:val="annotation reference"/>
    <w:basedOn w:val="DefaultParagraphFont"/>
    <w:uiPriority w:val="99"/>
    <w:semiHidden/>
    <w:unhideWhenUsed/>
    <w:rsid w:val="00E74523"/>
    <w:rPr>
      <w:sz w:val="16"/>
      <w:szCs w:val="16"/>
    </w:rPr>
  </w:style>
  <w:style w:type="paragraph" w:styleId="CommentText">
    <w:name w:val="annotation text"/>
    <w:basedOn w:val="Normal"/>
    <w:link w:val="CommentTextChar"/>
    <w:uiPriority w:val="99"/>
    <w:unhideWhenUsed/>
    <w:rsid w:val="00E74523"/>
    <w:pPr>
      <w:spacing w:line="240" w:lineRule="auto"/>
    </w:pPr>
    <w:rPr>
      <w:sz w:val="20"/>
      <w:szCs w:val="20"/>
    </w:rPr>
  </w:style>
  <w:style w:type="character" w:customStyle="1" w:styleId="CommentTextChar">
    <w:name w:val="Comment Text Char"/>
    <w:basedOn w:val="DefaultParagraphFont"/>
    <w:link w:val="CommentText"/>
    <w:uiPriority w:val="99"/>
    <w:rsid w:val="00E74523"/>
    <w:rPr>
      <w:sz w:val="20"/>
      <w:szCs w:val="20"/>
      <w:lang w:val="lt-LT"/>
    </w:rPr>
  </w:style>
  <w:style w:type="paragraph" w:styleId="CommentSubject">
    <w:name w:val="annotation subject"/>
    <w:basedOn w:val="CommentText"/>
    <w:next w:val="CommentText"/>
    <w:link w:val="CommentSubjectChar"/>
    <w:uiPriority w:val="99"/>
    <w:semiHidden/>
    <w:unhideWhenUsed/>
    <w:rsid w:val="00E74523"/>
    <w:rPr>
      <w:b/>
      <w:bCs/>
    </w:rPr>
  </w:style>
  <w:style w:type="character" w:customStyle="1" w:styleId="CommentSubjectChar">
    <w:name w:val="Comment Subject Char"/>
    <w:basedOn w:val="CommentTextChar"/>
    <w:link w:val="CommentSubject"/>
    <w:uiPriority w:val="99"/>
    <w:semiHidden/>
    <w:rsid w:val="00E74523"/>
    <w:rPr>
      <w:b/>
      <w:bCs/>
      <w:sz w:val="20"/>
      <w:szCs w:val="20"/>
      <w:lang w:val="lt-LT"/>
    </w:rPr>
  </w:style>
  <w:style w:type="paragraph" w:styleId="Revision">
    <w:name w:val="Revision"/>
    <w:hidden/>
    <w:uiPriority w:val="99"/>
    <w:semiHidden/>
    <w:rsid w:val="00E74523"/>
    <w:pPr>
      <w:spacing w:after="0" w:line="240" w:lineRule="auto"/>
    </w:pPr>
    <w:rPr>
      <w:lang w:val="lt-LT"/>
    </w:rPr>
  </w:style>
  <w:style w:type="paragraph" w:customStyle="1" w:styleId="Standard">
    <w:name w:val="Standard"/>
    <w:rsid w:val="005F1314"/>
    <w:pPr>
      <w:suppressAutoHyphens/>
      <w:autoSpaceDN w:val="0"/>
      <w:spacing w:after="0" w:line="240" w:lineRule="auto"/>
      <w:textAlignment w:val="baseline"/>
    </w:pPr>
    <w:rPr>
      <w:rFonts w:ascii="Times New Roman" w:eastAsia="Times New Roman" w:hAnsi="Times New Roman" w:cs="Times New Roman"/>
      <w:kern w:val="3"/>
      <w:sz w:val="24"/>
      <w:szCs w:val="20"/>
      <w:lang w:val="lt-LT" w:eastAsia="zh-CN"/>
    </w:rPr>
  </w:style>
  <w:style w:type="character" w:customStyle="1" w:styleId="Numatytasispastraiposriftas1">
    <w:name w:val="Numatytasis pastraipos šriftas1"/>
    <w:rsid w:val="005F1314"/>
  </w:style>
  <w:style w:type="paragraph" w:styleId="BodyText">
    <w:name w:val="Body Text"/>
    <w:basedOn w:val="Normal"/>
    <w:link w:val="BodyTextChar"/>
    <w:unhideWhenUsed/>
    <w:rsid w:val="007D1DB6"/>
    <w:pPr>
      <w:spacing w:after="0" w:line="240" w:lineRule="auto"/>
      <w:ind w:firstLine="1247"/>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D1DB6"/>
    <w:rPr>
      <w:rFonts w:ascii="Times New Roman" w:eastAsia="Times New Roman" w:hAnsi="Times New Roman" w:cs="Times New Roman"/>
      <w:sz w:val="24"/>
      <w:szCs w:val="20"/>
      <w:lang w:val="lt-LT"/>
    </w:rPr>
  </w:style>
  <w:style w:type="character" w:customStyle="1" w:styleId="wysiwyg-font-size-medium">
    <w:name w:val="wysiwyg-font-size-medium"/>
    <w:basedOn w:val="DefaultParagraphFont"/>
    <w:rsid w:val="007D1DB6"/>
  </w:style>
  <w:style w:type="character" w:styleId="Hyperlink">
    <w:name w:val="Hyperlink"/>
    <w:basedOn w:val="DefaultParagraphFont"/>
    <w:unhideWhenUsed/>
    <w:rsid w:val="006E460C"/>
    <w:rPr>
      <w:color w:val="0563C1" w:themeColor="hyperlink"/>
      <w:u w:val="single"/>
    </w:rPr>
  </w:style>
  <w:style w:type="paragraph" w:styleId="FootnoteText">
    <w:name w:val="footnote text"/>
    <w:aliases w:val="Diagrama1, Diagrama1,Car,fn,Footnotes,Footnote ak,Footnote Text Char1,Footnote Text Char Char,fn Char Char,footnote text Char Char,Footnotes Char Char,Footnote ak Char Char,fn Char1,footnote text Char1,Footnotes Char1,Footnote ak Char1"/>
    <w:basedOn w:val="Normal"/>
    <w:link w:val="FootnoteTextChar"/>
    <w:uiPriority w:val="99"/>
    <w:unhideWhenUsed/>
    <w:rsid w:val="0040511C"/>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aliases w:val="Diagrama1 Char, Diagrama1 Char,Car Char,fn Char,Footnotes Char,Footnote ak Char,Footnote Text Char1 Char,Footnote Text Char Char Char,fn Char Char Char,footnote text Char Char Char,Footnotes Char Char Char,Footnote ak Char Char Char"/>
    <w:basedOn w:val="DefaultParagraphFont"/>
    <w:link w:val="FootnoteText"/>
    <w:uiPriority w:val="99"/>
    <w:rsid w:val="0040511C"/>
    <w:rPr>
      <w:rFonts w:ascii="Times New Roman" w:eastAsia="Times New Roman" w:hAnsi="Times New Roman" w:cs="Times New Roman"/>
      <w:sz w:val="20"/>
      <w:szCs w:val="20"/>
      <w:lang w:val="lt-LT" w:eastAsia="ar-SA"/>
    </w:rPr>
  </w:style>
  <w:style w:type="character" w:styleId="FootnoteReference">
    <w:name w:val="footnote reference"/>
    <w:aliases w:val="Ref,de nota al pie,Puslapio išnašos nuoroda1,fr,(NECG) Footnote Reference,o,footnumber,BVI fnr,SUPERS,Footnote symbol,Style 4,FR,Style 6,Style 3,Appel note de bas de p,Style 124,Footnote Reference Number,Footnote Reference_LVL6"/>
    <w:basedOn w:val="DefaultParagraphFont"/>
    <w:unhideWhenUsed/>
    <w:rsid w:val="0040511C"/>
    <w:rPr>
      <w:vertAlign w:val="superscript"/>
    </w:rPr>
  </w:style>
  <w:style w:type="paragraph" w:customStyle="1" w:styleId="Default">
    <w:name w:val="Default"/>
    <w:rsid w:val="00C64CF3"/>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C843AD"/>
    <w:pPr>
      <w:tabs>
        <w:tab w:val="center" w:pos="4986"/>
        <w:tab w:val="right" w:pos="9972"/>
      </w:tabs>
      <w:spacing w:after="0" w:line="240" w:lineRule="auto"/>
    </w:pPr>
  </w:style>
  <w:style w:type="character" w:customStyle="1" w:styleId="FooterChar">
    <w:name w:val="Footer Char"/>
    <w:basedOn w:val="DefaultParagraphFont"/>
    <w:link w:val="Footer"/>
    <w:uiPriority w:val="99"/>
    <w:rsid w:val="00C843AD"/>
    <w:rPr>
      <w:lang w:val="lt-LT"/>
    </w:rPr>
  </w:style>
  <w:style w:type="paragraph" w:customStyle="1" w:styleId="KTpstrnum">
    <w:name w:val="KT pstr num"/>
    <w:basedOn w:val="Normal"/>
    <w:link w:val="KTpstrnumChar"/>
    <w:qFormat/>
    <w:rsid w:val="00993563"/>
    <w:pPr>
      <w:numPr>
        <w:numId w:val="8"/>
      </w:numPr>
      <w:spacing w:after="0" w:line="240" w:lineRule="auto"/>
      <w:jc w:val="both"/>
    </w:pPr>
    <w:rPr>
      <w:rFonts w:ascii="Times New Roman" w:hAnsi="Times New Roman"/>
      <w:sz w:val="24"/>
      <w:szCs w:val="24"/>
    </w:rPr>
  </w:style>
  <w:style w:type="character" w:customStyle="1" w:styleId="KTpstrnumChar">
    <w:name w:val="KT pstr num Char"/>
    <w:basedOn w:val="DefaultParagraphFont"/>
    <w:link w:val="KTpstrnum"/>
    <w:rsid w:val="00993563"/>
    <w:rPr>
      <w:rFonts w:ascii="Times New Roman" w:hAnsi="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439168">
      <w:bodyDiv w:val="1"/>
      <w:marLeft w:val="0"/>
      <w:marRight w:val="0"/>
      <w:marTop w:val="0"/>
      <w:marBottom w:val="0"/>
      <w:divBdr>
        <w:top w:val="none" w:sz="0" w:space="0" w:color="auto"/>
        <w:left w:val="none" w:sz="0" w:space="0" w:color="auto"/>
        <w:bottom w:val="none" w:sz="0" w:space="0" w:color="auto"/>
        <w:right w:val="none" w:sz="0" w:space="0" w:color="auto"/>
      </w:divBdr>
    </w:div>
    <w:div w:id="297035782">
      <w:bodyDiv w:val="1"/>
      <w:marLeft w:val="0"/>
      <w:marRight w:val="0"/>
      <w:marTop w:val="0"/>
      <w:marBottom w:val="0"/>
      <w:divBdr>
        <w:top w:val="none" w:sz="0" w:space="0" w:color="auto"/>
        <w:left w:val="none" w:sz="0" w:space="0" w:color="auto"/>
        <w:bottom w:val="none" w:sz="0" w:space="0" w:color="auto"/>
        <w:right w:val="none" w:sz="0" w:space="0" w:color="auto"/>
      </w:divBdr>
      <w:divsChild>
        <w:div w:id="1200894189">
          <w:marLeft w:val="0"/>
          <w:marRight w:val="0"/>
          <w:marTop w:val="0"/>
          <w:marBottom w:val="0"/>
          <w:divBdr>
            <w:top w:val="none" w:sz="0" w:space="0" w:color="auto"/>
            <w:left w:val="none" w:sz="0" w:space="0" w:color="auto"/>
            <w:bottom w:val="none" w:sz="0" w:space="0" w:color="auto"/>
            <w:right w:val="none" w:sz="0" w:space="0" w:color="auto"/>
          </w:divBdr>
        </w:div>
      </w:divsChild>
    </w:div>
    <w:div w:id="342368207">
      <w:bodyDiv w:val="1"/>
      <w:marLeft w:val="0"/>
      <w:marRight w:val="0"/>
      <w:marTop w:val="0"/>
      <w:marBottom w:val="0"/>
      <w:divBdr>
        <w:top w:val="none" w:sz="0" w:space="0" w:color="auto"/>
        <w:left w:val="none" w:sz="0" w:space="0" w:color="auto"/>
        <w:bottom w:val="none" w:sz="0" w:space="0" w:color="auto"/>
        <w:right w:val="none" w:sz="0" w:space="0" w:color="auto"/>
      </w:divBdr>
      <w:divsChild>
        <w:div w:id="2080900174">
          <w:marLeft w:val="0"/>
          <w:marRight w:val="0"/>
          <w:marTop w:val="0"/>
          <w:marBottom w:val="0"/>
          <w:divBdr>
            <w:top w:val="none" w:sz="0" w:space="0" w:color="auto"/>
            <w:left w:val="none" w:sz="0" w:space="0" w:color="auto"/>
            <w:bottom w:val="none" w:sz="0" w:space="0" w:color="auto"/>
            <w:right w:val="none" w:sz="0" w:space="0" w:color="auto"/>
          </w:divBdr>
        </w:div>
        <w:div w:id="641085407">
          <w:marLeft w:val="0"/>
          <w:marRight w:val="0"/>
          <w:marTop w:val="0"/>
          <w:marBottom w:val="0"/>
          <w:divBdr>
            <w:top w:val="none" w:sz="0" w:space="0" w:color="auto"/>
            <w:left w:val="none" w:sz="0" w:space="0" w:color="auto"/>
            <w:bottom w:val="none" w:sz="0" w:space="0" w:color="auto"/>
            <w:right w:val="none" w:sz="0" w:space="0" w:color="auto"/>
          </w:divBdr>
        </w:div>
        <w:div w:id="439108149">
          <w:marLeft w:val="0"/>
          <w:marRight w:val="0"/>
          <w:marTop w:val="0"/>
          <w:marBottom w:val="0"/>
          <w:divBdr>
            <w:top w:val="none" w:sz="0" w:space="0" w:color="auto"/>
            <w:left w:val="none" w:sz="0" w:space="0" w:color="auto"/>
            <w:bottom w:val="none" w:sz="0" w:space="0" w:color="auto"/>
            <w:right w:val="none" w:sz="0" w:space="0" w:color="auto"/>
          </w:divBdr>
        </w:div>
      </w:divsChild>
    </w:div>
    <w:div w:id="1355157342">
      <w:bodyDiv w:val="1"/>
      <w:marLeft w:val="0"/>
      <w:marRight w:val="0"/>
      <w:marTop w:val="0"/>
      <w:marBottom w:val="0"/>
      <w:divBdr>
        <w:top w:val="none" w:sz="0" w:space="0" w:color="auto"/>
        <w:left w:val="none" w:sz="0" w:space="0" w:color="auto"/>
        <w:bottom w:val="none" w:sz="0" w:space="0" w:color="auto"/>
        <w:right w:val="none" w:sz="0" w:space="0" w:color="auto"/>
      </w:divBdr>
      <w:divsChild>
        <w:div w:id="37166863">
          <w:marLeft w:val="0"/>
          <w:marRight w:val="0"/>
          <w:marTop w:val="0"/>
          <w:marBottom w:val="0"/>
          <w:divBdr>
            <w:top w:val="none" w:sz="0" w:space="0" w:color="auto"/>
            <w:left w:val="none" w:sz="0" w:space="0" w:color="auto"/>
            <w:bottom w:val="none" w:sz="0" w:space="0" w:color="auto"/>
            <w:right w:val="none" w:sz="0" w:space="0" w:color="auto"/>
          </w:divBdr>
        </w:div>
        <w:div w:id="369652150">
          <w:marLeft w:val="0"/>
          <w:marRight w:val="0"/>
          <w:marTop w:val="0"/>
          <w:marBottom w:val="0"/>
          <w:divBdr>
            <w:top w:val="none" w:sz="0" w:space="0" w:color="auto"/>
            <w:left w:val="none" w:sz="0" w:space="0" w:color="auto"/>
            <w:bottom w:val="none" w:sz="0" w:space="0" w:color="auto"/>
            <w:right w:val="none" w:sz="0" w:space="0" w:color="auto"/>
          </w:divBdr>
        </w:div>
        <w:div w:id="91556463">
          <w:marLeft w:val="0"/>
          <w:marRight w:val="0"/>
          <w:marTop w:val="0"/>
          <w:marBottom w:val="0"/>
          <w:divBdr>
            <w:top w:val="none" w:sz="0" w:space="0" w:color="auto"/>
            <w:left w:val="none" w:sz="0" w:space="0" w:color="auto"/>
            <w:bottom w:val="none" w:sz="0" w:space="0" w:color="auto"/>
            <w:right w:val="none" w:sz="0" w:space="0" w:color="auto"/>
          </w:divBdr>
        </w:div>
      </w:divsChild>
    </w:div>
    <w:div w:id="1420054150">
      <w:bodyDiv w:val="1"/>
      <w:marLeft w:val="0"/>
      <w:marRight w:val="0"/>
      <w:marTop w:val="0"/>
      <w:marBottom w:val="0"/>
      <w:divBdr>
        <w:top w:val="none" w:sz="0" w:space="0" w:color="auto"/>
        <w:left w:val="none" w:sz="0" w:space="0" w:color="auto"/>
        <w:bottom w:val="none" w:sz="0" w:space="0" w:color="auto"/>
        <w:right w:val="none" w:sz="0" w:space="0" w:color="auto"/>
      </w:divBdr>
    </w:div>
    <w:div w:id="1481341806">
      <w:bodyDiv w:val="1"/>
      <w:marLeft w:val="0"/>
      <w:marRight w:val="0"/>
      <w:marTop w:val="0"/>
      <w:marBottom w:val="0"/>
      <w:divBdr>
        <w:top w:val="none" w:sz="0" w:space="0" w:color="auto"/>
        <w:left w:val="none" w:sz="0" w:space="0" w:color="auto"/>
        <w:bottom w:val="none" w:sz="0" w:space="0" w:color="auto"/>
        <w:right w:val="none" w:sz="0" w:space="0" w:color="auto"/>
      </w:divBdr>
    </w:div>
    <w:div w:id="1737052312">
      <w:bodyDiv w:val="1"/>
      <w:marLeft w:val="0"/>
      <w:marRight w:val="0"/>
      <w:marTop w:val="0"/>
      <w:marBottom w:val="0"/>
      <w:divBdr>
        <w:top w:val="none" w:sz="0" w:space="0" w:color="auto"/>
        <w:left w:val="none" w:sz="0" w:space="0" w:color="auto"/>
        <w:bottom w:val="none" w:sz="0" w:space="0" w:color="auto"/>
        <w:right w:val="none" w:sz="0" w:space="0" w:color="auto"/>
      </w:divBdr>
    </w:div>
    <w:div w:id="186647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36C6E-B942-4922-9862-2339C387F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5784</Words>
  <Characters>3298</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2022-02-02T08:15:00Z</dcterms:created>
  <dc:creator>Audronė J.</dc:creator>
  <cp:lastModifiedBy>Henrikas Valentukevicius</cp:lastModifiedBy>
  <dcterms:modified xsi:type="dcterms:W3CDTF">2022-02-02T08:15:00Z</dcterms:modified>
  <cp:revision>2</cp:revision>
</cp:coreProperties>
</file>