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345" w:rsidRPr="00F147D8" w:rsidRDefault="00FE6345" w:rsidP="00160A7D">
      <w:pPr>
        <w:ind w:left="6480"/>
        <w:rPr>
          <w:szCs w:val="24"/>
        </w:rPr>
      </w:pPr>
      <w:r w:rsidRPr="00F147D8">
        <w:rPr>
          <w:b/>
          <w:bCs/>
          <w:szCs w:val="24"/>
        </w:rPr>
        <w:t xml:space="preserve">Projekto </w:t>
      </w:r>
    </w:p>
    <w:p w:rsidR="00FE6345" w:rsidRPr="00F147D8" w:rsidRDefault="00FE6345" w:rsidP="00160A7D">
      <w:pPr>
        <w:ind w:left="6480"/>
        <w:rPr>
          <w:szCs w:val="24"/>
        </w:rPr>
      </w:pPr>
      <w:r w:rsidRPr="00F147D8">
        <w:rPr>
          <w:b/>
          <w:bCs/>
          <w:szCs w:val="24"/>
        </w:rPr>
        <w:t xml:space="preserve">lyginamasis variantas </w:t>
      </w:r>
    </w:p>
    <w:p w:rsidR="00FE6345" w:rsidRPr="00F147D8" w:rsidRDefault="00FE6345" w:rsidP="00F147D8">
      <w:pPr>
        <w:jc w:val="center"/>
        <w:rPr>
          <w:caps/>
          <w:szCs w:val="24"/>
        </w:rPr>
      </w:pPr>
    </w:p>
    <w:p w:rsidR="00FE6345" w:rsidRPr="00F147D8" w:rsidRDefault="00FE6345" w:rsidP="00F147D8">
      <w:pPr>
        <w:jc w:val="center"/>
        <w:rPr>
          <w:szCs w:val="24"/>
        </w:rPr>
      </w:pPr>
      <w:r w:rsidRPr="00F147D8">
        <w:rPr>
          <w:b/>
          <w:bCs/>
          <w:szCs w:val="24"/>
        </w:rPr>
        <w:t>LIETUVOS RESPUBLIKOS</w:t>
      </w:r>
    </w:p>
    <w:p w:rsidR="00FE6345" w:rsidRPr="00F147D8" w:rsidRDefault="00FE6345" w:rsidP="00F147D8">
      <w:pPr>
        <w:jc w:val="center"/>
        <w:rPr>
          <w:szCs w:val="24"/>
        </w:rPr>
      </w:pPr>
      <w:r w:rsidRPr="00F147D8">
        <w:rPr>
          <w:b/>
          <w:bCs/>
          <w:szCs w:val="24"/>
        </w:rPr>
        <w:t xml:space="preserve">LIETUVOS BANKO ĮSTATYMO NR. I-678 </w:t>
      </w:r>
      <w:r w:rsidR="008A6E1D">
        <w:rPr>
          <w:b/>
          <w:bCs/>
          <w:szCs w:val="24"/>
        </w:rPr>
        <w:t xml:space="preserve">11, </w:t>
      </w:r>
      <w:r w:rsidRPr="00F147D8">
        <w:rPr>
          <w:b/>
          <w:bCs/>
          <w:szCs w:val="24"/>
        </w:rPr>
        <w:t>42</w:t>
      </w:r>
      <w:r w:rsidR="00C26089">
        <w:rPr>
          <w:b/>
          <w:bCs/>
          <w:szCs w:val="24"/>
        </w:rPr>
        <w:t xml:space="preserve">, </w:t>
      </w:r>
      <w:r w:rsidR="00CF1D9A">
        <w:rPr>
          <w:b/>
          <w:bCs/>
          <w:szCs w:val="24"/>
        </w:rPr>
        <w:t>43,</w:t>
      </w:r>
      <w:r w:rsidR="003F5C06">
        <w:rPr>
          <w:b/>
          <w:bCs/>
          <w:szCs w:val="24"/>
        </w:rPr>
        <w:t xml:space="preserve"> 43</w:t>
      </w:r>
      <w:r w:rsidR="003F5C06">
        <w:rPr>
          <w:b/>
          <w:bCs/>
          <w:szCs w:val="24"/>
          <w:vertAlign w:val="superscript"/>
        </w:rPr>
        <w:t>1</w:t>
      </w:r>
      <w:r w:rsidR="003F5C06">
        <w:rPr>
          <w:b/>
          <w:bCs/>
          <w:szCs w:val="24"/>
        </w:rPr>
        <w:t>, 43</w:t>
      </w:r>
      <w:r w:rsidR="003F5C06">
        <w:rPr>
          <w:b/>
          <w:bCs/>
          <w:szCs w:val="24"/>
          <w:vertAlign w:val="superscript"/>
        </w:rPr>
        <w:t>2</w:t>
      </w:r>
      <w:r w:rsidR="003F5C06">
        <w:rPr>
          <w:b/>
          <w:bCs/>
          <w:szCs w:val="24"/>
        </w:rPr>
        <w:t xml:space="preserve">, </w:t>
      </w:r>
      <w:r w:rsidR="00EA0DC6">
        <w:rPr>
          <w:b/>
          <w:bCs/>
          <w:szCs w:val="24"/>
        </w:rPr>
        <w:t>43</w:t>
      </w:r>
      <w:r w:rsidR="00EA0DC6">
        <w:rPr>
          <w:b/>
          <w:bCs/>
          <w:szCs w:val="24"/>
          <w:vertAlign w:val="superscript"/>
        </w:rPr>
        <w:t>3</w:t>
      </w:r>
      <w:r w:rsidR="00EA0DC6">
        <w:rPr>
          <w:b/>
          <w:bCs/>
          <w:szCs w:val="24"/>
        </w:rPr>
        <w:t xml:space="preserve">, </w:t>
      </w:r>
      <w:r w:rsidR="00C26089" w:rsidRPr="00C26089">
        <w:rPr>
          <w:b/>
          <w:bCs/>
          <w:szCs w:val="24"/>
        </w:rPr>
        <w:t>43</w:t>
      </w:r>
      <w:r w:rsidR="00C26089" w:rsidRPr="00C26089">
        <w:rPr>
          <w:b/>
          <w:bCs/>
          <w:szCs w:val="24"/>
          <w:vertAlign w:val="superscript"/>
        </w:rPr>
        <w:t>7</w:t>
      </w:r>
      <w:r w:rsidR="00C26089">
        <w:rPr>
          <w:b/>
          <w:bCs/>
          <w:szCs w:val="24"/>
        </w:rPr>
        <w:t xml:space="preserve"> STRAIPSNIŲ</w:t>
      </w:r>
      <w:r w:rsidR="00E94A1D">
        <w:rPr>
          <w:b/>
          <w:bCs/>
          <w:szCs w:val="24"/>
        </w:rPr>
        <w:t xml:space="preserve"> </w:t>
      </w:r>
      <w:r w:rsidRPr="00F147D8">
        <w:rPr>
          <w:b/>
          <w:bCs/>
          <w:szCs w:val="24"/>
        </w:rPr>
        <w:t xml:space="preserve">IR </w:t>
      </w:r>
      <w:r w:rsidR="00E94A1D">
        <w:rPr>
          <w:b/>
          <w:bCs/>
          <w:szCs w:val="24"/>
        </w:rPr>
        <w:t xml:space="preserve">1, </w:t>
      </w:r>
      <w:r w:rsidRPr="00F147D8">
        <w:rPr>
          <w:b/>
          <w:bCs/>
          <w:szCs w:val="24"/>
        </w:rPr>
        <w:t xml:space="preserve">3 PRIEDŲ PAKEITIMO </w:t>
      </w:r>
    </w:p>
    <w:p w:rsidR="002705BE" w:rsidRPr="00F147D8" w:rsidRDefault="00FE6345" w:rsidP="00F147D8">
      <w:pPr>
        <w:jc w:val="center"/>
        <w:rPr>
          <w:caps/>
          <w:szCs w:val="24"/>
        </w:rPr>
      </w:pPr>
      <w:r w:rsidRPr="00F147D8">
        <w:rPr>
          <w:b/>
          <w:bCs/>
          <w:szCs w:val="24"/>
        </w:rPr>
        <w:t>ĮSTATYMAS</w:t>
      </w:r>
    </w:p>
    <w:p w:rsidR="00464210" w:rsidRDefault="00464210" w:rsidP="00464210">
      <w:pPr>
        <w:pStyle w:val="tactin"/>
        <w:spacing w:after="0"/>
        <w:jc w:val="center"/>
        <w:rPr>
          <w:color w:val="000000"/>
        </w:rPr>
      </w:pPr>
    </w:p>
    <w:p w:rsidR="00464210" w:rsidRPr="008C768C" w:rsidRDefault="00464210" w:rsidP="00464210">
      <w:pPr>
        <w:pStyle w:val="tactin"/>
        <w:spacing w:after="0"/>
        <w:jc w:val="center"/>
        <w:rPr>
          <w:color w:val="000000"/>
        </w:rPr>
      </w:pPr>
      <w:r w:rsidRPr="008C768C">
        <w:rPr>
          <w:color w:val="000000"/>
        </w:rPr>
        <w:t xml:space="preserve">2021 m.            d. Nr. </w:t>
      </w:r>
    </w:p>
    <w:p w:rsidR="00464210" w:rsidRPr="008C768C" w:rsidRDefault="00464210" w:rsidP="00464210">
      <w:pPr>
        <w:pStyle w:val="tactin"/>
        <w:spacing w:after="0"/>
        <w:jc w:val="center"/>
        <w:rPr>
          <w:color w:val="000000"/>
        </w:rPr>
      </w:pPr>
      <w:r w:rsidRPr="008C768C">
        <w:rPr>
          <w:color w:val="000000"/>
        </w:rPr>
        <w:t>Vilnius</w:t>
      </w:r>
    </w:p>
    <w:p w:rsidR="002705BE" w:rsidRPr="00F147D8" w:rsidRDefault="002705BE" w:rsidP="00F147D8">
      <w:pPr>
        <w:rPr>
          <w:b/>
          <w:caps/>
          <w:szCs w:val="24"/>
        </w:rPr>
      </w:pPr>
    </w:p>
    <w:p w:rsidR="008A6E1D" w:rsidRDefault="00FE6345" w:rsidP="00160A7D">
      <w:pPr>
        <w:tabs>
          <w:tab w:val="left" w:pos="993"/>
        </w:tabs>
        <w:ind w:firstLine="720"/>
        <w:jc w:val="both"/>
        <w:rPr>
          <w:b/>
          <w:color w:val="000000"/>
          <w:szCs w:val="24"/>
        </w:rPr>
      </w:pPr>
      <w:r w:rsidRPr="00F147D8">
        <w:rPr>
          <w:b/>
          <w:color w:val="000000"/>
          <w:szCs w:val="24"/>
        </w:rPr>
        <w:t xml:space="preserve">1 straipsnis. </w:t>
      </w:r>
      <w:r w:rsidR="008A6E1D">
        <w:rPr>
          <w:b/>
          <w:color w:val="000000"/>
          <w:szCs w:val="24"/>
        </w:rPr>
        <w:t>11 straipsnio pakeitimas</w:t>
      </w:r>
    </w:p>
    <w:p w:rsidR="008A6E1D" w:rsidRPr="008A6E1D" w:rsidRDefault="008A6E1D" w:rsidP="00160A7D">
      <w:pPr>
        <w:tabs>
          <w:tab w:val="left" w:pos="993"/>
        </w:tabs>
        <w:ind w:firstLine="720"/>
        <w:jc w:val="both"/>
        <w:rPr>
          <w:bCs/>
          <w:color w:val="000000"/>
          <w:szCs w:val="24"/>
        </w:rPr>
      </w:pPr>
      <w:r w:rsidRPr="008A6E1D">
        <w:rPr>
          <w:bCs/>
          <w:color w:val="000000"/>
          <w:szCs w:val="24"/>
        </w:rPr>
        <w:t>Pakeisti 11 straipsnio 1 dalies 18 punktą ir jį išdėstyti taip:</w:t>
      </w:r>
    </w:p>
    <w:p w:rsidR="008A6E1D" w:rsidRPr="008A6E1D" w:rsidRDefault="008A6E1D" w:rsidP="00160A7D">
      <w:pPr>
        <w:tabs>
          <w:tab w:val="left" w:pos="993"/>
        </w:tabs>
        <w:ind w:firstLine="720"/>
        <w:jc w:val="both"/>
        <w:rPr>
          <w:color w:val="000000"/>
          <w:szCs w:val="24"/>
        </w:rPr>
      </w:pPr>
      <w:r w:rsidRPr="008A6E1D">
        <w:rPr>
          <w:color w:val="000000"/>
          <w:szCs w:val="24"/>
        </w:rPr>
        <w:t xml:space="preserve">„18) sprendžia klausimus dėl finansų rinką reglamentuojančiuose įstatymuose </w:t>
      </w:r>
      <w:r w:rsidRPr="008A6E1D">
        <w:rPr>
          <w:b/>
          <w:bCs/>
          <w:color w:val="000000"/>
          <w:szCs w:val="24"/>
        </w:rPr>
        <w:t>ir Europos Sąjungos teisės aktuose</w:t>
      </w:r>
      <w:r w:rsidRPr="008A6E1D">
        <w:rPr>
          <w:color w:val="000000"/>
          <w:szCs w:val="24"/>
        </w:rPr>
        <w:t xml:space="preserve"> nustatytų licencijų, leidimų, sutikimų, pritarimų, neprieštaravimų išdavimo, jų galiojimo sustabdymo, galiojimo sustabdymo panaikinimo ir atšaukimo (galiojimo panaikinimo);“</w:t>
      </w:r>
      <w:r w:rsidR="00D4303F">
        <w:rPr>
          <w:color w:val="000000"/>
          <w:szCs w:val="24"/>
        </w:rPr>
        <w:t>.</w:t>
      </w:r>
    </w:p>
    <w:p w:rsidR="008A6E1D" w:rsidRDefault="008A6E1D" w:rsidP="00160A7D">
      <w:pPr>
        <w:tabs>
          <w:tab w:val="left" w:pos="993"/>
        </w:tabs>
        <w:ind w:firstLine="720"/>
        <w:jc w:val="both"/>
        <w:rPr>
          <w:b/>
          <w:color w:val="000000"/>
          <w:szCs w:val="24"/>
        </w:rPr>
      </w:pPr>
    </w:p>
    <w:p w:rsidR="00FE6345" w:rsidRPr="00F147D8" w:rsidRDefault="008A6E1D" w:rsidP="00160A7D">
      <w:pPr>
        <w:tabs>
          <w:tab w:val="left" w:pos="993"/>
        </w:tabs>
        <w:ind w:firstLine="720"/>
        <w:jc w:val="both"/>
        <w:rPr>
          <w:b/>
          <w:bCs/>
          <w:color w:val="000000"/>
          <w:szCs w:val="24"/>
        </w:rPr>
      </w:pPr>
      <w:r>
        <w:rPr>
          <w:b/>
          <w:bCs/>
          <w:color w:val="000000"/>
          <w:szCs w:val="24"/>
        </w:rPr>
        <w:t xml:space="preserve">2 straipsnis. </w:t>
      </w:r>
      <w:r w:rsidR="00FE6345" w:rsidRPr="00464210">
        <w:rPr>
          <w:b/>
          <w:bCs/>
          <w:color w:val="000000"/>
          <w:szCs w:val="24"/>
        </w:rPr>
        <w:t>42</w:t>
      </w:r>
      <w:r w:rsidR="00FE6345" w:rsidRPr="00F147D8">
        <w:rPr>
          <w:b/>
          <w:bCs/>
          <w:color w:val="000000"/>
          <w:szCs w:val="24"/>
        </w:rPr>
        <w:t xml:space="preserve"> straipsnio pakeitimas</w:t>
      </w:r>
    </w:p>
    <w:p w:rsidR="006872AF" w:rsidRPr="006872AF" w:rsidRDefault="006872AF" w:rsidP="00160A7D">
      <w:pPr>
        <w:pStyle w:val="Sraopastraipa"/>
        <w:numPr>
          <w:ilvl w:val="0"/>
          <w:numId w:val="1"/>
        </w:numPr>
        <w:tabs>
          <w:tab w:val="left" w:pos="993"/>
        </w:tabs>
        <w:ind w:left="0" w:firstLine="720"/>
        <w:jc w:val="both"/>
        <w:rPr>
          <w:bCs/>
          <w:color w:val="000000"/>
          <w:szCs w:val="24"/>
        </w:rPr>
      </w:pPr>
      <w:r w:rsidRPr="006872AF">
        <w:rPr>
          <w:bCs/>
          <w:color w:val="000000"/>
          <w:szCs w:val="24"/>
        </w:rPr>
        <w:t>Pakeisti 42 straipsnio 1 dalį ir ją išdėstyti taip:</w:t>
      </w:r>
    </w:p>
    <w:p w:rsidR="006872AF" w:rsidRDefault="006872AF" w:rsidP="00160A7D">
      <w:pPr>
        <w:tabs>
          <w:tab w:val="left" w:pos="993"/>
        </w:tabs>
        <w:ind w:firstLine="720"/>
        <w:jc w:val="both"/>
        <w:rPr>
          <w:bCs/>
          <w:color w:val="000000"/>
          <w:szCs w:val="24"/>
        </w:rPr>
      </w:pPr>
      <w:r>
        <w:rPr>
          <w:bCs/>
          <w:color w:val="000000"/>
          <w:szCs w:val="24"/>
        </w:rPr>
        <w:t>„</w:t>
      </w:r>
      <w:r w:rsidRPr="006872AF">
        <w:rPr>
          <w:bCs/>
          <w:color w:val="000000"/>
          <w:szCs w:val="24"/>
        </w:rPr>
        <w:t>1.</w:t>
      </w:r>
      <w:r w:rsidR="00D4303F">
        <w:rPr>
          <w:bCs/>
          <w:color w:val="000000"/>
          <w:szCs w:val="24"/>
        </w:rPr>
        <w:t xml:space="preserve"> </w:t>
      </w:r>
      <w:r w:rsidRPr="006872AF">
        <w:rPr>
          <w:bCs/>
          <w:color w:val="000000"/>
          <w:szCs w:val="24"/>
        </w:rPr>
        <w:t>Prižiūrimi finansų rinkos dalyviai yra: bankai, užsienio valstybių bankų filialai, įsteigti Lietuvos Respublikoje, centrinės kredito unijos, kredito unijos, draudimo įmonės, perdraudimo įmonės, užsienio valstybių draudimo ir perdraudimo įmonių filialai, įsteigti Lietuvos Respublikoje, draudimo brokerių įmonės ir užsienio valstybių draudimo ir perdraudimo tarpininkų filialai, įsteigti Lietuvos Respublikoje, elektroninių pinigų įstaigos, elektroninių pinigų įstaigų tarpininkai ir užsienio valstybių elektroninių pinigų įstaigų filialai, įsteigti Lietuvos Respublikoje, finansų maklerio įmonės, finansų maklerio įmonės priklausomi tarpininkai, finansų patarėjo įmonės, reguliuojamos rinkos operatoriai, informacijos apie sandorius paslaugų teikėjai, lyginamojo indekso administratoriai, prižiūrimi duomenų tiekėjai, valdymo įmonės, investicinės bendrovės, depozitoriumai, užsienio valstybių finansų maklerio įmonės ir valdymo įmonių filialai, įsteigti Lietuvos Respublikoje, profesinių pensijų asociacijos (toliau – pensijų asociacijos), kontroliuojančiosios investicinės bendrovės</w:t>
      </w:r>
      <w:r w:rsidRPr="006872AF">
        <w:rPr>
          <w:b/>
          <w:bCs/>
          <w:color w:val="000000"/>
          <w:szCs w:val="24"/>
        </w:rPr>
        <w:t>, investicinės kontroliuojančiosios bendrovės,</w:t>
      </w:r>
      <w:r>
        <w:rPr>
          <w:bCs/>
          <w:color w:val="000000"/>
          <w:szCs w:val="24"/>
        </w:rPr>
        <w:t xml:space="preserve"> </w:t>
      </w:r>
      <w:r>
        <w:rPr>
          <w:b/>
          <w:bCs/>
          <w:color w:val="000000"/>
          <w:szCs w:val="24"/>
        </w:rPr>
        <w:t>mišrią veiklą vykdančios kontroliuojančios</w:t>
      </w:r>
      <w:r w:rsidR="00D4303F">
        <w:rPr>
          <w:b/>
          <w:bCs/>
          <w:color w:val="000000"/>
          <w:szCs w:val="24"/>
        </w:rPr>
        <w:t>ios</w:t>
      </w:r>
      <w:r>
        <w:rPr>
          <w:b/>
          <w:bCs/>
          <w:color w:val="000000"/>
          <w:szCs w:val="24"/>
        </w:rPr>
        <w:t xml:space="preserve"> bendrovės</w:t>
      </w:r>
      <w:r w:rsidRPr="006872AF">
        <w:rPr>
          <w:bCs/>
          <w:color w:val="000000"/>
          <w:szCs w:val="24"/>
        </w:rPr>
        <w:t xml:space="preserve"> ir emitentai, mokėjimo įstaigos ir mokėjimo įstaigų tarpininkai, vartojimo kredito davėjai, vartojimo kredito tarpininkai, kredito davėjai, tarpusavio skolinimo platformos operatoriai ir kredito tarpininkai, sutelktinio finansavimo platformų operatoriai</w:t>
      </w:r>
      <w:r w:rsidR="00FB2818" w:rsidRPr="00FB2818">
        <w:rPr>
          <w:b/>
          <w:bCs/>
          <w:color w:val="000000"/>
          <w:szCs w:val="24"/>
        </w:rPr>
        <w:t xml:space="preserve"> </w:t>
      </w:r>
      <w:r w:rsidR="00FB2818" w:rsidRPr="00211DDC">
        <w:rPr>
          <w:b/>
          <w:bCs/>
          <w:color w:val="000000"/>
          <w:szCs w:val="24"/>
        </w:rPr>
        <w:t>arba sutelktinio finansavimo paslaugų teikėjai</w:t>
      </w:r>
      <w:r w:rsidRPr="006872AF">
        <w:rPr>
          <w:bCs/>
          <w:color w:val="000000"/>
          <w:szCs w:val="24"/>
        </w:rPr>
        <w:t>, mokėjimo</w:t>
      </w:r>
      <w:r w:rsidR="001C1721">
        <w:rPr>
          <w:bCs/>
          <w:color w:val="000000"/>
          <w:szCs w:val="24"/>
        </w:rPr>
        <w:t xml:space="preserve"> ir</w:t>
      </w:r>
      <w:r w:rsidRPr="006872AF">
        <w:rPr>
          <w:bCs/>
          <w:color w:val="000000"/>
          <w:szCs w:val="24"/>
        </w:rPr>
        <w:t xml:space="preserve"> vertybinių popierių atsiskaitymo sistemų operatoriai, nacionalinės plėtros įstaigos</w:t>
      </w:r>
      <w:r w:rsidR="00FB2818">
        <w:rPr>
          <w:bCs/>
          <w:color w:val="000000"/>
          <w:szCs w:val="24"/>
        </w:rPr>
        <w:t>,</w:t>
      </w:r>
      <w:r w:rsidRPr="006872AF">
        <w:rPr>
          <w:bCs/>
          <w:color w:val="000000"/>
          <w:szCs w:val="24"/>
        </w:rPr>
        <w:t xml:space="preserve"> valiutos keityklų operatoriai</w:t>
      </w:r>
      <w:r w:rsidR="00FB2818">
        <w:rPr>
          <w:bCs/>
          <w:color w:val="000000"/>
          <w:szCs w:val="24"/>
        </w:rPr>
        <w:t>,</w:t>
      </w:r>
      <w:r w:rsidR="00FB2818" w:rsidRPr="00FB2818">
        <w:rPr>
          <w:b/>
          <w:bCs/>
          <w:color w:val="000000"/>
          <w:szCs w:val="24"/>
        </w:rPr>
        <w:t xml:space="preserve"> </w:t>
      </w:r>
      <w:r w:rsidR="00FB2818" w:rsidRPr="00211DDC">
        <w:rPr>
          <w:b/>
          <w:bCs/>
          <w:color w:val="000000"/>
          <w:szCs w:val="24"/>
        </w:rPr>
        <w:t>mišrios veiklos finansų kontroliuojančiosios įmonės, įsteigtos Lietuvos Respublikoje, finansų kontroliuojančiosios bendrovės, įsteigtos Lietuvos Respublikoje</w:t>
      </w:r>
      <w:r w:rsidRPr="006872AF">
        <w:rPr>
          <w:bCs/>
          <w:color w:val="000000"/>
          <w:szCs w:val="24"/>
        </w:rPr>
        <w:t>.</w:t>
      </w:r>
      <w:r w:rsidR="00D4303F">
        <w:rPr>
          <w:bCs/>
          <w:color w:val="000000"/>
          <w:szCs w:val="24"/>
        </w:rPr>
        <w:t>“</w:t>
      </w:r>
    </w:p>
    <w:p w:rsidR="00EE2A11" w:rsidRPr="00EE2A11" w:rsidRDefault="00EE2A11" w:rsidP="00EE2A11">
      <w:pPr>
        <w:pStyle w:val="Sraopastraipa"/>
        <w:numPr>
          <w:ilvl w:val="0"/>
          <w:numId w:val="1"/>
        </w:numPr>
        <w:rPr>
          <w:bCs/>
          <w:color w:val="000000"/>
          <w:szCs w:val="24"/>
        </w:rPr>
      </w:pPr>
      <w:r w:rsidRPr="00EE2A11">
        <w:rPr>
          <w:bCs/>
          <w:color w:val="000000"/>
          <w:szCs w:val="24"/>
        </w:rPr>
        <w:t>Pakeisti 42 straipsnio 1 dalį ir ją išdėstyti taip:</w:t>
      </w:r>
    </w:p>
    <w:p w:rsidR="00EE2A11" w:rsidRPr="00EE2A11" w:rsidRDefault="00EE2A11" w:rsidP="00EE2A11">
      <w:pPr>
        <w:tabs>
          <w:tab w:val="left" w:pos="993"/>
        </w:tabs>
        <w:ind w:firstLine="720"/>
        <w:jc w:val="both"/>
        <w:rPr>
          <w:bCs/>
          <w:color w:val="000000"/>
          <w:szCs w:val="24"/>
        </w:rPr>
      </w:pPr>
      <w:r w:rsidRPr="00EE2A11">
        <w:rPr>
          <w:bCs/>
          <w:color w:val="000000"/>
          <w:szCs w:val="24"/>
        </w:rPr>
        <w:t xml:space="preserve">„1. Prižiūrimi finansų rinkos dalyviai yra: bankai, užsienio valstybių bankų filialai, įsteigti Lietuvos Respublikoje, centrinės kredito unijos, kredito unijos, draudimo įmonės, perdraudimo įmonės, užsienio valstybių draudimo ir perdraudimo įmonių filialai, įsteigti Lietuvos Respublikoje, draudimo brokerių įmonės ir užsienio valstybių draudimo ir perdraudimo tarpininkų filialai, įsteigti Lietuvos Respublikoje, elektroninių pinigų įstaigos, elektroninių pinigų įstaigų tarpininkai ir užsienio valstybių elektroninių pinigų įstaigų filialai, įsteigti Lietuvos Respublikoje, finansų maklerio įmonės, finansų maklerio įmonės priklausomi tarpininkai, finansų patarėjo įmonės, reguliuojamos rinkos operatoriai, informacijos apie sandorius paslaugų teikėjai, lyginamojo indekso administratoriai, prižiūrimi duomenų tiekėjai, valdymo įmonės, investicinės bendrovės, depozitoriumai, užsienio valstybių finansų maklerio įmonės ir valdymo įmonių filialai, įsteigti Lietuvos Respublikoje, pensijų asociacijos, pensijų </w:t>
      </w:r>
      <w:r w:rsidRPr="00EE2A11">
        <w:rPr>
          <w:bCs/>
          <w:color w:val="000000"/>
          <w:szCs w:val="24"/>
        </w:rPr>
        <w:lastRenderedPageBreak/>
        <w:t>anuitetų mokėtojas, kontroliuojančiosios investicinės bendrovės, investicinės kontroliuojančiosios bendrovės, mišrią veiklą vykdančios kontroliuojančios</w:t>
      </w:r>
      <w:r w:rsidR="0076423F">
        <w:rPr>
          <w:bCs/>
          <w:color w:val="000000"/>
          <w:szCs w:val="24"/>
        </w:rPr>
        <w:t>ios</w:t>
      </w:r>
      <w:r w:rsidRPr="00EE2A11">
        <w:rPr>
          <w:bCs/>
          <w:color w:val="000000"/>
          <w:szCs w:val="24"/>
        </w:rPr>
        <w:t xml:space="preserve"> bendrovės ir emitentai, mokėjimo įstaigos ir mokėjimo įstaigų tarpininkai, vartojimo kredito davėjai, vartojimo kredito tarpininkai, kredito davėjai, tarpusavio skolinimo platformos operatoriai ir kredito tarpininkai, </w:t>
      </w:r>
      <w:r w:rsidRPr="0045311D">
        <w:rPr>
          <w:bCs/>
          <w:strike/>
          <w:color w:val="000000"/>
          <w:szCs w:val="24"/>
        </w:rPr>
        <w:t>sutelktinio finansavimo</w:t>
      </w:r>
      <w:r w:rsidRPr="00EE2A11">
        <w:rPr>
          <w:bCs/>
          <w:color w:val="000000"/>
          <w:szCs w:val="24"/>
        </w:rPr>
        <w:t xml:space="preserve"> </w:t>
      </w:r>
      <w:r w:rsidRPr="00EE2A11">
        <w:rPr>
          <w:bCs/>
          <w:strike/>
          <w:color w:val="000000"/>
          <w:szCs w:val="24"/>
        </w:rPr>
        <w:t>platformų operatoriai</w:t>
      </w:r>
      <w:r w:rsidRPr="0045311D">
        <w:rPr>
          <w:bCs/>
          <w:strike/>
          <w:color w:val="000000"/>
          <w:szCs w:val="24"/>
        </w:rPr>
        <w:t xml:space="preserve"> </w:t>
      </w:r>
      <w:r w:rsidR="002D7371" w:rsidRPr="0045311D">
        <w:rPr>
          <w:bCs/>
          <w:strike/>
          <w:color w:val="000000"/>
          <w:szCs w:val="24"/>
        </w:rPr>
        <w:t>arba</w:t>
      </w:r>
      <w:r w:rsidR="002D7371">
        <w:rPr>
          <w:bCs/>
          <w:color w:val="000000"/>
          <w:szCs w:val="24"/>
        </w:rPr>
        <w:t xml:space="preserve"> sutelktinio finansavimo </w:t>
      </w:r>
      <w:r w:rsidRPr="0045311D">
        <w:rPr>
          <w:bCs/>
          <w:color w:val="000000"/>
          <w:szCs w:val="24"/>
        </w:rPr>
        <w:t>paslaugų teikėjai</w:t>
      </w:r>
      <w:r w:rsidRPr="002D7371">
        <w:rPr>
          <w:bCs/>
          <w:color w:val="000000"/>
          <w:szCs w:val="24"/>
        </w:rPr>
        <w:t>,</w:t>
      </w:r>
      <w:r w:rsidRPr="00EE2A11">
        <w:rPr>
          <w:bCs/>
          <w:color w:val="000000"/>
          <w:szCs w:val="24"/>
        </w:rPr>
        <w:t xml:space="preserve"> mokėjimo ir vertybinių popierių atsiskaitymo sistemų operatoriai, </w:t>
      </w:r>
      <w:r w:rsidR="004A325C">
        <w:rPr>
          <w:bCs/>
          <w:color w:val="000000"/>
          <w:szCs w:val="24"/>
        </w:rPr>
        <w:t>nacionalinės plėtros įstaigos,</w:t>
      </w:r>
      <w:r w:rsidRPr="00EE2A11">
        <w:rPr>
          <w:bCs/>
          <w:color w:val="000000"/>
          <w:szCs w:val="24"/>
        </w:rPr>
        <w:t xml:space="preserve"> valiutos keityklų operatoriai</w:t>
      </w:r>
      <w:r w:rsidR="004A325C" w:rsidRPr="004A325C">
        <w:rPr>
          <w:bCs/>
          <w:color w:val="000000"/>
          <w:szCs w:val="24"/>
        </w:rPr>
        <w:t>, mišrios veiklos finansų kontroliuojančiosios įmonės, įsteigtos Lietuvos Respublikoje, finansų kontroliuojančiosios bendrovės, įsteigtos Lietuvos Respublikoje</w:t>
      </w:r>
      <w:r w:rsidRPr="00EE2A11">
        <w:rPr>
          <w:bCs/>
          <w:color w:val="000000"/>
          <w:szCs w:val="24"/>
        </w:rPr>
        <w:t>.“</w:t>
      </w:r>
    </w:p>
    <w:p w:rsidR="00CE381D" w:rsidRDefault="00FB2818" w:rsidP="00EE2A11">
      <w:pPr>
        <w:pStyle w:val="Sraopastraipa"/>
        <w:numPr>
          <w:ilvl w:val="0"/>
          <w:numId w:val="1"/>
        </w:numPr>
        <w:tabs>
          <w:tab w:val="left" w:pos="993"/>
        </w:tabs>
        <w:jc w:val="both"/>
        <w:rPr>
          <w:bCs/>
          <w:color w:val="000000"/>
          <w:szCs w:val="24"/>
        </w:rPr>
      </w:pPr>
      <w:r>
        <w:rPr>
          <w:bCs/>
          <w:color w:val="000000"/>
          <w:szCs w:val="24"/>
        </w:rPr>
        <w:t xml:space="preserve"> </w:t>
      </w:r>
      <w:r w:rsidR="00CE381D">
        <w:rPr>
          <w:bCs/>
          <w:color w:val="000000"/>
          <w:szCs w:val="24"/>
        </w:rPr>
        <w:t>Pakeisti 42 straipsnio 2 dalies 4 punktą ir jį išdėstyti taip:</w:t>
      </w:r>
    </w:p>
    <w:p w:rsidR="00CE381D" w:rsidRPr="00CE381D" w:rsidRDefault="00CE381D" w:rsidP="00160A7D">
      <w:pPr>
        <w:tabs>
          <w:tab w:val="left" w:pos="993"/>
        </w:tabs>
        <w:ind w:firstLine="720"/>
        <w:jc w:val="both"/>
        <w:rPr>
          <w:bCs/>
          <w:color w:val="000000"/>
          <w:szCs w:val="24"/>
        </w:rPr>
      </w:pPr>
      <w:r>
        <w:rPr>
          <w:bCs/>
          <w:color w:val="000000"/>
          <w:szCs w:val="24"/>
        </w:rPr>
        <w:t>„</w:t>
      </w:r>
      <w:r w:rsidRPr="00CE381D">
        <w:rPr>
          <w:bCs/>
          <w:color w:val="000000"/>
          <w:szCs w:val="24"/>
        </w:rPr>
        <w:t>4) atlieka finansų maklerio įmonių, finansų maklerio įmonės priklausomų tarpininkų, finansų patarėjo įmonių, reguliuojamų rinkų operatorių, informacijos apie sandorius paslaugų teikėjų, lyginamojo indekso administratorių, prižiūrimų duomenų tiekėjų, valdymo įmonių, investicinių bendrovių, centrinių vertybinių popierių depozitoriumų, užsienio valstybių centrinių vertybinių popierių depozitoriumų filialų, įsteigtų Lietuvos Respublikoje, depozitoriumų, užsienio valstybių finansų maklerio įmonių ir valdymo įmonių filialų, įsteigtų Lietuvos Respublikoje, pensijų asociacijų, kontroliuojančiųjų investicinių bendrovių</w:t>
      </w:r>
      <w:r w:rsidRPr="00CE381D">
        <w:rPr>
          <w:b/>
          <w:bCs/>
          <w:color w:val="000000"/>
          <w:szCs w:val="24"/>
        </w:rPr>
        <w:t xml:space="preserve">, </w:t>
      </w:r>
      <w:r>
        <w:rPr>
          <w:b/>
          <w:bCs/>
          <w:color w:val="000000"/>
          <w:szCs w:val="24"/>
        </w:rPr>
        <w:t>investicinių kontroliuojančiųjų bendrovių, mišrią veiklą vykdančių</w:t>
      </w:r>
      <w:r w:rsidRPr="00CE381D">
        <w:rPr>
          <w:b/>
          <w:bCs/>
          <w:color w:val="000000"/>
          <w:szCs w:val="24"/>
        </w:rPr>
        <w:t xml:space="preserve"> kontroliuoj</w:t>
      </w:r>
      <w:r>
        <w:rPr>
          <w:b/>
          <w:bCs/>
          <w:color w:val="000000"/>
          <w:szCs w:val="24"/>
        </w:rPr>
        <w:t>ančių</w:t>
      </w:r>
      <w:r w:rsidR="00D4303F">
        <w:rPr>
          <w:b/>
          <w:bCs/>
          <w:color w:val="000000"/>
          <w:szCs w:val="24"/>
        </w:rPr>
        <w:t>jų</w:t>
      </w:r>
      <w:r>
        <w:rPr>
          <w:b/>
          <w:bCs/>
          <w:color w:val="000000"/>
          <w:szCs w:val="24"/>
        </w:rPr>
        <w:t xml:space="preserve"> bendrovių</w:t>
      </w:r>
      <w:r w:rsidRPr="00CE381D">
        <w:rPr>
          <w:bCs/>
          <w:color w:val="000000"/>
          <w:szCs w:val="24"/>
        </w:rPr>
        <w:t xml:space="preserve"> ir emitentų priežiūrą ir kitas Lietuvos Respublikos finansinių priemonių rinkų įstatymo, Lietuvos Respublikos vertybinių popierių įstatymo, Lietuvos Respublikos kolektyvinio investavimo subjektų įstatymo, Lietuvos Respublikos informuotiesiems investuotojams skirtų kolektyvinio investavimo subjektų įstatymo, Lietuvos Respublikos alternatyviųjų kolektyvinio investavimo subjektų valdytojų įstatymo, Lietuvos Respublikos papildomo savanoriško pensijų kaupimo įstatymo, Lietuvos Respublikos pensijų kaupimo įstatymo, Lietuvos Respublikos profesinių pensijų kaupimo įstatymo, Lietuvos Respublikos kontroliuojančiųjų investicinių bendrovių įstatymo Lietuvos bankui priskirtas funkcijas;“</w:t>
      </w:r>
      <w:r w:rsidR="00D4303F">
        <w:rPr>
          <w:bCs/>
          <w:color w:val="000000"/>
          <w:szCs w:val="24"/>
        </w:rPr>
        <w:t>.</w:t>
      </w:r>
    </w:p>
    <w:p w:rsidR="00FE6345" w:rsidRPr="00F147D8" w:rsidRDefault="00FB2818" w:rsidP="000F4C97">
      <w:pPr>
        <w:tabs>
          <w:tab w:val="left" w:pos="993"/>
        </w:tabs>
        <w:ind w:firstLine="720"/>
        <w:jc w:val="both"/>
        <w:rPr>
          <w:b/>
          <w:bCs/>
          <w:color w:val="000000"/>
          <w:szCs w:val="24"/>
        </w:rPr>
      </w:pPr>
      <w:r>
        <w:rPr>
          <w:color w:val="000000"/>
          <w:szCs w:val="24"/>
        </w:rPr>
        <w:t>4</w:t>
      </w:r>
      <w:r w:rsidR="00FE6345" w:rsidRPr="00464210">
        <w:rPr>
          <w:color w:val="000000"/>
          <w:szCs w:val="24"/>
        </w:rPr>
        <w:t>.</w:t>
      </w:r>
      <w:r w:rsidR="00FE6345" w:rsidRPr="00464210">
        <w:rPr>
          <w:bCs/>
          <w:color w:val="000000"/>
          <w:szCs w:val="24"/>
        </w:rPr>
        <w:t xml:space="preserve"> Pakeisti 42 straipsnio 2 dalies 11 punk</w:t>
      </w:r>
      <w:r w:rsidR="00FE6345" w:rsidRPr="00F147D8">
        <w:rPr>
          <w:bCs/>
          <w:color w:val="000000"/>
          <w:szCs w:val="24"/>
        </w:rPr>
        <w:t>tą ir jį išdėstyti taip:</w:t>
      </w:r>
    </w:p>
    <w:p w:rsidR="00FE6345" w:rsidRPr="00464210" w:rsidRDefault="00FE6345" w:rsidP="00160A7D">
      <w:pPr>
        <w:tabs>
          <w:tab w:val="left" w:pos="993"/>
        </w:tabs>
        <w:ind w:firstLine="720"/>
        <w:jc w:val="both"/>
        <w:rPr>
          <w:color w:val="000000"/>
          <w:szCs w:val="24"/>
        </w:rPr>
      </w:pPr>
      <w:r w:rsidRPr="00F147D8">
        <w:rPr>
          <w:bCs/>
          <w:color w:val="000000"/>
          <w:szCs w:val="24"/>
        </w:rPr>
        <w:t>„</w:t>
      </w:r>
      <w:r w:rsidRPr="00464210">
        <w:rPr>
          <w:color w:val="000000"/>
          <w:szCs w:val="24"/>
        </w:rPr>
        <w:t>11</w:t>
      </w:r>
      <w:r w:rsidR="007237CB">
        <w:rPr>
          <w:color w:val="000000"/>
          <w:szCs w:val="24"/>
        </w:rPr>
        <w:t>)</w:t>
      </w:r>
      <w:r w:rsidR="00D40024" w:rsidRPr="00D40024">
        <w:rPr>
          <w:sz w:val="22"/>
          <w:szCs w:val="22"/>
        </w:rPr>
        <w:t xml:space="preserve"> </w:t>
      </w:r>
      <w:r w:rsidR="00D40024" w:rsidRPr="00D40024">
        <w:rPr>
          <w:color w:val="000000"/>
          <w:szCs w:val="24"/>
        </w:rPr>
        <w:t>atlieka sutelktinio finansavimo platformos operatorių priežiūrą ir kitas Lietuvos Respublikos sutelktinio finansavimo įstatymo Lietuvos bankui priskirtas funkcijas</w:t>
      </w:r>
      <w:r w:rsidR="00D833D1">
        <w:rPr>
          <w:color w:val="000000"/>
          <w:szCs w:val="24"/>
        </w:rPr>
        <w:t>,</w:t>
      </w:r>
      <w:r w:rsidRPr="00464210">
        <w:rPr>
          <w:color w:val="000000"/>
          <w:szCs w:val="24"/>
        </w:rPr>
        <w:t xml:space="preserve"> </w:t>
      </w:r>
      <w:r w:rsidR="008A6E1D">
        <w:rPr>
          <w:b/>
          <w:color w:val="000000"/>
          <w:szCs w:val="24"/>
        </w:rPr>
        <w:t>taip pat</w:t>
      </w:r>
      <w:r w:rsidRPr="00464210">
        <w:rPr>
          <w:b/>
          <w:color w:val="000000"/>
          <w:szCs w:val="24"/>
        </w:rPr>
        <w:t xml:space="preserve"> atlieka sutelktinio finansavimo paslaugų teikėjų priežiūrą ir kitas</w:t>
      </w:r>
      <w:r w:rsidRPr="00464210">
        <w:rPr>
          <w:color w:val="000000"/>
          <w:szCs w:val="24"/>
        </w:rPr>
        <w:t xml:space="preserve"> </w:t>
      </w:r>
      <w:r w:rsidR="00160A7D">
        <w:rPr>
          <w:b/>
          <w:color w:val="000000"/>
          <w:szCs w:val="24"/>
        </w:rPr>
        <w:t>R</w:t>
      </w:r>
      <w:r w:rsidRPr="00464210">
        <w:rPr>
          <w:b/>
          <w:color w:val="000000"/>
          <w:szCs w:val="24"/>
        </w:rPr>
        <w:t xml:space="preserve">eglamento </w:t>
      </w:r>
      <w:r w:rsidRPr="00464210">
        <w:rPr>
          <w:b/>
          <w:bCs/>
          <w:color w:val="000000"/>
          <w:szCs w:val="24"/>
        </w:rPr>
        <w:t>(ES) 2020/1503</w:t>
      </w:r>
      <w:r w:rsidRPr="00464210">
        <w:rPr>
          <w:b/>
          <w:color w:val="000000"/>
          <w:szCs w:val="24"/>
        </w:rPr>
        <w:t xml:space="preserve"> kompete</w:t>
      </w:r>
      <w:r w:rsidR="00F147D8">
        <w:rPr>
          <w:b/>
          <w:color w:val="000000"/>
          <w:szCs w:val="24"/>
        </w:rPr>
        <w:t>n</w:t>
      </w:r>
      <w:r w:rsidRPr="00464210">
        <w:rPr>
          <w:b/>
          <w:color w:val="000000"/>
          <w:szCs w:val="24"/>
        </w:rPr>
        <w:t>tingai institucijai priskirtas funkcijas</w:t>
      </w:r>
      <w:r w:rsidR="007237CB">
        <w:rPr>
          <w:b/>
          <w:color w:val="000000"/>
          <w:szCs w:val="24"/>
        </w:rPr>
        <w:t>;</w:t>
      </w:r>
      <w:r w:rsidRPr="00464210">
        <w:rPr>
          <w:color w:val="000000"/>
          <w:szCs w:val="24"/>
        </w:rPr>
        <w:t>“</w:t>
      </w:r>
      <w:r w:rsidR="007237CB">
        <w:rPr>
          <w:color w:val="000000"/>
          <w:szCs w:val="24"/>
        </w:rPr>
        <w:t>.</w:t>
      </w:r>
    </w:p>
    <w:p w:rsidR="00FE6345" w:rsidRPr="00F147D8" w:rsidRDefault="00FB2818" w:rsidP="00160A7D">
      <w:pPr>
        <w:tabs>
          <w:tab w:val="left" w:pos="993"/>
        </w:tabs>
        <w:ind w:firstLine="720"/>
        <w:jc w:val="both"/>
        <w:rPr>
          <w:b/>
          <w:bCs/>
          <w:color w:val="000000"/>
          <w:szCs w:val="24"/>
        </w:rPr>
      </w:pPr>
      <w:r>
        <w:rPr>
          <w:color w:val="000000"/>
          <w:szCs w:val="24"/>
        </w:rPr>
        <w:t>5</w:t>
      </w:r>
      <w:r w:rsidR="00FE6345" w:rsidRPr="00464210">
        <w:rPr>
          <w:color w:val="000000"/>
          <w:szCs w:val="24"/>
        </w:rPr>
        <w:t>.</w:t>
      </w:r>
      <w:r w:rsidR="00FE6345" w:rsidRPr="00464210">
        <w:rPr>
          <w:bCs/>
          <w:color w:val="000000"/>
          <w:szCs w:val="24"/>
        </w:rPr>
        <w:t xml:space="preserve"> Pakeisti 42 straipsnio 2 dalies 11 punk</w:t>
      </w:r>
      <w:r w:rsidR="00FE6345" w:rsidRPr="00F147D8">
        <w:rPr>
          <w:bCs/>
          <w:color w:val="000000"/>
          <w:szCs w:val="24"/>
        </w:rPr>
        <w:t>tą ir jį išdėstyti taip:</w:t>
      </w:r>
    </w:p>
    <w:p w:rsidR="00FE6345" w:rsidRDefault="00FE6345" w:rsidP="000D730E">
      <w:pPr>
        <w:tabs>
          <w:tab w:val="left" w:pos="993"/>
        </w:tabs>
        <w:ind w:firstLine="720"/>
        <w:jc w:val="both"/>
        <w:rPr>
          <w:color w:val="000000"/>
          <w:szCs w:val="24"/>
        </w:rPr>
      </w:pPr>
      <w:r w:rsidRPr="00F147D8">
        <w:rPr>
          <w:bCs/>
          <w:color w:val="000000"/>
          <w:szCs w:val="24"/>
        </w:rPr>
        <w:t>„</w:t>
      </w:r>
      <w:r w:rsidRPr="00464210">
        <w:rPr>
          <w:color w:val="000000"/>
          <w:szCs w:val="24"/>
        </w:rPr>
        <w:t xml:space="preserve">11) </w:t>
      </w:r>
      <w:r w:rsidR="00D40024" w:rsidRPr="00D40024">
        <w:rPr>
          <w:strike/>
          <w:color w:val="000000"/>
          <w:szCs w:val="24"/>
        </w:rPr>
        <w:t>atlieka sutelktinio finansavimo platformos operatorių priežiūrą ir kitas Lietuvos Respublikos sutelktinio finansavimo įstatymo Lietuvos bankui priskirtas funkcijas</w:t>
      </w:r>
      <w:r w:rsidR="000D730E">
        <w:rPr>
          <w:strike/>
          <w:color w:val="000000"/>
          <w:szCs w:val="24"/>
        </w:rPr>
        <w:t xml:space="preserve">, taip pat </w:t>
      </w:r>
      <w:r w:rsidR="000D730E" w:rsidRPr="00160A7D">
        <w:rPr>
          <w:color w:val="000000"/>
          <w:szCs w:val="24"/>
        </w:rPr>
        <w:t>atlieka</w:t>
      </w:r>
      <w:r w:rsidR="000D730E">
        <w:rPr>
          <w:color w:val="000000"/>
          <w:szCs w:val="24"/>
        </w:rPr>
        <w:t xml:space="preserve"> sutelktinio finansavimo paslaugų teikėjų priežiūrą ir kitas </w:t>
      </w:r>
      <w:r w:rsidR="00160A7D">
        <w:rPr>
          <w:color w:val="000000"/>
          <w:szCs w:val="24"/>
        </w:rPr>
        <w:t>R</w:t>
      </w:r>
      <w:r w:rsidRPr="00160A7D">
        <w:rPr>
          <w:color w:val="000000"/>
          <w:szCs w:val="24"/>
        </w:rPr>
        <w:t xml:space="preserve">eglamento </w:t>
      </w:r>
      <w:r w:rsidRPr="00160A7D">
        <w:rPr>
          <w:bCs/>
          <w:color w:val="000000"/>
          <w:szCs w:val="24"/>
        </w:rPr>
        <w:t>(ES) 2020/1503</w:t>
      </w:r>
      <w:r w:rsidR="000F4C97">
        <w:rPr>
          <w:b/>
          <w:color w:val="000000"/>
          <w:szCs w:val="24"/>
        </w:rPr>
        <w:t xml:space="preserve"> </w:t>
      </w:r>
      <w:r w:rsidR="00447330" w:rsidRPr="00160A7D">
        <w:rPr>
          <w:color w:val="000000"/>
          <w:szCs w:val="24"/>
        </w:rPr>
        <w:t>kompetentingai institucijai priskirtas fu</w:t>
      </w:r>
      <w:r w:rsidR="00447330">
        <w:rPr>
          <w:color w:val="000000"/>
          <w:szCs w:val="24"/>
        </w:rPr>
        <w:t>n</w:t>
      </w:r>
      <w:r w:rsidR="00447330" w:rsidRPr="00160A7D">
        <w:rPr>
          <w:color w:val="000000"/>
          <w:szCs w:val="24"/>
        </w:rPr>
        <w:t>kcijas</w:t>
      </w:r>
      <w:r w:rsidR="007237CB">
        <w:rPr>
          <w:color w:val="000000"/>
          <w:szCs w:val="24"/>
        </w:rPr>
        <w:t>;</w:t>
      </w:r>
      <w:r w:rsidRPr="00464210">
        <w:rPr>
          <w:color w:val="000000"/>
          <w:szCs w:val="24"/>
        </w:rPr>
        <w:t>“</w:t>
      </w:r>
      <w:r w:rsidR="007237CB">
        <w:rPr>
          <w:color w:val="000000"/>
          <w:szCs w:val="24"/>
        </w:rPr>
        <w:t>.</w:t>
      </w:r>
    </w:p>
    <w:p w:rsidR="00477BD8" w:rsidRDefault="00FB2818" w:rsidP="00447330">
      <w:pPr>
        <w:tabs>
          <w:tab w:val="left" w:pos="993"/>
        </w:tabs>
        <w:ind w:firstLine="720"/>
        <w:jc w:val="both"/>
        <w:rPr>
          <w:color w:val="000000"/>
          <w:szCs w:val="24"/>
        </w:rPr>
      </w:pPr>
      <w:r>
        <w:rPr>
          <w:color w:val="000000"/>
          <w:szCs w:val="24"/>
        </w:rPr>
        <w:t>6</w:t>
      </w:r>
      <w:r w:rsidR="00447330" w:rsidRPr="00447330">
        <w:rPr>
          <w:color w:val="000000"/>
          <w:szCs w:val="24"/>
        </w:rPr>
        <w:t>.</w:t>
      </w:r>
      <w:r w:rsidR="00477BD8">
        <w:rPr>
          <w:color w:val="000000"/>
          <w:szCs w:val="24"/>
        </w:rPr>
        <w:t xml:space="preserve"> Pakeisti 42 straipsnio 4 dalies 5 punktą ir jį išdėstyti taip:</w:t>
      </w:r>
    </w:p>
    <w:p w:rsidR="00477BD8" w:rsidRDefault="00477BD8" w:rsidP="00447330">
      <w:pPr>
        <w:tabs>
          <w:tab w:val="left" w:pos="993"/>
        </w:tabs>
        <w:ind w:firstLine="720"/>
        <w:jc w:val="both"/>
        <w:rPr>
          <w:color w:val="000000"/>
          <w:szCs w:val="24"/>
        </w:rPr>
      </w:pPr>
      <w:r w:rsidRPr="00477BD8">
        <w:rPr>
          <w:color w:val="000000"/>
          <w:szCs w:val="24"/>
        </w:rPr>
        <w:t xml:space="preserve">5) raštu atkreipti prižiūrimų finansų rinkos dalyvių ir kitų asmenų dėmesį į pažeidimus ir jų veiklos trūkumus, už kuriuos netaikytini įstatymų </w:t>
      </w:r>
      <w:r w:rsidRPr="00477BD8">
        <w:rPr>
          <w:b/>
          <w:color w:val="000000"/>
          <w:szCs w:val="24"/>
        </w:rPr>
        <w:t>ir Europos Sąjungos teisės aktų</w:t>
      </w:r>
      <w:r>
        <w:rPr>
          <w:color w:val="000000"/>
          <w:szCs w:val="24"/>
        </w:rPr>
        <w:t xml:space="preserve"> </w:t>
      </w:r>
      <w:r w:rsidRPr="00477BD8">
        <w:rPr>
          <w:color w:val="000000"/>
          <w:szCs w:val="24"/>
        </w:rPr>
        <w:t>nustatyti privalomi nurodymai ar poveikio priemonės, ir siūlyti imtis priemonių, kad būtų pašalinti pažeidimai, trūkumai, jų priežastys ir sąlygos;</w:t>
      </w:r>
      <w:r>
        <w:rPr>
          <w:color w:val="000000"/>
          <w:szCs w:val="24"/>
        </w:rPr>
        <w:t>“.</w:t>
      </w:r>
    </w:p>
    <w:p w:rsidR="00447330" w:rsidRPr="00447330" w:rsidRDefault="00FB2818" w:rsidP="00447330">
      <w:pPr>
        <w:tabs>
          <w:tab w:val="left" w:pos="993"/>
        </w:tabs>
        <w:ind w:firstLine="720"/>
        <w:jc w:val="both"/>
        <w:rPr>
          <w:color w:val="000000"/>
          <w:szCs w:val="24"/>
        </w:rPr>
      </w:pPr>
      <w:r>
        <w:rPr>
          <w:color w:val="000000"/>
          <w:szCs w:val="24"/>
        </w:rPr>
        <w:t>7</w:t>
      </w:r>
      <w:r w:rsidR="00477BD8">
        <w:rPr>
          <w:color w:val="000000"/>
          <w:szCs w:val="24"/>
        </w:rPr>
        <w:t>.</w:t>
      </w:r>
      <w:r w:rsidR="00447330" w:rsidRPr="00447330">
        <w:rPr>
          <w:color w:val="000000"/>
          <w:szCs w:val="24"/>
        </w:rPr>
        <w:t xml:space="preserve"> Pakeisti 42 straipsnio 4 dalies 6 punktą ir jį išdėstyti taip:</w:t>
      </w:r>
    </w:p>
    <w:p w:rsidR="00447330" w:rsidRPr="00464210" w:rsidRDefault="00447330" w:rsidP="00447330">
      <w:pPr>
        <w:tabs>
          <w:tab w:val="left" w:pos="993"/>
        </w:tabs>
        <w:ind w:firstLine="720"/>
        <w:jc w:val="both"/>
        <w:rPr>
          <w:color w:val="000000"/>
          <w:szCs w:val="24"/>
        </w:rPr>
      </w:pPr>
      <w:r w:rsidRPr="00447330">
        <w:rPr>
          <w:color w:val="000000"/>
          <w:szCs w:val="24"/>
        </w:rPr>
        <w:t xml:space="preserve">„6) šiame ir kituose finansų rinką reglamentuojančiuose įstatymuose </w:t>
      </w:r>
      <w:r w:rsidRPr="00447330">
        <w:rPr>
          <w:b/>
          <w:color w:val="000000"/>
          <w:szCs w:val="24"/>
        </w:rPr>
        <w:t xml:space="preserve">ir Europos Sąjungos teisės aktuose </w:t>
      </w:r>
      <w:r w:rsidRPr="00447330">
        <w:rPr>
          <w:color w:val="000000"/>
          <w:szCs w:val="24"/>
        </w:rPr>
        <w:t xml:space="preserve">nustatytais atvejais ir tvarka duoti privalomus nurodymus prižiūrimiems finansų rinkos dalyviams </w:t>
      </w:r>
      <w:r w:rsidRPr="00447330">
        <w:rPr>
          <w:b/>
          <w:color w:val="000000"/>
          <w:szCs w:val="24"/>
        </w:rPr>
        <w:t>ir kitiems asmenims</w:t>
      </w:r>
      <w:r w:rsidRPr="00447330">
        <w:rPr>
          <w:color w:val="000000"/>
          <w:szCs w:val="24"/>
        </w:rPr>
        <w:t>;“</w:t>
      </w:r>
      <w:r w:rsidR="00ED2698">
        <w:rPr>
          <w:color w:val="000000"/>
          <w:szCs w:val="24"/>
        </w:rPr>
        <w:t>.</w:t>
      </w:r>
    </w:p>
    <w:p w:rsidR="00FE6345" w:rsidRPr="00F147D8" w:rsidRDefault="00FE6345" w:rsidP="00160A7D">
      <w:pPr>
        <w:tabs>
          <w:tab w:val="left" w:pos="993"/>
        </w:tabs>
        <w:ind w:firstLine="720"/>
        <w:jc w:val="both"/>
        <w:rPr>
          <w:b/>
          <w:bCs/>
          <w:color w:val="000000"/>
          <w:szCs w:val="24"/>
        </w:rPr>
      </w:pPr>
    </w:p>
    <w:p w:rsidR="00CF1D9A" w:rsidRDefault="003F5C06" w:rsidP="00160A7D">
      <w:pPr>
        <w:tabs>
          <w:tab w:val="left" w:pos="993"/>
        </w:tabs>
        <w:ind w:firstLine="720"/>
        <w:jc w:val="both"/>
        <w:rPr>
          <w:b/>
          <w:bCs/>
          <w:color w:val="000000"/>
          <w:szCs w:val="24"/>
        </w:rPr>
      </w:pPr>
      <w:r>
        <w:rPr>
          <w:b/>
          <w:bCs/>
          <w:color w:val="000000"/>
          <w:szCs w:val="24"/>
        </w:rPr>
        <w:t>3</w:t>
      </w:r>
      <w:r w:rsidR="00FE6345" w:rsidRPr="00464210">
        <w:rPr>
          <w:b/>
          <w:bCs/>
          <w:color w:val="000000"/>
          <w:szCs w:val="24"/>
        </w:rPr>
        <w:t xml:space="preserve"> straipsnis. </w:t>
      </w:r>
      <w:r w:rsidR="00CF1D9A">
        <w:rPr>
          <w:b/>
          <w:bCs/>
          <w:color w:val="000000"/>
          <w:szCs w:val="24"/>
        </w:rPr>
        <w:t>43 straipsnio pakeitimas</w:t>
      </w:r>
    </w:p>
    <w:p w:rsidR="00CF1D9A" w:rsidRPr="00CF1D9A" w:rsidRDefault="00CF1D9A" w:rsidP="00160A7D">
      <w:pPr>
        <w:pStyle w:val="Sraopastraipa"/>
        <w:numPr>
          <w:ilvl w:val="0"/>
          <w:numId w:val="2"/>
        </w:numPr>
        <w:tabs>
          <w:tab w:val="left" w:pos="993"/>
        </w:tabs>
        <w:ind w:left="0" w:firstLine="720"/>
        <w:jc w:val="both"/>
        <w:rPr>
          <w:bCs/>
          <w:color w:val="000000"/>
          <w:szCs w:val="24"/>
        </w:rPr>
      </w:pPr>
      <w:r w:rsidRPr="00CF1D9A">
        <w:rPr>
          <w:bCs/>
          <w:color w:val="000000"/>
          <w:szCs w:val="24"/>
        </w:rPr>
        <w:t>Pakeisti 43 straipsnio 7 dalies 5 punktą ir jį išdėstyti taip:</w:t>
      </w:r>
    </w:p>
    <w:p w:rsidR="00CF1D9A" w:rsidRDefault="00CF1D9A" w:rsidP="00160A7D">
      <w:pPr>
        <w:tabs>
          <w:tab w:val="left" w:pos="993"/>
        </w:tabs>
        <w:ind w:firstLine="720"/>
        <w:jc w:val="both"/>
        <w:rPr>
          <w:bCs/>
          <w:color w:val="000000"/>
          <w:szCs w:val="24"/>
        </w:rPr>
      </w:pPr>
      <w:r>
        <w:rPr>
          <w:bCs/>
          <w:color w:val="000000"/>
          <w:szCs w:val="24"/>
        </w:rPr>
        <w:t>„</w:t>
      </w:r>
      <w:r w:rsidRPr="00CF1D9A">
        <w:rPr>
          <w:bCs/>
          <w:color w:val="000000"/>
          <w:szCs w:val="24"/>
        </w:rPr>
        <w:t xml:space="preserve">5) </w:t>
      </w:r>
      <w:r w:rsidRPr="00CF1D9A">
        <w:rPr>
          <w:b/>
          <w:bCs/>
          <w:color w:val="000000"/>
          <w:szCs w:val="24"/>
        </w:rPr>
        <w:t>Europos Komisijai,</w:t>
      </w:r>
      <w:r>
        <w:rPr>
          <w:bCs/>
          <w:color w:val="000000"/>
          <w:szCs w:val="24"/>
        </w:rPr>
        <w:t xml:space="preserve"> </w:t>
      </w:r>
      <w:r w:rsidRPr="00CF1D9A">
        <w:rPr>
          <w:bCs/>
          <w:color w:val="000000"/>
          <w:szCs w:val="24"/>
        </w:rPr>
        <w:t>užsienio valstybių kredito įstaigų ir kitų finansinių paslaugų teikimo veiklos, draudimo veiklos ir finansų rinkų priežiūros institucijoms, jeigu ji reikalinga priežiūros funkcijai atlikti, taip pat Europos centriniam bankui, kai pagal Reglamento (ES) Nr.</w:t>
      </w:r>
      <w:r w:rsidR="00B6157E">
        <w:rPr>
          <w:bCs/>
          <w:color w:val="000000"/>
          <w:szCs w:val="24"/>
        </w:rPr>
        <w:t> </w:t>
      </w:r>
      <w:r w:rsidRPr="00CF1D9A">
        <w:rPr>
          <w:bCs/>
          <w:color w:val="000000"/>
          <w:szCs w:val="24"/>
        </w:rPr>
        <w:t>1024/2013 nuostatas finansų rinkos priežiūros funkciją atlieka Europos centrinis bankas;</w:t>
      </w:r>
      <w:r>
        <w:rPr>
          <w:bCs/>
          <w:color w:val="000000"/>
          <w:szCs w:val="24"/>
        </w:rPr>
        <w:t>“</w:t>
      </w:r>
      <w:r w:rsidR="00D833D1">
        <w:rPr>
          <w:bCs/>
          <w:color w:val="000000"/>
          <w:szCs w:val="24"/>
        </w:rPr>
        <w:t>.</w:t>
      </w:r>
    </w:p>
    <w:p w:rsidR="00CF1D9A" w:rsidRDefault="00CF1D9A" w:rsidP="00160A7D">
      <w:pPr>
        <w:pStyle w:val="Sraopastraipa"/>
        <w:numPr>
          <w:ilvl w:val="0"/>
          <w:numId w:val="2"/>
        </w:numPr>
        <w:tabs>
          <w:tab w:val="left" w:pos="993"/>
        </w:tabs>
        <w:ind w:left="0" w:firstLine="720"/>
        <w:jc w:val="both"/>
        <w:rPr>
          <w:bCs/>
          <w:color w:val="000000"/>
          <w:szCs w:val="24"/>
        </w:rPr>
      </w:pPr>
      <w:r>
        <w:rPr>
          <w:bCs/>
          <w:color w:val="000000"/>
          <w:szCs w:val="24"/>
        </w:rPr>
        <w:lastRenderedPageBreak/>
        <w:t>Pakeisti 43 straipsnio 7 dalies 6 punktą ir jį išdėstyti taip:</w:t>
      </w:r>
    </w:p>
    <w:p w:rsidR="00CF1D9A" w:rsidRPr="00CF1D9A" w:rsidRDefault="00CF1D9A" w:rsidP="00160A7D">
      <w:pPr>
        <w:tabs>
          <w:tab w:val="left" w:pos="993"/>
        </w:tabs>
        <w:ind w:firstLine="720"/>
        <w:jc w:val="both"/>
        <w:rPr>
          <w:bCs/>
          <w:color w:val="000000"/>
          <w:szCs w:val="24"/>
        </w:rPr>
      </w:pPr>
      <w:r>
        <w:rPr>
          <w:bCs/>
          <w:color w:val="000000"/>
          <w:szCs w:val="24"/>
        </w:rPr>
        <w:t>„</w:t>
      </w:r>
      <w:r w:rsidRPr="00CF1D9A">
        <w:rPr>
          <w:bCs/>
          <w:color w:val="000000"/>
          <w:szCs w:val="24"/>
        </w:rPr>
        <w:t xml:space="preserve">6) </w:t>
      </w:r>
      <w:r w:rsidRPr="00CF1D9A">
        <w:rPr>
          <w:b/>
          <w:bCs/>
          <w:color w:val="000000"/>
          <w:szCs w:val="24"/>
        </w:rPr>
        <w:t>Europos bankininkystės institucijai, Europos vertybinių popierių ir rinkų institucijai, Europos sisteminės rizikos valdybai,</w:t>
      </w:r>
      <w:r w:rsidRPr="00CF1D9A">
        <w:rPr>
          <w:bCs/>
          <w:color w:val="000000"/>
          <w:szCs w:val="24"/>
        </w:rPr>
        <w:t xml:space="preserve"> </w:t>
      </w:r>
      <w:r w:rsidRPr="00CF1D9A">
        <w:rPr>
          <w:b/>
          <w:bCs/>
          <w:color w:val="000000"/>
          <w:szCs w:val="24"/>
        </w:rPr>
        <w:t xml:space="preserve">Europos </w:t>
      </w:r>
      <w:r w:rsidR="00D833D1">
        <w:rPr>
          <w:b/>
          <w:bCs/>
          <w:color w:val="000000"/>
          <w:szCs w:val="24"/>
        </w:rPr>
        <w:t>C</w:t>
      </w:r>
      <w:r w:rsidRPr="00CF1D9A">
        <w:rPr>
          <w:b/>
          <w:bCs/>
          <w:color w:val="000000"/>
          <w:szCs w:val="24"/>
        </w:rPr>
        <w:t xml:space="preserve">entriniam </w:t>
      </w:r>
      <w:r w:rsidR="00D833D1">
        <w:rPr>
          <w:b/>
          <w:bCs/>
          <w:color w:val="000000"/>
          <w:szCs w:val="24"/>
        </w:rPr>
        <w:t>B</w:t>
      </w:r>
      <w:r w:rsidRPr="00CF1D9A">
        <w:rPr>
          <w:b/>
          <w:bCs/>
          <w:color w:val="000000"/>
          <w:szCs w:val="24"/>
        </w:rPr>
        <w:t>ankui,</w:t>
      </w:r>
      <w:r w:rsidRPr="00CF1D9A">
        <w:rPr>
          <w:bCs/>
          <w:color w:val="000000"/>
          <w:szCs w:val="24"/>
        </w:rPr>
        <w:t xml:space="preserve"> Europos centrinių bankų </w:t>
      </w:r>
      <w:r w:rsidRPr="00CF1D9A">
        <w:rPr>
          <w:b/>
          <w:bCs/>
          <w:color w:val="000000"/>
          <w:szCs w:val="24"/>
        </w:rPr>
        <w:t>sistemai</w:t>
      </w:r>
      <w:r w:rsidRPr="00CF1D9A">
        <w:rPr>
          <w:bCs/>
          <w:color w:val="000000"/>
          <w:szCs w:val="24"/>
        </w:rPr>
        <w:t xml:space="preserve"> </w:t>
      </w:r>
      <w:r w:rsidRPr="00CF1D9A">
        <w:rPr>
          <w:bCs/>
          <w:strike/>
          <w:color w:val="000000"/>
          <w:szCs w:val="24"/>
        </w:rPr>
        <w:t>sistemos centriniams bankams</w:t>
      </w:r>
      <w:r w:rsidRPr="00CF1D9A">
        <w:rPr>
          <w:b/>
          <w:bCs/>
          <w:color w:val="000000"/>
          <w:szCs w:val="24"/>
        </w:rPr>
        <w:t>, valstybių narių centriniams bankams</w:t>
      </w:r>
      <w:r w:rsidRPr="00CF1D9A">
        <w:rPr>
          <w:bCs/>
          <w:color w:val="000000"/>
          <w:szCs w:val="24"/>
        </w:rPr>
        <w:t xml:space="preserve"> ir kitoms panašias funkcijas atliekančioms institucijoms, jeigu ji reikalinga teisės aktuose nustatytoms jų funkcijoms, įskaitant pinigų politikos vykdymą ir likvidumo užtikrinimą, mokėjimo, tarpuskaitos ir atsiskaitymo sistemų priežiūrą ir finansinės sistemos stabilumo užtikrinimą, atlikti, o kritinėmis situacijomis – Europos centrinių bankų</w:t>
      </w:r>
      <w:r w:rsidR="00D40024">
        <w:rPr>
          <w:bCs/>
          <w:color w:val="000000"/>
          <w:szCs w:val="24"/>
        </w:rPr>
        <w:t xml:space="preserve"> </w:t>
      </w:r>
      <w:r w:rsidR="00D40024">
        <w:rPr>
          <w:b/>
          <w:bCs/>
          <w:color w:val="000000"/>
          <w:szCs w:val="24"/>
        </w:rPr>
        <w:t>sistemai</w:t>
      </w:r>
      <w:r w:rsidRPr="00CF1D9A">
        <w:rPr>
          <w:bCs/>
          <w:color w:val="000000"/>
          <w:szCs w:val="24"/>
        </w:rPr>
        <w:t xml:space="preserve"> </w:t>
      </w:r>
      <w:r w:rsidRPr="00D40024">
        <w:rPr>
          <w:bCs/>
          <w:strike/>
          <w:color w:val="000000"/>
          <w:szCs w:val="24"/>
        </w:rPr>
        <w:t>sistemos centriniams bankams</w:t>
      </w:r>
      <w:r w:rsidRPr="00CF1D9A">
        <w:rPr>
          <w:bCs/>
          <w:color w:val="000000"/>
          <w:szCs w:val="24"/>
        </w:rPr>
        <w:t xml:space="preserve"> nedelsiant;</w:t>
      </w:r>
      <w:r>
        <w:rPr>
          <w:bCs/>
          <w:color w:val="000000"/>
          <w:szCs w:val="24"/>
        </w:rPr>
        <w:t>“</w:t>
      </w:r>
      <w:r w:rsidR="00D833D1">
        <w:rPr>
          <w:bCs/>
          <w:color w:val="000000"/>
          <w:szCs w:val="24"/>
        </w:rPr>
        <w:t>.</w:t>
      </w:r>
    </w:p>
    <w:p w:rsidR="00CF1D9A" w:rsidRDefault="00CF1D9A" w:rsidP="00160A7D">
      <w:pPr>
        <w:tabs>
          <w:tab w:val="left" w:pos="993"/>
        </w:tabs>
        <w:ind w:firstLine="720"/>
        <w:jc w:val="both"/>
        <w:rPr>
          <w:b/>
          <w:bCs/>
          <w:color w:val="000000"/>
          <w:szCs w:val="24"/>
        </w:rPr>
      </w:pPr>
    </w:p>
    <w:p w:rsidR="003F5C06" w:rsidRDefault="00447330" w:rsidP="00160A7D">
      <w:pPr>
        <w:tabs>
          <w:tab w:val="left" w:pos="993"/>
        </w:tabs>
        <w:ind w:firstLine="720"/>
        <w:jc w:val="both"/>
        <w:rPr>
          <w:b/>
          <w:bCs/>
          <w:color w:val="000000"/>
          <w:szCs w:val="24"/>
        </w:rPr>
      </w:pPr>
      <w:r>
        <w:rPr>
          <w:b/>
          <w:bCs/>
          <w:color w:val="000000"/>
          <w:szCs w:val="24"/>
        </w:rPr>
        <w:t>4</w:t>
      </w:r>
      <w:r w:rsidR="00CF1D9A">
        <w:rPr>
          <w:b/>
          <w:bCs/>
          <w:color w:val="000000"/>
          <w:szCs w:val="24"/>
        </w:rPr>
        <w:t xml:space="preserve"> straipsnis. </w:t>
      </w:r>
      <w:r w:rsidR="003F5C06">
        <w:rPr>
          <w:b/>
          <w:bCs/>
          <w:color w:val="000000"/>
          <w:szCs w:val="24"/>
        </w:rPr>
        <w:t>43</w:t>
      </w:r>
      <w:r w:rsidR="003F5C06">
        <w:rPr>
          <w:b/>
          <w:bCs/>
          <w:color w:val="000000"/>
          <w:szCs w:val="24"/>
          <w:vertAlign w:val="superscript"/>
        </w:rPr>
        <w:t>1</w:t>
      </w:r>
      <w:r w:rsidR="003F5C06">
        <w:rPr>
          <w:b/>
          <w:bCs/>
          <w:color w:val="000000"/>
          <w:szCs w:val="24"/>
        </w:rPr>
        <w:t xml:space="preserve"> straipsnio pakeitimas</w:t>
      </w:r>
    </w:p>
    <w:p w:rsidR="00FB2818" w:rsidRPr="005237FF" w:rsidRDefault="00FB2818" w:rsidP="00FB2818">
      <w:pPr>
        <w:tabs>
          <w:tab w:val="left" w:pos="993"/>
        </w:tabs>
        <w:ind w:firstLine="720"/>
        <w:jc w:val="both"/>
        <w:rPr>
          <w:bCs/>
          <w:color w:val="000000"/>
          <w:szCs w:val="24"/>
        </w:rPr>
      </w:pPr>
      <w:r w:rsidRPr="005237FF">
        <w:rPr>
          <w:bCs/>
          <w:color w:val="000000"/>
          <w:szCs w:val="24"/>
        </w:rPr>
        <w:t>Pakeisti 43</w:t>
      </w:r>
      <w:r w:rsidRPr="005237FF">
        <w:rPr>
          <w:bCs/>
          <w:color w:val="000000"/>
          <w:szCs w:val="24"/>
          <w:vertAlign w:val="superscript"/>
        </w:rPr>
        <w:t xml:space="preserve">1 </w:t>
      </w:r>
      <w:r w:rsidRPr="005237FF">
        <w:rPr>
          <w:bCs/>
          <w:color w:val="000000"/>
          <w:szCs w:val="24"/>
        </w:rPr>
        <w:t>straipsnį ir jį išdėstyti taip:</w:t>
      </w:r>
    </w:p>
    <w:p w:rsidR="00FB2818" w:rsidRDefault="00FB2818" w:rsidP="00FB2818">
      <w:pPr>
        <w:tabs>
          <w:tab w:val="left" w:pos="993"/>
        </w:tabs>
        <w:ind w:firstLine="720"/>
        <w:jc w:val="both"/>
        <w:rPr>
          <w:b/>
          <w:bCs/>
          <w:color w:val="000000"/>
          <w:szCs w:val="24"/>
        </w:rPr>
      </w:pPr>
      <w:r w:rsidRPr="00D26F1E">
        <w:rPr>
          <w:bCs/>
          <w:color w:val="000000"/>
          <w:szCs w:val="24"/>
        </w:rPr>
        <w:t>„</w:t>
      </w:r>
      <w:r w:rsidRPr="00AD6FB4">
        <w:rPr>
          <w:b/>
          <w:bCs/>
          <w:color w:val="000000"/>
          <w:szCs w:val="24"/>
        </w:rPr>
        <w:t>43</w:t>
      </w:r>
      <w:r w:rsidRPr="00AD6FB4">
        <w:rPr>
          <w:b/>
          <w:bCs/>
          <w:color w:val="000000"/>
          <w:szCs w:val="24"/>
          <w:vertAlign w:val="superscript"/>
        </w:rPr>
        <w:t>1</w:t>
      </w:r>
      <w:r w:rsidRPr="00AD6FB4">
        <w:rPr>
          <w:b/>
          <w:bCs/>
          <w:color w:val="000000"/>
          <w:szCs w:val="24"/>
        </w:rPr>
        <w:t xml:space="preserve"> straipsnis. Prašymų išduoti licenciją, leidimą, sutikimą arba atlikti kitus veiksmus nagrinėjimas ir Lietuvos banko sprendimai</w:t>
      </w:r>
    </w:p>
    <w:p w:rsidR="00FB2818" w:rsidRDefault="00FB2818" w:rsidP="00FB2818">
      <w:pPr>
        <w:tabs>
          <w:tab w:val="left" w:pos="993"/>
        </w:tabs>
        <w:ind w:firstLine="720"/>
        <w:jc w:val="both"/>
        <w:rPr>
          <w:b/>
          <w:bCs/>
          <w:color w:val="000000"/>
          <w:szCs w:val="24"/>
        </w:rPr>
      </w:pPr>
      <w:r w:rsidRPr="00AD6FB4">
        <w:rPr>
          <w:b/>
          <w:bCs/>
          <w:color w:val="000000"/>
          <w:szCs w:val="24"/>
        </w:rPr>
        <w:t>1. Prašymų išduoti finansų rinką reglamentuojančiuose teisės aktuose ir Europos Sąjungos teisės aktuose nustatytas licencijas, leidimus, sutikimus, pritarimus arba atlikti kitus veiksmus (toliau visi kartu šiame straipsnyje – leidimai) pateikimo, nagrinėjimo ir leidimų išdavimo sąlygas ir tvarką bei detalius pateikiamų dokumentų reikalavimus nustato Reglamentas (ES) Nr. 1024/2013, finansų rinką reglamentuojantys įstatymai, Europos Sąjungos teisės aktai ir j</w:t>
      </w:r>
      <w:r>
        <w:rPr>
          <w:b/>
          <w:bCs/>
          <w:color w:val="000000"/>
          <w:szCs w:val="24"/>
        </w:rPr>
        <w:t>ų įgyvendinamieji teisės aktai.</w:t>
      </w:r>
    </w:p>
    <w:p w:rsidR="00FB2818" w:rsidRPr="00AD6FB4" w:rsidRDefault="00FB2818" w:rsidP="00FB2818">
      <w:pPr>
        <w:tabs>
          <w:tab w:val="left" w:pos="993"/>
        </w:tabs>
        <w:ind w:firstLine="720"/>
        <w:jc w:val="both"/>
        <w:rPr>
          <w:b/>
          <w:bCs/>
          <w:color w:val="000000"/>
          <w:szCs w:val="24"/>
        </w:rPr>
      </w:pPr>
      <w:r w:rsidRPr="00AD6FB4">
        <w:rPr>
          <w:b/>
          <w:bCs/>
          <w:color w:val="000000"/>
          <w:szCs w:val="24"/>
        </w:rPr>
        <w:t>2. Prašymas išduoti leidimą išnagrinėjamas ir sprendimas priimamas per 30 dienų nuo prašymo ir visų reikalaujamų dokumentų pateikimo dienos arba per kitus finansų rinką reglamentuojančiuose įstatymuose ir Europos Sąjungos teisės aktuose nustatytus terminus. Jeigu pateikti dokumentai turi formos ar turinio trūkumų arba pateikti ne visi dokumentai ar informacija, reikalingi sprendimui priimti, Lietuvos bankas turi teisę pareikalauti pašalinti trūkumus ir (ar) pateikti trūkstamus dokumentus ar informaciją. Be to, Lietuvos bankas turi teisę pareikalauti papildomų dokumentų ir informacijos, reikalingų sprendimui priimti. Jeigu Lietuvos bankas motyvuotai pareikalauja papildomų dokumentų ir informacijos arba juos savarankiškai pateikia leidimo prašantis asmuo, prašymo išnagrinėjimo ir sprendimo priėmimo terminas, jeigu finansų rinką reglamentuojančiuose įstatymuose ir Europos Sąjungos teisės aktuose nenustatyta kitaip, skaičiuojamas nuo papildomų dokumentų</w:t>
      </w:r>
      <w:r>
        <w:rPr>
          <w:b/>
          <w:bCs/>
          <w:color w:val="000000"/>
          <w:szCs w:val="24"/>
        </w:rPr>
        <w:t xml:space="preserve"> ir informacijos gavimo dienos.</w:t>
      </w:r>
    </w:p>
    <w:p w:rsidR="00FB2818" w:rsidRDefault="00FB2818" w:rsidP="00FB2818">
      <w:pPr>
        <w:tabs>
          <w:tab w:val="left" w:pos="993"/>
        </w:tabs>
        <w:ind w:firstLine="720"/>
        <w:jc w:val="both"/>
        <w:rPr>
          <w:b/>
          <w:bCs/>
          <w:color w:val="000000"/>
          <w:szCs w:val="24"/>
        </w:rPr>
      </w:pPr>
      <w:r w:rsidRPr="00AD6FB4">
        <w:rPr>
          <w:b/>
          <w:bCs/>
          <w:color w:val="000000"/>
          <w:szCs w:val="24"/>
        </w:rPr>
        <w:t>3. Lietuvos bankas turi teisę atsisakyti išduoti leidimą, jeigu yra pakankamas pagrindas manyti, kad išdavus leidimą bus pažeidžiami prižiūrimų finansų rinkos dalyvių klientų interesai arba kils pavojus finansų sistemos stabilumui ir patikimumui ar kitiems viešiesiems interesams, taip pat jeigu yra kiti finansų rinką reglamentuojančiuose įstatymuose ir Europos Sąjungos teisės aktuose nustatyti leidimo neišdavimo pagrindai.</w:t>
      </w:r>
    </w:p>
    <w:p w:rsidR="00FB2818" w:rsidRPr="00AD6FB4" w:rsidRDefault="00FB2818" w:rsidP="00FB2818">
      <w:pPr>
        <w:tabs>
          <w:tab w:val="left" w:pos="993"/>
        </w:tabs>
        <w:ind w:firstLine="720"/>
        <w:jc w:val="both"/>
        <w:rPr>
          <w:b/>
          <w:bCs/>
          <w:color w:val="000000"/>
          <w:szCs w:val="24"/>
        </w:rPr>
      </w:pPr>
      <w:r w:rsidRPr="00AD6FB4">
        <w:rPr>
          <w:b/>
          <w:bCs/>
          <w:color w:val="000000"/>
          <w:szCs w:val="24"/>
        </w:rPr>
        <w:t>4. Apie priimtą sprendimą dėl leidimo išdavimo Lietuvos bankas ne vėliau kaip per 5 darbo dienas nuo sprendimo priėmimo dienos informuoja pareiškėjus, jeigu finansų rinką reglamentuojančiuose teisės aktuose nenustatyta kitaip. Lietuvos banko atsisakymas išduoti leidimą turi būti motyvuotas.</w:t>
      </w:r>
      <w:r w:rsidRPr="00D26F1E">
        <w:rPr>
          <w:bCs/>
          <w:color w:val="000000"/>
          <w:szCs w:val="24"/>
        </w:rPr>
        <w:t>“</w:t>
      </w:r>
    </w:p>
    <w:p w:rsidR="003F5C06" w:rsidRDefault="003F5C06" w:rsidP="00160A7D">
      <w:pPr>
        <w:tabs>
          <w:tab w:val="left" w:pos="993"/>
        </w:tabs>
        <w:ind w:firstLine="720"/>
        <w:jc w:val="both"/>
        <w:rPr>
          <w:b/>
          <w:bCs/>
          <w:color w:val="000000"/>
          <w:szCs w:val="24"/>
        </w:rPr>
      </w:pPr>
    </w:p>
    <w:p w:rsidR="003F5C06" w:rsidRDefault="00447330" w:rsidP="00160A7D">
      <w:pPr>
        <w:tabs>
          <w:tab w:val="left" w:pos="993"/>
        </w:tabs>
        <w:ind w:firstLine="720"/>
        <w:jc w:val="both"/>
        <w:rPr>
          <w:b/>
          <w:bCs/>
          <w:color w:val="000000"/>
          <w:szCs w:val="24"/>
        </w:rPr>
      </w:pPr>
      <w:r>
        <w:rPr>
          <w:b/>
          <w:bCs/>
          <w:color w:val="000000"/>
          <w:szCs w:val="24"/>
        </w:rPr>
        <w:t>5</w:t>
      </w:r>
      <w:r w:rsidR="003F5C06">
        <w:rPr>
          <w:b/>
          <w:bCs/>
          <w:color w:val="000000"/>
          <w:szCs w:val="24"/>
        </w:rPr>
        <w:t xml:space="preserve"> straipsnis. 43</w:t>
      </w:r>
      <w:r w:rsidR="003F5C06">
        <w:rPr>
          <w:b/>
          <w:bCs/>
          <w:color w:val="000000"/>
          <w:szCs w:val="24"/>
          <w:vertAlign w:val="superscript"/>
        </w:rPr>
        <w:t xml:space="preserve">2 </w:t>
      </w:r>
      <w:r w:rsidR="003F5C06">
        <w:rPr>
          <w:b/>
          <w:bCs/>
          <w:color w:val="000000"/>
          <w:szCs w:val="24"/>
        </w:rPr>
        <w:t>straipsnio pakeitimas</w:t>
      </w:r>
    </w:p>
    <w:p w:rsidR="003F5C06" w:rsidRPr="003F5C06" w:rsidRDefault="002B3AEF" w:rsidP="00160A7D">
      <w:pPr>
        <w:tabs>
          <w:tab w:val="left" w:pos="993"/>
        </w:tabs>
        <w:ind w:firstLine="720"/>
        <w:jc w:val="both"/>
        <w:rPr>
          <w:bCs/>
          <w:color w:val="000000"/>
          <w:szCs w:val="24"/>
        </w:rPr>
      </w:pPr>
      <w:r>
        <w:rPr>
          <w:bCs/>
          <w:color w:val="000000"/>
          <w:szCs w:val="24"/>
        </w:rPr>
        <w:t xml:space="preserve">1. </w:t>
      </w:r>
      <w:r w:rsidR="003F5C06" w:rsidRPr="003F5C06">
        <w:rPr>
          <w:bCs/>
          <w:color w:val="000000"/>
          <w:szCs w:val="24"/>
        </w:rPr>
        <w:t>Pakeisti 43</w:t>
      </w:r>
      <w:r w:rsidR="003F5C06" w:rsidRPr="003F5C06">
        <w:rPr>
          <w:bCs/>
          <w:color w:val="000000"/>
          <w:szCs w:val="24"/>
          <w:vertAlign w:val="superscript"/>
        </w:rPr>
        <w:t>2</w:t>
      </w:r>
      <w:r w:rsidR="003F5C06" w:rsidRPr="003F5C06">
        <w:rPr>
          <w:bCs/>
          <w:color w:val="000000"/>
          <w:szCs w:val="24"/>
        </w:rPr>
        <w:t xml:space="preserve"> straipsnio 1 dalį ir ją išdėstyti taip:</w:t>
      </w:r>
    </w:p>
    <w:p w:rsidR="003F5C06" w:rsidRDefault="003F5C06" w:rsidP="00160A7D">
      <w:pPr>
        <w:tabs>
          <w:tab w:val="left" w:pos="993"/>
        </w:tabs>
        <w:ind w:firstLine="720"/>
        <w:jc w:val="both"/>
        <w:rPr>
          <w:bCs/>
          <w:color w:val="000000"/>
          <w:szCs w:val="24"/>
        </w:rPr>
      </w:pPr>
      <w:r w:rsidRPr="003F5C06">
        <w:rPr>
          <w:bCs/>
          <w:color w:val="000000"/>
          <w:szCs w:val="24"/>
        </w:rPr>
        <w:t xml:space="preserve">„1. Lietuvos bankas duoda finansų rinką reglamentuojančiuose įstatymuose </w:t>
      </w:r>
      <w:r w:rsidRPr="003F5C06">
        <w:rPr>
          <w:b/>
          <w:bCs/>
          <w:color w:val="000000"/>
          <w:szCs w:val="24"/>
        </w:rPr>
        <w:t>ir Europos Sąjungos teisės aktuose</w:t>
      </w:r>
      <w:r w:rsidRPr="003F5C06">
        <w:rPr>
          <w:bCs/>
          <w:color w:val="000000"/>
          <w:szCs w:val="24"/>
        </w:rPr>
        <w:t xml:space="preserve"> nustatytus privalomus nurodymus, jeigu yra bent vienas iš finansų rinką reglamentuojančiuose įstatymuose </w:t>
      </w:r>
      <w:r w:rsidRPr="003F5C06">
        <w:rPr>
          <w:b/>
          <w:bCs/>
          <w:color w:val="000000"/>
          <w:szCs w:val="24"/>
        </w:rPr>
        <w:t>ar Europos Sąjungos teisės aktuose</w:t>
      </w:r>
      <w:r w:rsidRPr="003F5C06">
        <w:rPr>
          <w:bCs/>
          <w:color w:val="000000"/>
          <w:szCs w:val="24"/>
        </w:rPr>
        <w:t xml:space="preserve"> nustatytų privalomų nurodymų taikymo pagrindų.“</w:t>
      </w:r>
    </w:p>
    <w:p w:rsidR="002B3AEF" w:rsidRPr="002B3AEF" w:rsidRDefault="002B3AEF" w:rsidP="002B3AEF">
      <w:pPr>
        <w:tabs>
          <w:tab w:val="left" w:pos="993"/>
        </w:tabs>
        <w:ind w:firstLine="720"/>
        <w:jc w:val="both"/>
        <w:rPr>
          <w:bCs/>
          <w:color w:val="000000"/>
          <w:szCs w:val="24"/>
        </w:rPr>
      </w:pPr>
      <w:r>
        <w:rPr>
          <w:bCs/>
          <w:color w:val="000000"/>
          <w:szCs w:val="24"/>
        </w:rPr>
        <w:t xml:space="preserve">2. </w:t>
      </w:r>
      <w:r w:rsidRPr="002B3AEF">
        <w:rPr>
          <w:bCs/>
          <w:color w:val="000000"/>
          <w:szCs w:val="24"/>
        </w:rPr>
        <w:t>Pakeisti 43</w:t>
      </w:r>
      <w:r w:rsidRPr="002B3AEF">
        <w:rPr>
          <w:bCs/>
          <w:color w:val="000000"/>
          <w:szCs w:val="24"/>
          <w:vertAlign w:val="superscript"/>
        </w:rPr>
        <w:t>2</w:t>
      </w:r>
      <w:r w:rsidRPr="002B3AEF">
        <w:rPr>
          <w:bCs/>
          <w:color w:val="000000"/>
          <w:szCs w:val="24"/>
        </w:rPr>
        <w:t xml:space="preserve"> straipsnio </w:t>
      </w:r>
      <w:r w:rsidR="009D6D59" w:rsidRPr="00A660FE">
        <w:rPr>
          <w:bCs/>
          <w:color w:val="000000"/>
          <w:szCs w:val="24"/>
        </w:rPr>
        <w:t>7</w:t>
      </w:r>
      <w:r w:rsidR="009D6D59" w:rsidRPr="00A660FE">
        <w:rPr>
          <w:b/>
          <w:bCs/>
          <w:color w:val="000000"/>
          <w:szCs w:val="24"/>
        </w:rPr>
        <w:t xml:space="preserve"> </w:t>
      </w:r>
      <w:r w:rsidRPr="002B3AEF">
        <w:rPr>
          <w:bCs/>
          <w:color w:val="000000"/>
          <w:szCs w:val="24"/>
        </w:rPr>
        <w:t>dalį ir ją išdėstyti taip:</w:t>
      </w:r>
    </w:p>
    <w:p w:rsidR="002B3AEF" w:rsidRDefault="002B3AEF" w:rsidP="002B3AEF">
      <w:pPr>
        <w:tabs>
          <w:tab w:val="left" w:pos="993"/>
        </w:tabs>
        <w:ind w:firstLine="720"/>
        <w:jc w:val="both"/>
        <w:rPr>
          <w:bCs/>
          <w:color w:val="000000"/>
          <w:szCs w:val="24"/>
        </w:rPr>
      </w:pPr>
      <w:r w:rsidRPr="002B3AEF">
        <w:rPr>
          <w:bCs/>
          <w:color w:val="000000"/>
          <w:szCs w:val="24"/>
        </w:rPr>
        <w:t>„</w:t>
      </w:r>
      <w:r w:rsidR="009D6D59" w:rsidRPr="00A660FE">
        <w:rPr>
          <w:bCs/>
          <w:color w:val="000000"/>
          <w:szCs w:val="24"/>
        </w:rPr>
        <w:t>7</w:t>
      </w:r>
      <w:r w:rsidRPr="00A660FE">
        <w:rPr>
          <w:bCs/>
          <w:color w:val="000000"/>
          <w:szCs w:val="24"/>
        </w:rPr>
        <w:t>.</w:t>
      </w:r>
      <w:r w:rsidRPr="002B3AEF">
        <w:rPr>
          <w:bCs/>
          <w:color w:val="000000"/>
          <w:szCs w:val="24"/>
        </w:rPr>
        <w:t xml:space="preserve"> Privalomų nurodymų davimas neatima teisės Lietuvos bankui kartu taikyti ir finansų rinką reglamentuojančiuose įstatymuose </w:t>
      </w:r>
      <w:r w:rsidRPr="002B3AEF">
        <w:rPr>
          <w:b/>
          <w:bCs/>
          <w:color w:val="000000"/>
          <w:szCs w:val="24"/>
        </w:rPr>
        <w:t>ir Europos Sąjungos teisės aktuose</w:t>
      </w:r>
      <w:r w:rsidRPr="002B3AEF">
        <w:rPr>
          <w:bCs/>
          <w:color w:val="000000"/>
          <w:szCs w:val="24"/>
        </w:rPr>
        <w:t xml:space="preserve"> nustatytų poveikio priemonių.“</w:t>
      </w:r>
    </w:p>
    <w:p w:rsidR="002B3AEF" w:rsidRDefault="002B3AEF" w:rsidP="002B3AEF">
      <w:pPr>
        <w:tabs>
          <w:tab w:val="left" w:pos="993"/>
        </w:tabs>
        <w:ind w:firstLine="720"/>
        <w:jc w:val="both"/>
        <w:rPr>
          <w:bCs/>
          <w:color w:val="000000"/>
          <w:szCs w:val="24"/>
        </w:rPr>
      </w:pPr>
    </w:p>
    <w:p w:rsidR="002B3AEF" w:rsidRPr="002B3AEF" w:rsidRDefault="002B3AEF" w:rsidP="002B3AEF">
      <w:pPr>
        <w:tabs>
          <w:tab w:val="left" w:pos="993"/>
        </w:tabs>
        <w:ind w:firstLine="720"/>
        <w:jc w:val="both"/>
        <w:rPr>
          <w:b/>
          <w:bCs/>
          <w:color w:val="000000"/>
          <w:szCs w:val="24"/>
        </w:rPr>
      </w:pPr>
      <w:r w:rsidRPr="002B3AEF">
        <w:rPr>
          <w:b/>
          <w:bCs/>
          <w:color w:val="000000"/>
          <w:szCs w:val="24"/>
        </w:rPr>
        <w:t>6 straipsnis. 43</w:t>
      </w:r>
      <w:r w:rsidRPr="002B3AEF">
        <w:rPr>
          <w:b/>
          <w:bCs/>
          <w:color w:val="000000"/>
          <w:szCs w:val="24"/>
          <w:vertAlign w:val="superscript"/>
        </w:rPr>
        <w:t>3</w:t>
      </w:r>
      <w:r w:rsidRPr="002B3AEF">
        <w:rPr>
          <w:b/>
          <w:bCs/>
          <w:color w:val="000000"/>
          <w:szCs w:val="24"/>
        </w:rPr>
        <w:t xml:space="preserve"> straipsnio pakeitimas</w:t>
      </w:r>
    </w:p>
    <w:p w:rsidR="002B3AEF" w:rsidRPr="002B3AEF" w:rsidRDefault="002B3AEF" w:rsidP="002B3AEF">
      <w:pPr>
        <w:tabs>
          <w:tab w:val="left" w:pos="993"/>
        </w:tabs>
        <w:ind w:firstLine="720"/>
        <w:jc w:val="both"/>
        <w:rPr>
          <w:bCs/>
          <w:color w:val="000000"/>
          <w:szCs w:val="24"/>
        </w:rPr>
      </w:pPr>
      <w:r w:rsidRPr="002B3AEF">
        <w:rPr>
          <w:bCs/>
          <w:color w:val="000000"/>
          <w:szCs w:val="24"/>
        </w:rPr>
        <w:t>Pakeisti 43</w:t>
      </w:r>
      <w:r w:rsidRPr="002B3AEF">
        <w:rPr>
          <w:bCs/>
          <w:color w:val="000000"/>
          <w:szCs w:val="24"/>
          <w:vertAlign w:val="superscript"/>
        </w:rPr>
        <w:t>3</w:t>
      </w:r>
      <w:r w:rsidRPr="002B3AEF">
        <w:rPr>
          <w:bCs/>
          <w:color w:val="000000"/>
          <w:szCs w:val="24"/>
        </w:rPr>
        <w:t xml:space="preserve"> straipsnio 14 dalį ir ją išdėstyti taip:</w:t>
      </w:r>
    </w:p>
    <w:p w:rsidR="002B3AEF" w:rsidRPr="003F5C06" w:rsidRDefault="002B3AEF" w:rsidP="002B3AEF">
      <w:pPr>
        <w:tabs>
          <w:tab w:val="left" w:pos="993"/>
        </w:tabs>
        <w:ind w:firstLine="720"/>
        <w:jc w:val="both"/>
        <w:rPr>
          <w:bCs/>
          <w:color w:val="000000"/>
          <w:szCs w:val="24"/>
        </w:rPr>
      </w:pPr>
      <w:r w:rsidRPr="002B3AEF">
        <w:rPr>
          <w:bCs/>
          <w:color w:val="000000"/>
          <w:szCs w:val="24"/>
        </w:rPr>
        <w:t xml:space="preserve">„14. Lietuvos bankas tam pačiam asmeniui gali taikyti vieną arba kelias poveikio priemones. Poveikio priemonės pritaikymas neatleidžia asmens nuo pareigos, už kurios nevykdymą pritaikyta poveikio priemonė, atlikimo. Poveikio priemonės taikymas juridiniams asmenims neatleidžia jų vadovų ir darbuotojų nuo įstatymuose nustatytos civilinės, administracinės ar baudžiamosios atsakomybės, taip pat neužkerta kelio Lietuvos bankui svarstyti klausimą dėl finansų rinką reglamentuojančiuose įstatymuose </w:t>
      </w:r>
      <w:r w:rsidRPr="002B3AEF">
        <w:rPr>
          <w:b/>
          <w:bCs/>
          <w:color w:val="000000"/>
          <w:szCs w:val="24"/>
        </w:rPr>
        <w:t>ir Europos Sąjungos teisės aktuose</w:t>
      </w:r>
      <w:r w:rsidRPr="002B3AEF">
        <w:rPr>
          <w:bCs/>
          <w:color w:val="000000"/>
          <w:szCs w:val="24"/>
        </w:rPr>
        <w:t xml:space="preserve"> nustatytų Lietuvos banko išduotų licencijų, leidimų, sutikimų, pritarimų, neprieštaravimų galiojimo sustabdymo ir galiojimo panaikinimo (atšaukimo).“</w:t>
      </w:r>
    </w:p>
    <w:p w:rsidR="002B3AEF" w:rsidRPr="003F5C06" w:rsidRDefault="002B3AEF" w:rsidP="002B3AEF">
      <w:pPr>
        <w:tabs>
          <w:tab w:val="left" w:pos="993"/>
        </w:tabs>
        <w:ind w:firstLine="720"/>
        <w:jc w:val="both"/>
        <w:rPr>
          <w:bCs/>
          <w:color w:val="000000"/>
          <w:szCs w:val="24"/>
        </w:rPr>
      </w:pPr>
    </w:p>
    <w:p w:rsidR="00C26089" w:rsidRDefault="002B3AEF" w:rsidP="00160A7D">
      <w:pPr>
        <w:tabs>
          <w:tab w:val="left" w:pos="993"/>
        </w:tabs>
        <w:ind w:firstLine="720"/>
        <w:jc w:val="both"/>
        <w:rPr>
          <w:b/>
          <w:bCs/>
          <w:color w:val="000000"/>
          <w:szCs w:val="24"/>
        </w:rPr>
      </w:pPr>
      <w:r>
        <w:rPr>
          <w:b/>
          <w:bCs/>
          <w:color w:val="000000"/>
          <w:szCs w:val="24"/>
        </w:rPr>
        <w:t>7</w:t>
      </w:r>
      <w:r w:rsidR="003F5C06">
        <w:rPr>
          <w:b/>
          <w:bCs/>
          <w:color w:val="000000"/>
          <w:szCs w:val="24"/>
        </w:rPr>
        <w:t xml:space="preserve"> straipsnis. </w:t>
      </w:r>
      <w:r w:rsidR="00C26089" w:rsidRPr="00C26089">
        <w:rPr>
          <w:b/>
          <w:bCs/>
          <w:color w:val="000000"/>
          <w:szCs w:val="24"/>
        </w:rPr>
        <w:t>43</w:t>
      </w:r>
      <w:r w:rsidR="00C26089" w:rsidRPr="00C26089">
        <w:rPr>
          <w:b/>
          <w:bCs/>
          <w:color w:val="000000"/>
          <w:szCs w:val="24"/>
          <w:vertAlign w:val="superscript"/>
        </w:rPr>
        <w:t>7</w:t>
      </w:r>
      <w:r w:rsidR="00C26089" w:rsidRPr="00C26089">
        <w:rPr>
          <w:b/>
          <w:bCs/>
          <w:color w:val="000000"/>
          <w:szCs w:val="24"/>
        </w:rPr>
        <w:t xml:space="preserve"> straipsnio pakeitimas</w:t>
      </w:r>
    </w:p>
    <w:p w:rsidR="00C26089" w:rsidRPr="00B14ED5" w:rsidRDefault="00C26089" w:rsidP="00160A7D">
      <w:pPr>
        <w:tabs>
          <w:tab w:val="left" w:pos="993"/>
        </w:tabs>
        <w:ind w:firstLine="720"/>
        <w:jc w:val="both"/>
        <w:rPr>
          <w:bCs/>
          <w:color w:val="000000"/>
          <w:szCs w:val="24"/>
        </w:rPr>
      </w:pPr>
      <w:r w:rsidRPr="00B14ED5">
        <w:rPr>
          <w:bCs/>
          <w:color w:val="000000"/>
          <w:szCs w:val="24"/>
        </w:rPr>
        <w:t>Pakeisti 43</w:t>
      </w:r>
      <w:r w:rsidRPr="00B14ED5">
        <w:rPr>
          <w:bCs/>
          <w:color w:val="000000"/>
          <w:szCs w:val="24"/>
          <w:vertAlign w:val="superscript"/>
        </w:rPr>
        <w:t>7</w:t>
      </w:r>
      <w:r w:rsidRPr="00B14ED5">
        <w:rPr>
          <w:bCs/>
          <w:color w:val="000000"/>
          <w:szCs w:val="24"/>
        </w:rPr>
        <w:t xml:space="preserve"> straipsnį ir jį išdėstyti taip:</w:t>
      </w:r>
    </w:p>
    <w:p w:rsidR="00C26089" w:rsidRPr="00C26089" w:rsidRDefault="00C26089" w:rsidP="00160A7D">
      <w:pPr>
        <w:tabs>
          <w:tab w:val="left" w:pos="993"/>
        </w:tabs>
        <w:ind w:firstLine="720"/>
        <w:jc w:val="both"/>
        <w:rPr>
          <w:b/>
          <w:bCs/>
          <w:color w:val="000000"/>
          <w:szCs w:val="24"/>
        </w:rPr>
      </w:pPr>
      <w:r w:rsidRPr="00160A7D">
        <w:rPr>
          <w:bCs/>
          <w:color w:val="000000"/>
          <w:szCs w:val="24"/>
        </w:rPr>
        <w:t>„</w:t>
      </w:r>
      <w:bookmarkStart w:id="0" w:name="part_12deee7f9a1e459e9fbc858eb26b4431"/>
      <w:bookmarkEnd w:id="0"/>
      <w:r w:rsidRPr="00160A7D">
        <w:rPr>
          <w:bCs/>
          <w:color w:val="000000"/>
          <w:szCs w:val="24"/>
        </w:rPr>
        <w:t>43</w:t>
      </w:r>
      <w:r w:rsidRPr="00160A7D">
        <w:rPr>
          <w:bCs/>
          <w:color w:val="000000"/>
          <w:szCs w:val="24"/>
          <w:vertAlign w:val="superscript"/>
        </w:rPr>
        <w:t>7</w:t>
      </w:r>
      <w:r w:rsidRPr="00160A7D">
        <w:rPr>
          <w:bCs/>
          <w:color w:val="000000"/>
          <w:szCs w:val="24"/>
        </w:rPr>
        <w:t xml:space="preserve"> straipsnis.</w:t>
      </w:r>
      <w:r w:rsidRPr="00160A7D">
        <w:rPr>
          <w:bCs/>
          <w:color w:val="000000"/>
          <w:szCs w:val="24"/>
          <w:vertAlign w:val="superscript"/>
        </w:rPr>
        <w:t xml:space="preserve"> </w:t>
      </w:r>
      <w:r w:rsidRPr="00160A7D">
        <w:rPr>
          <w:bCs/>
          <w:color w:val="000000"/>
          <w:szCs w:val="24"/>
        </w:rPr>
        <w:t>Pranešimas apie pažeidimus</w:t>
      </w:r>
    </w:p>
    <w:p w:rsidR="00C26089" w:rsidRPr="004934CD" w:rsidRDefault="00C26089" w:rsidP="00160A7D">
      <w:pPr>
        <w:tabs>
          <w:tab w:val="left" w:pos="993"/>
        </w:tabs>
        <w:ind w:firstLine="720"/>
        <w:jc w:val="both"/>
        <w:rPr>
          <w:bCs/>
          <w:color w:val="000000"/>
          <w:szCs w:val="24"/>
        </w:rPr>
      </w:pPr>
      <w:bookmarkStart w:id="1" w:name="part_c5ddad4b8d6a497f8d3f047701663bcb"/>
      <w:bookmarkEnd w:id="1"/>
      <w:r w:rsidRPr="004934CD">
        <w:rPr>
          <w:bCs/>
          <w:color w:val="000000"/>
          <w:szCs w:val="24"/>
        </w:rPr>
        <w:t>Lietuvos Respublikos pranešėjų apsaugos įstatymas ir Lietuvos bankas nustato priemones, kurios skatintų pranešti apie finansų rinką reglamentuojančių teisės aktų, įskaitant Reglamentą (ES) Nr. 575/2013, Reglamentą (ES) Nr. 600/2014, Reglamentą (ES) Nr. 909/2014, Reglamentą (ES) Nr. 596/2014, Reglamentą (ES) Nr. 1286/2014, Reglamentą (ES) 2017/1129</w:t>
      </w:r>
      <w:r w:rsidRPr="004934CD">
        <w:rPr>
          <w:b/>
          <w:bCs/>
          <w:color w:val="000000"/>
          <w:szCs w:val="24"/>
        </w:rPr>
        <w:t xml:space="preserve">, 2019 m. lapkričio 27 d. </w:t>
      </w:r>
      <w:r w:rsidR="00160A7D">
        <w:rPr>
          <w:b/>
          <w:bCs/>
          <w:color w:val="000000"/>
          <w:szCs w:val="24"/>
        </w:rPr>
        <w:t>Europos Parlament</w:t>
      </w:r>
      <w:r w:rsidR="002D7371">
        <w:rPr>
          <w:b/>
          <w:bCs/>
          <w:color w:val="000000"/>
          <w:szCs w:val="24"/>
        </w:rPr>
        <w:t>o</w:t>
      </w:r>
      <w:r w:rsidR="00160A7D">
        <w:rPr>
          <w:b/>
          <w:bCs/>
          <w:color w:val="000000"/>
          <w:szCs w:val="24"/>
        </w:rPr>
        <w:t xml:space="preserve"> ir Tarybos </w:t>
      </w:r>
      <w:r w:rsidRPr="004934CD">
        <w:rPr>
          <w:b/>
          <w:bCs/>
          <w:color w:val="000000"/>
          <w:szCs w:val="24"/>
        </w:rPr>
        <w:t>Reglamentą (ES) 2019/2033 dėl riziką ribojančių reikalavimų investicinėms įmonėms, kuriuo iš dalies keičiami reglamentai (ES) Nr. 1093/2010, (ES) Nr.</w:t>
      </w:r>
      <w:r w:rsidR="00B6157E">
        <w:rPr>
          <w:b/>
          <w:bCs/>
          <w:color w:val="000000"/>
          <w:szCs w:val="24"/>
        </w:rPr>
        <w:t> </w:t>
      </w:r>
      <w:r w:rsidRPr="004934CD">
        <w:rPr>
          <w:b/>
          <w:bCs/>
          <w:color w:val="000000"/>
          <w:szCs w:val="24"/>
        </w:rPr>
        <w:t>575/2013, (ES) Nr. 600/2014 ir (ES) Nr. 806/2014</w:t>
      </w:r>
      <w:r w:rsidR="00D833D1">
        <w:rPr>
          <w:b/>
          <w:bCs/>
          <w:color w:val="000000"/>
          <w:szCs w:val="24"/>
        </w:rPr>
        <w:t>,</w:t>
      </w:r>
      <w:r w:rsidRPr="004934CD">
        <w:rPr>
          <w:bCs/>
          <w:color w:val="000000"/>
          <w:szCs w:val="24"/>
        </w:rPr>
        <w:t xml:space="preserve"> ar jų įgyvendinamuosius teisės aktus, nuostatų pažeidimą. Šios priemonės turi atitikti šiuos reikalavimus:</w:t>
      </w:r>
    </w:p>
    <w:p w:rsidR="00C26089" w:rsidRPr="004934CD" w:rsidRDefault="00C26089" w:rsidP="00160A7D">
      <w:pPr>
        <w:tabs>
          <w:tab w:val="left" w:pos="993"/>
        </w:tabs>
        <w:ind w:firstLine="720"/>
        <w:jc w:val="both"/>
        <w:rPr>
          <w:bCs/>
          <w:color w:val="000000"/>
          <w:szCs w:val="24"/>
        </w:rPr>
      </w:pPr>
      <w:bookmarkStart w:id="2" w:name="part_e300c7d2d8634e0980b5bd265c6d0419"/>
      <w:bookmarkEnd w:id="2"/>
      <w:r w:rsidRPr="004934CD">
        <w:rPr>
          <w:bCs/>
          <w:color w:val="000000"/>
          <w:szCs w:val="24"/>
        </w:rPr>
        <w:t xml:space="preserve">1) numatytos specialios pranešimo apie minėtus pažeidimus gavimo ir vertinimo procedūros; </w:t>
      </w:r>
    </w:p>
    <w:p w:rsidR="00C26089" w:rsidRPr="004934CD" w:rsidRDefault="00C26089" w:rsidP="00160A7D">
      <w:pPr>
        <w:tabs>
          <w:tab w:val="left" w:pos="993"/>
        </w:tabs>
        <w:ind w:firstLine="720"/>
        <w:jc w:val="both"/>
        <w:rPr>
          <w:bCs/>
          <w:color w:val="000000"/>
          <w:szCs w:val="24"/>
        </w:rPr>
      </w:pPr>
      <w:bookmarkStart w:id="3" w:name="part_eee69bb2deb740b8952cbb14de815f2b"/>
      <w:bookmarkEnd w:id="3"/>
      <w:r w:rsidRPr="004934CD">
        <w:rPr>
          <w:bCs/>
          <w:color w:val="000000"/>
          <w:szCs w:val="24"/>
        </w:rPr>
        <w:t>2) užtikrinamas asmens, kuris praneša apie padarytus pažeidimus, konfidencialumas, išskyrus atvejus, kai atskleisti tokią informaciją reikalaujama įstatymų nustatytais atvejais ir tvarka;</w:t>
      </w:r>
    </w:p>
    <w:p w:rsidR="00C26089" w:rsidRPr="004934CD" w:rsidRDefault="00C26089" w:rsidP="00160A7D">
      <w:pPr>
        <w:tabs>
          <w:tab w:val="left" w:pos="993"/>
        </w:tabs>
        <w:ind w:firstLine="720"/>
        <w:jc w:val="both"/>
        <w:rPr>
          <w:bCs/>
          <w:color w:val="000000"/>
          <w:szCs w:val="24"/>
        </w:rPr>
      </w:pPr>
      <w:bookmarkStart w:id="4" w:name="part_8abb0306abd041319394b9750779815e"/>
      <w:bookmarkEnd w:id="4"/>
      <w:r w:rsidRPr="004934CD">
        <w:rPr>
          <w:bCs/>
          <w:color w:val="000000"/>
          <w:szCs w:val="24"/>
        </w:rPr>
        <w:t>3) asmens duomenys tvarkomi asmens duomenų apsaugą reglamentuojančių teisės aktų nustatyta tvarka;</w:t>
      </w:r>
    </w:p>
    <w:p w:rsidR="00C26089" w:rsidRPr="00C26089" w:rsidRDefault="00C26089" w:rsidP="00160A7D">
      <w:pPr>
        <w:tabs>
          <w:tab w:val="left" w:pos="993"/>
        </w:tabs>
        <w:ind w:firstLine="720"/>
        <w:jc w:val="both"/>
        <w:rPr>
          <w:b/>
          <w:bCs/>
          <w:color w:val="000000"/>
          <w:szCs w:val="24"/>
        </w:rPr>
      </w:pPr>
      <w:bookmarkStart w:id="5" w:name="part_0f9a70dff2e342b4a3d5f3f8197706b6"/>
      <w:bookmarkEnd w:id="5"/>
      <w:r w:rsidRPr="004934CD">
        <w:rPr>
          <w:bCs/>
          <w:color w:val="000000"/>
          <w:szCs w:val="24"/>
        </w:rPr>
        <w:t>4) užtikrinama tinkama finansų rinkos dalyvio darbuotojų, kurie praneša apie pažeidimus, apsauga nuo keršto, diskriminacijos ar kito neteisėto ar nesąžiningo elgesio.“</w:t>
      </w:r>
    </w:p>
    <w:p w:rsidR="00C26089" w:rsidRDefault="00C26089" w:rsidP="00160A7D">
      <w:pPr>
        <w:tabs>
          <w:tab w:val="left" w:pos="993"/>
        </w:tabs>
        <w:ind w:firstLine="720"/>
        <w:jc w:val="both"/>
        <w:rPr>
          <w:b/>
          <w:bCs/>
          <w:color w:val="000000"/>
          <w:szCs w:val="24"/>
        </w:rPr>
      </w:pPr>
    </w:p>
    <w:p w:rsidR="00FE6345" w:rsidRPr="00464210" w:rsidRDefault="00044DDE" w:rsidP="00160A7D">
      <w:pPr>
        <w:tabs>
          <w:tab w:val="left" w:pos="993"/>
        </w:tabs>
        <w:ind w:firstLine="720"/>
        <w:jc w:val="both"/>
        <w:rPr>
          <w:b/>
          <w:bCs/>
          <w:color w:val="000000"/>
          <w:szCs w:val="24"/>
        </w:rPr>
      </w:pPr>
      <w:r>
        <w:rPr>
          <w:b/>
          <w:bCs/>
          <w:color w:val="000000"/>
          <w:szCs w:val="24"/>
        </w:rPr>
        <w:t>8</w:t>
      </w:r>
      <w:r w:rsidR="00C26089">
        <w:rPr>
          <w:b/>
          <w:bCs/>
          <w:color w:val="000000"/>
          <w:szCs w:val="24"/>
        </w:rPr>
        <w:t xml:space="preserve"> straipsnis. </w:t>
      </w:r>
      <w:r w:rsidR="00FE6345" w:rsidRPr="00464210">
        <w:rPr>
          <w:b/>
          <w:bCs/>
          <w:color w:val="000000"/>
          <w:szCs w:val="24"/>
        </w:rPr>
        <w:t>Įstatymo 1 priedo pakeitimas</w:t>
      </w:r>
    </w:p>
    <w:p w:rsidR="00FE6345" w:rsidRPr="00464210" w:rsidRDefault="00FE6345" w:rsidP="00160A7D">
      <w:pPr>
        <w:tabs>
          <w:tab w:val="left" w:pos="993"/>
        </w:tabs>
        <w:ind w:firstLine="720"/>
        <w:jc w:val="both"/>
        <w:rPr>
          <w:color w:val="000000"/>
          <w:szCs w:val="24"/>
        </w:rPr>
      </w:pPr>
      <w:r w:rsidRPr="00464210">
        <w:rPr>
          <w:color w:val="000000"/>
          <w:szCs w:val="24"/>
        </w:rPr>
        <w:t>1. Pakeisti Įstatymo 1 priedo 20 punktą ir jį išdėstyti taip:</w:t>
      </w:r>
    </w:p>
    <w:tbl>
      <w:tblPr>
        <w:tblStyle w:val="Lentelstinklelis"/>
        <w:tblW w:w="0" w:type="auto"/>
        <w:tblLook w:val="04A0" w:firstRow="1" w:lastRow="0" w:firstColumn="1" w:lastColumn="0" w:noHBand="0" w:noVBand="1"/>
      </w:tblPr>
      <w:tblGrid>
        <w:gridCol w:w="730"/>
        <w:gridCol w:w="4111"/>
        <w:gridCol w:w="2842"/>
        <w:gridCol w:w="1888"/>
      </w:tblGrid>
      <w:tr w:rsidR="00FE6345" w:rsidRPr="00F147D8" w:rsidTr="004C7617">
        <w:tc>
          <w:tcPr>
            <w:tcW w:w="675" w:type="dxa"/>
          </w:tcPr>
          <w:p w:rsidR="00FE6345" w:rsidRPr="00F147D8" w:rsidRDefault="00FE6345" w:rsidP="00464210">
            <w:pPr>
              <w:ind w:firstLine="720"/>
              <w:jc w:val="both"/>
              <w:rPr>
                <w:b/>
                <w:bCs/>
                <w:color w:val="000000"/>
                <w:szCs w:val="24"/>
              </w:rPr>
            </w:pPr>
            <w:r w:rsidRPr="00464210">
              <w:rPr>
                <w:color w:val="000000"/>
                <w:szCs w:val="24"/>
              </w:rPr>
              <w:t>„</w:t>
            </w:r>
            <w:r w:rsidR="002D3F36" w:rsidRPr="00F147D8">
              <w:rPr>
                <w:bCs/>
                <w:color w:val="000000"/>
                <w:szCs w:val="24"/>
              </w:rPr>
              <w:t>„</w:t>
            </w:r>
            <w:r w:rsidRPr="00464210">
              <w:rPr>
                <w:color w:val="000000"/>
                <w:szCs w:val="24"/>
              </w:rPr>
              <w:t>20.</w:t>
            </w:r>
          </w:p>
        </w:tc>
        <w:tc>
          <w:tcPr>
            <w:tcW w:w="4253" w:type="dxa"/>
          </w:tcPr>
          <w:p w:rsidR="00FE6345" w:rsidRPr="00F147D8" w:rsidRDefault="00FE6345" w:rsidP="00464210">
            <w:pPr>
              <w:jc w:val="both"/>
              <w:rPr>
                <w:bCs/>
                <w:color w:val="000000"/>
                <w:szCs w:val="24"/>
              </w:rPr>
            </w:pPr>
            <w:r w:rsidRPr="00464210">
              <w:rPr>
                <w:color w:val="000000"/>
                <w:szCs w:val="24"/>
              </w:rPr>
              <w:t xml:space="preserve">Sutelktinio finansavimo platformos operatoriai </w:t>
            </w:r>
            <w:r w:rsidRPr="00464210">
              <w:rPr>
                <w:b/>
                <w:color w:val="000000"/>
                <w:szCs w:val="24"/>
              </w:rPr>
              <w:t>arba sutelktinio finansavimo</w:t>
            </w:r>
            <w:r w:rsidRPr="00464210">
              <w:rPr>
                <w:color w:val="000000"/>
                <w:szCs w:val="24"/>
              </w:rPr>
              <w:t xml:space="preserve"> </w:t>
            </w:r>
            <w:r w:rsidRPr="00464210">
              <w:rPr>
                <w:b/>
                <w:color w:val="000000"/>
                <w:szCs w:val="24"/>
              </w:rPr>
              <w:t>paslaugų teikėjai</w:t>
            </w:r>
          </w:p>
        </w:tc>
        <w:tc>
          <w:tcPr>
            <w:tcW w:w="2977" w:type="dxa"/>
          </w:tcPr>
          <w:p w:rsidR="00FE6345" w:rsidRPr="00F147D8" w:rsidRDefault="00FE6345" w:rsidP="00464210">
            <w:pPr>
              <w:jc w:val="center"/>
              <w:rPr>
                <w:b/>
                <w:bCs/>
                <w:color w:val="000000"/>
                <w:szCs w:val="24"/>
              </w:rPr>
            </w:pPr>
            <w:r w:rsidRPr="00464210">
              <w:rPr>
                <w:color w:val="000000"/>
                <w:szCs w:val="24"/>
              </w:rPr>
              <w:t>–</w:t>
            </w:r>
          </w:p>
        </w:tc>
        <w:tc>
          <w:tcPr>
            <w:tcW w:w="1949" w:type="dxa"/>
          </w:tcPr>
          <w:p w:rsidR="00FE6345" w:rsidRPr="00F147D8" w:rsidRDefault="00FE6345" w:rsidP="00464210">
            <w:pPr>
              <w:jc w:val="both"/>
              <w:rPr>
                <w:b/>
                <w:bCs/>
                <w:color w:val="000000"/>
                <w:szCs w:val="24"/>
              </w:rPr>
            </w:pPr>
            <w:r w:rsidRPr="00464210">
              <w:rPr>
                <w:color w:val="000000"/>
                <w:szCs w:val="24"/>
              </w:rPr>
              <w:t>3</w:t>
            </w:r>
            <w:r w:rsidR="00C26089">
              <w:rPr>
                <w:color w:val="000000"/>
                <w:szCs w:val="24"/>
              </w:rPr>
              <w:t> </w:t>
            </w:r>
            <w:r w:rsidRPr="00464210">
              <w:rPr>
                <w:color w:val="000000"/>
                <w:szCs w:val="24"/>
              </w:rPr>
              <w:t>000</w:t>
            </w:r>
            <w:r w:rsidR="00C26089">
              <w:rPr>
                <w:color w:val="000000"/>
                <w:szCs w:val="24"/>
              </w:rPr>
              <w:t xml:space="preserve"> </w:t>
            </w:r>
            <w:proofErr w:type="spellStart"/>
            <w:r w:rsidRPr="00464210">
              <w:rPr>
                <w:color w:val="000000"/>
                <w:szCs w:val="24"/>
              </w:rPr>
              <w:t>Eur</w:t>
            </w:r>
            <w:proofErr w:type="spellEnd"/>
            <w:r w:rsidRPr="00464210">
              <w:rPr>
                <w:color w:val="000000"/>
                <w:szCs w:val="24"/>
              </w:rPr>
              <w:t>“</w:t>
            </w:r>
            <w:r w:rsidR="00D833D1">
              <w:rPr>
                <w:color w:val="000000"/>
                <w:szCs w:val="24"/>
              </w:rPr>
              <w:t>.</w:t>
            </w:r>
          </w:p>
        </w:tc>
      </w:tr>
    </w:tbl>
    <w:p w:rsidR="00FE6345" w:rsidRPr="00464210" w:rsidRDefault="00FE6345" w:rsidP="00464210">
      <w:pPr>
        <w:ind w:firstLine="720"/>
        <w:jc w:val="both"/>
        <w:rPr>
          <w:color w:val="000000"/>
          <w:szCs w:val="24"/>
        </w:rPr>
      </w:pPr>
      <w:r w:rsidRPr="00464210">
        <w:rPr>
          <w:color w:val="000000"/>
          <w:szCs w:val="24"/>
        </w:rPr>
        <w:t>2. Pakeisti Įstatymo 1 priedo 20 punktą ir jį išdėstyti taip:</w:t>
      </w:r>
    </w:p>
    <w:tbl>
      <w:tblPr>
        <w:tblStyle w:val="Lentelstinklelis"/>
        <w:tblW w:w="0" w:type="auto"/>
        <w:tblLook w:val="04A0" w:firstRow="1" w:lastRow="0" w:firstColumn="1" w:lastColumn="0" w:noHBand="0" w:noVBand="1"/>
      </w:tblPr>
      <w:tblGrid>
        <w:gridCol w:w="730"/>
        <w:gridCol w:w="4109"/>
        <w:gridCol w:w="2843"/>
        <w:gridCol w:w="1889"/>
      </w:tblGrid>
      <w:tr w:rsidR="00FE6345" w:rsidRPr="00F147D8" w:rsidTr="004C7617">
        <w:tc>
          <w:tcPr>
            <w:tcW w:w="675" w:type="dxa"/>
          </w:tcPr>
          <w:p w:rsidR="00FE6345" w:rsidRPr="00F147D8" w:rsidRDefault="00FE6345" w:rsidP="00464210">
            <w:pPr>
              <w:ind w:firstLine="720"/>
              <w:jc w:val="both"/>
              <w:rPr>
                <w:b/>
                <w:bCs/>
                <w:color w:val="000000"/>
                <w:szCs w:val="24"/>
              </w:rPr>
            </w:pPr>
            <w:r w:rsidRPr="00464210">
              <w:rPr>
                <w:color w:val="000000"/>
                <w:szCs w:val="24"/>
              </w:rPr>
              <w:t>„</w:t>
            </w:r>
            <w:r w:rsidR="002D3F36" w:rsidRPr="00F147D8">
              <w:rPr>
                <w:bCs/>
                <w:color w:val="000000"/>
                <w:szCs w:val="24"/>
              </w:rPr>
              <w:t>„</w:t>
            </w:r>
            <w:r w:rsidRPr="00464210">
              <w:rPr>
                <w:color w:val="000000"/>
                <w:szCs w:val="24"/>
              </w:rPr>
              <w:t>20.</w:t>
            </w:r>
          </w:p>
        </w:tc>
        <w:tc>
          <w:tcPr>
            <w:tcW w:w="4253" w:type="dxa"/>
          </w:tcPr>
          <w:p w:rsidR="00FE6345" w:rsidRPr="00F147D8" w:rsidRDefault="00FE6345" w:rsidP="00464210">
            <w:pPr>
              <w:jc w:val="both"/>
              <w:rPr>
                <w:bCs/>
                <w:color w:val="000000"/>
                <w:szCs w:val="24"/>
              </w:rPr>
            </w:pPr>
            <w:r w:rsidRPr="002B3AEF">
              <w:rPr>
                <w:strike/>
                <w:color w:val="000000"/>
                <w:szCs w:val="24"/>
              </w:rPr>
              <w:t>Sutelktinio finansavimo</w:t>
            </w:r>
            <w:r w:rsidRPr="007E7BDB">
              <w:rPr>
                <w:strike/>
                <w:color w:val="000000"/>
                <w:szCs w:val="24"/>
              </w:rPr>
              <w:t xml:space="preserve"> </w:t>
            </w:r>
            <w:r w:rsidRPr="00464210">
              <w:rPr>
                <w:strike/>
                <w:color w:val="000000"/>
                <w:szCs w:val="24"/>
              </w:rPr>
              <w:t xml:space="preserve">platformos </w:t>
            </w:r>
            <w:r w:rsidRPr="007E7BDB">
              <w:rPr>
                <w:strike/>
                <w:color w:val="000000"/>
                <w:szCs w:val="24"/>
              </w:rPr>
              <w:t xml:space="preserve">operatoriai </w:t>
            </w:r>
            <w:r w:rsidR="002D7371" w:rsidRPr="007E7BDB">
              <w:rPr>
                <w:strike/>
                <w:color w:val="000000"/>
                <w:szCs w:val="24"/>
              </w:rPr>
              <w:t>arba sutelktinio</w:t>
            </w:r>
            <w:r w:rsidR="002D7371">
              <w:rPr>
                <w:color w:val="000000"/>
                <w:szCs w:val="24"/>
              </w:rPr>
              <w:t xml:space="preserve"> </w:t>
            </w:r>
            <w:proofErr w:type="spellStart"/>
            <w:r w:rsidR="007E7BDB">
              <w:rPr>
                <w:b/>
                <w:color w:val="000000"/>
                <w:szCs w:val="24"/>
              </w:rPr>
              <w:t>Sutelktinio</w:t>
            </w:r>
            <w:proofErr w:type="spellEnd"/>
            <w:r w:rsidR="007E7BDB">
              <w:rPr>
                <w:b/>
                <w:color w:val="000000"/>
                <w:szCs w:val="24"/>
              </w:rPr>
              <w:t xml:space="preserve"> </w:t>
            </w:r>
            <w:r w:rsidR="002D7371">
              <w:rPr>
                <w:color w:val="000000"/>
                <w:szCs w:val="24"/>
              </w:rPr>
              <w:t xml:space="preserve">finansavimo </w:t>
            </w:r>
            <w:r w:rsidRPr="002B3AEF">
              <w:rPr>
                <w:color w:val="000000"/>
                <w:szCs w:val="24"/>
              </w:rPr>
              <w:t>paslaugų teikėjai</w:t>
            </w:r>
          </w:p>
        </w:tc>
        <w:tc>
          <w:tcPr>
            <w:tcW w:w="2977" w:type="dxa"/>
          </w:tcPr>
          <w:p w:rsidR="00FE6345" w:rsidRPr="00F147D8" w:rsidRDefault="00FE6345" w:rsidP="00464210">
            <w:pPr>
              <w:jc w:val="center"/>
              <w:rPr>
                <w:b/>
                <w:bCs/>
                <w:color w:val="000000"/>
                <w:szCs w:val="24"/>
              </w:rPr>
            </w:pPr>
            <w:r w:rsidRPr="00464210">
              <w:rPr>
                <w:color w:val="000000"/>
                <w:szCs w:val="24"/>
              </w:rPr>
              <w:t>–</w:t>
            </w:r>
          </w:p>
        </w:tc>
        <w:tc>
          <w:tcPr>
            <w:tcW w:w="1949" w:type="dxa"/>
          </w:tcPr>
          <w:p w:rsidR="00FE6345" w:rsidRPr="00F147D8" w:rsidRDefault="00FE6345" w:rsidP="00464210">
            <w:pPr>
              <w:jc w:val="both"/>
              <w:rPr>
                <w:b/>
                <w:bCs/>
                <w:color w:val="000000"/>
                <w:szCs w:val="24"/>
              </w:rPr>
            </w:pPr>
            <w:r w:rsidRPr="00464210">
              <w:rPr>
                <w:color w:val="000000"/>
                <w:szCs w:val="24"/>
              </w:rPr>
              <w:t xml:space="preserve">3 000 </w:t>
            </w:r>
            <w:proofErr w:type="spellStart"/>
            <w:r w:rsidRPr="00464210">
              <w:rPr>
                <w:color w:val="000000"/>
                <w:szCs w:val="24"/>
              </w:rPr>
              <w:t>Eur</w:t>
            </w:r>
            <w:proofErr w:type="spellEnd"/>
            <w:r w:rsidRPr="00464210">
              <w:rPr>
                <w:color w:val="000000"/>
                <w:szCs w:val="24"/>
              </w:rPr>
              <w:t>“</w:t>
            </w:r>
            <w:r w:rsidR="00D833D1">
              <w:rPr>
                <w:color w:val="000000"/>
                <w:szCs w:val="24"/>
              </w:rPr>
              <w:t>.</w:t>
            </w:r>
          </w:p>
        </w:tc>
      </w:tr>
    </w:tbl>
    <w:p w:rsidR="00FE6345" w:rsidRPr="00F147D8" w:rsidRDefault="00FE6345" w:rsidP="00464210">
      <w:pPr>
        <w:ind w:firstLine="720"/>
        <w:jc w:val="both"/>
        <w:rPr>
          <w:b/>
          <w:bCs/>
          <w:color w:val="000000"/>
          <w:szCs w:val="24"/>
        </w:rPr>
      </w:pPr>
    </w:p>
    <w:p w:rsidR="00FE6345" w:rsidRPr="00464210" w:rsidRDefault="00044DDE" w:rsidP="00B6157E">
      <w:pPr>
        <w:ind w:firstLine="720"/>
        <w:jc w:val="both"/>
        <w:rPr>
          <w:b/>
          <w:bCs/>
          <w:color w:val="000000"/>
          <w:szCs w:val="24"/>
        </w:rPr>
      </w:pPr>
      <w:r>
        <w:rPr>
          <w:b/>
          <w:bCs/>
          <w:color w:val="000000"/>
          <w:szCs w:val="24"/>
        </w:rPr>
        <w:t>9</w:t>
      </w:r>
      <w:r w:rsidR="00FE6345" w:rsidRPr="00464210">
        <w:rPr>
          <w:b/>
          <w:bCs/>
          <w:color w:val="000000"/>
          <w:szCs w:val="24"/>
        </w:rPr>
        <w:t xml:space="preserve"> straipsnis. Įstatymo 3 priedo pakeitimas</w:t>
      </w:r>
    </w:p>
    <w:p w:rsidR="00FE6345" w:rsidRPr="00464210" w:rsidRDefault="00FE6345" w:rsidP="00B6157E">
      <w:pPr>
        <w:ind w:firstLine="720"/>
        <w:jc w:val="both"/>
        <w:rPr>
          <w:color w:val="000000"/>
          <w:szCs w:val="24"/>
        </w:rPr>
      </w:pPr>
      <w:r w:rsidRPr="00464210">
        <w:rPr>
          <w:color w:val="000000"/>
          <w:szCs w:val="24"/>
        </w:rPr>
        <w:t xml:space="preserve">Papildyti Įstatymo 3 priedą </w:t>
      </w:r>
      <w:r w:rsidR="005237FF">
        <w:rPr>
          <w:b/>
          <w:color w:val="000000"/>
          <w:szCs w:val="24"/>
        </w:rPr>
        <w:t>16</w:t>
      </w:r>
      <w:r w:rsidR="005237FF">
        <w:rPr>
          <w:b/>
          <w:color w:val="000000"/>
          <w:szCs w:val="24"/>
          <w:vertAlign w:val="superscript"/>
        </w:rPr>
        <w:t>1</w:t>
      </w:r>
      <w:r w:rsidRPr="00464210">
        <w:rPr>
          <w:color w:val="000000"/>
          <w:szCs w:val="24"/>
        </w:rPr>
        <w:t xml:space="preserve"> punktu:</w:t>
      </w:r>
    </w:p>
    <w:p w:rsidR="00FE6345" w:rsidRPr="00464210" w:rsidRDefault="00FE6345" w:rsidP="00B6157E">
      <w:pPr>
        <w:ind w:firstLine="720"/>
        <w:jc w:val="both"/>
        <w:rPr>
          <w:b/>
          <w:bCs/>
          <w:color w:val="000000"/>
          <w:szCs w:val="24"/>
        </w:rPr>
      </w:pPr>
      <w:r w:rsidRPr="00F147D8">
        <w:rPr>
          <w:bCs/>
          <w:color w:val="000000"/>
          <w:szCs w:val="24"/>
        </w:rPr>
        <w:t>„</w:t>
      </w:r>
      <w:r w:rsidR="005237FF">
        <w:rPr>
          <w:b/>
          <w:color w:val="000000"/>
          <w:szCs w:val="24"/>
        </w:rPr>
        <w:t>16</w:t>
      </w:r>
      <w:r w:rsidR="005237FF">
        <w:rPr>
          <w:b/>
          <w:color w:val="000000"/>
          <w:szCs w:val="24"/>
          <w:vertAlign w:val="superscript"/>
        </w:rPr>
        <w:t>1</w:t>
      </w:r>
      <w:r w:rsidRPr="00F147D8">
        <w:rPr>
          <w:b/>
          <w:bCs/>
          <w:color w:val="000000"/>
          <w:szCs w:val="24"/>
        </w:rPr>
        <w:t>.</w:t>
      </w:r>
      <w:r w:rsidRPr="00F147D8">
        <w:rPr>
          <w:bCs/>
          <w:color w:val="000000"/>
          <w:szCs w:val="24"/>
        </w:rPr>
        <w:t xml:space="preserve"> </w:t>
      </w:r>
      <w:r w:rsidRPr="00464210">
        <w:rPr>
          <w:b/>
          <w:color w:val="000000"/>
          <w:szCs w:val="24"/>
        </w:rPr>
        <w:t xml:space="preserve">2020 m. spalio 7 d. Europos Parlamento ir Tarybos reglamentas </w:t>
      </w:r>
      <w:r w:rsidRPr="00464210">
        <w:rPr>
          <w:b/>
          <w:bCs/>
          <w:color w:val="000000"/>
          <w:szCs w:val="24"/>
        </w:rPr>
        <w:t>(ES) 2020/1503</w:t>
      </w:r>
      <w:r w:rsidRPr="00464210">
        <w:rPr>
          <w:b/>
          <w:color w:val="000000"/>
          <w:szCs w:val="24"/>
        </w:rPr>
        <w:t xml:space="preserve"> dėl Europos sutelktinio finansavimo paslaugų verslui teikėjų, kuriuo iš dalies keičiamas Reglamentas (ES) 2017/1129 ir Direktyva (ES) 2019/1937.</w:t>
      </w:r>
      <w:r w:rsidRPr="00464210">
        <w:rPr>
          <w:color w:val="000000"/>
          <w:szCs w:val="24"/>
        </w:rPr>
        <w:t>“</w:t>
      </w:r>
    </w:p>
    <w:p w:rsidR="00FE6345" w:rsidRPr="00464210" w:rsidRDefault="00FE6345" w:rsidP="00B6157E">
      <w:pPr>
        <w:ind w:firstLine="720"/>
        <w:jc w:val="both"/>
        <w:rPr>
          <w:b/>
          <w:bCs/>
          <w:color w:val="000000"/>
          <w:szCs w:val="24"/>
        </w:rPr>
      </w:pPr>
    </w:p>
    <w:p w:rsidR="00FE6345" w:rsidRPr="00464210" w:rsidRDefault="00044DDE" w:rsidP="00B6157E">
      <w:pPr>
        <w:ind w:firstLine="720"/>
        <w:jc w:val="both"/>
        <w:rPr>
          <w:b/>
          <w:bCs/>
          <w:i/>
          <w:color w:val="000000"/>
          <w:szCs w:val="24"/>
        </w:rPr>
      </w:pPr>
      <w:r>
        <w:rPr>
          <w:b/>
          <w:bCs/>
          <w:color w:val="000000"/>
          <w:szCs w:val="24"/>
        </w:rPr>
        <w:t>10</w:t>
      </w:r>
      <w:r w:rsidR="00FE6345" w:rsidRPr="00464210">
        <w:rPr>
          <w:b/>
          <w:bCs/>
          <w:color w:val="000000"/>
          <w:szCs w:val="24"/>
        </w:rPr>
        <w:t xml:space="preserve"> straipsnis. Įstatymo įsigaliojimas </w:t>
      </w:r>
    </w:p>
    <w:p w:rsidR="00FE6345" w:rsidRPr="00C26089" w:rsidRDefault="00507BEF" w:rsidP="000915DB">
      <w:pPr>
        <w:ind w:firstLine="720"/>
        <w:jc w:val="both"/>
        <w:rPr>
          <w:color w:val="000000"/>
          <w:szCs w:val="24"/>
        </w:rPr>
      </w:pPr>
      <w:bookmarkStart w:id="6" w:name="_GoBack"/>
      <w:bookmarkEnd w:id="6"/>
      <w:r>
        <w:rPr>
          <w:color w:val="000000"/>
          <w:szCs w:val="24"/>
        </w:rPr>
        <w:lastRenderedPageBreak/>
        <w:t>Šio įstatymo 2</w:t>
      </w:r>
      <w:r w:rsidR="00C26089">
        <w:rPr>
          <w:color w:val="000000"/>
          <w:szCs w:val="24"/>
        </w:rPr>
        <w:t xml:space="preserve"> straipsnio </w:t>
      </w:r>
      <w:r w:rsidR="00FB2818">
        <w:rPr>
          <w:color w:val="000000"/>
          <w:szCs w:val="24"/>
        </w:rPr>
        <w:t>2 ir 5</w:t>
      </w:r>
      <w:r>
        <w:rPr>
          <w:color w:val="000000"/>
          <w:szCs w:val="24"/>
        </w:rPr>
        <w:t xml:space="preserve"> dalys, </w:t>
      </w:r>
      <w:r w:rsidR="00E65AEF">
        <w:rPr>
          <w:color w:val="000000"/>
          <w:szCs w:val="24"/>
        </w:rPr>
        <w:t>8</w:t>
      </w:r>
      <w:r w:rsidR="00DF6DDE" w:rsidRPr="00C26089">
        <w:rPr>
          <w:color w:val="000000"/>
          <w:szCs w:val="24"/>
        </w:rPr>
        <w:t xml:space="preserve"> </w:t>
      </w:r>
      <w:r w:rsidR="00FE6345" w:rsidRPr="00C26089">
        <w:rPr>
          <w:color w:val="000000"/>
          <w:szCs w:val="24"/>
        </w:rPr>
        <w:t>straipsnio 2 dalis įsigalioja 2022 m. lapkričio 10 d.</w:t>
      </w:r>
    </w:p>
    <w:p w:rsidR="002705BE" w:rsidRPr="00F147D8" w:rsidRDefault="002705BE" w:rsidP="00160A7D">
      <w:pPr>
        <w:ind w:firstLine="720"/>
        <w:jc w:val="both"/>
        <w:rPr>
          <w:i/>
          <w:szCs w:val="24"/>
        </w:rPr>
      </w:pPr>
    </w:p>
    <w:p w:rsidR="002705BE" w:rsidRPr="00F147D8" w:rsidRDefault="00A47012" w:rsidP="00B6157E">
      <w:pPr>
        <w:ind w:firstLine="720"/>
        <w:jc w:val="both"/>
        <w:rPr>
          <w:i/>
          <w:szCs w:val="24"/>
        </w:rPr>
      </w:pPr>
      <w:r w:rsidRPr="00F147D8">
        <w:rPr>
          <w:i/>
          <w:szCs w:val="24"/>
        </w:rPr>
        <w:t>Skelbiu šį Lietuvos Respublikos Seimo priimtą įstatymą.</w:t>
      </w:r>
    </w:p>
    <w:p w:rsidR="002705BE" w:rsidRPr="00F147D8" w:rsidRDefault="002705BE" w:rsidP="00464210">
      <w:pPr>
        <w:rPr>
          <w:i/>
          <w:szCs w:val="24"/>
        </w:rPr>
      </w:pPr>
    </w:p>
    <w:p w:rsidR="002705BE" w:rsidRPr="00F147D8" w:rsidRDefault="00A47012" w:rsidP="00F147D8">
      <w:pPr>
        <w:tabs>
          <w:tab w:val="right" w:pos="9356"/>
        </w:tabs>
        <w:rPr>
          <w:szCs w:val="24"/>
        </w:rPr>
      </w:pPr>
      <w:r w:rsidRPr="00464210">
        <w:rPr>
          <w:szCs w:val="24"/>
        </w:rPr>
        <w:t>Respublikos Prezidentas</w:t>
      </w:r>
      <w:r w:rsidRPr="00F147D8">
        <w:rPr>
          <w:caps/>
          <w:szCs w:val="24"/>
        </w:rPr>
        <w:tab/>
      </w:r>
    </w:p>
    <w:sectPr w:rsidR="002705BE" w:rsidRPr="00F147D8">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645" w:rsidRDefault="00BE3645">
      <w:pPr>
        <w:rPr>
          <w:rFonts w:ascii="TimesLT" w:hAnsi="TimesLT"/>
          <w:lang w:val="en-US"/>
        </w:rPr>
      </w:pPr>
      <w:r>
        <w:rPr>
          <w:rFonts w:ascii="TimesLT" w:hAnsi="TimesLT"/>
          <w:lang w:val="en-US"/>
        </w:rPr>
        <w:separator/>
      </w:r>
    </w:p>
  </w:endnote>
  <w:endnote w:type="continuationSeparator" w:id="0">
    <w:p w:rsidR="00BE3645" w:rsidRDefault="00BE3645">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5BE" w:rsidRDefault="00A47012">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rsidR="002705BE" w:rsidRDefault="002705BE">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5BE" w:rsidRDefault="002705BE">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5BE" w:rsidRDefault="002705BE">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645" w:rsidRDefault="00BE3645">
      <w:pPr>
        <w:rPr>
          <w:rFonts w:ascii="TimesLT" w:hAnsi="TimesLT"/>
          <w:lang w:val="en-US"/>
        </w:rPr>
      </w:pPr>
      <w:r>
        <w:rPr>
          <w:rFonts w:ascii="TimesLT" w:hAnsi="TimesLT"/>
          <w:lang w:val="en-US"/>
        </w:rPr>
        <w:separator/>
      </w:r>
    </w:p>
  </w:footnote>
  <w:footnote w:type="continuationSeparator" w:id="0">
    <w:p w:rsidR="00BE3645" w:rsidRDefault="00BE3645">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5BE" w:rsidRDefault="00A47012">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rsidR="002705BE" w:rsidRDefault="002705BE">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5BE" w:rsidRDefault="00A47012">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0915DB">
      <w:rPr>
        <w:noProof/>
        <w:szCs w:val="24"/>
        <w:lang w:val="en-US"/>
      </w:rPr>
      <w:t>5</w:t>
    </w:r>
    <w:r>
      <w:rPr>
        <w:szCs w:val="24"/>
        <w:lang w:val="en-US"/>
      </w:rPr>
      <w:fldChar w:fldCharType="end"/>
    </w:r>
  </w:p>
  <w:p w:rsidR="002705BE" w:rsidRDefault="002705BE">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5BE" w:rsidRDefault="002705BE">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8400F"/>
    <w:multiLevelType w:val="hybridMultilevel"/>
    <w:tmpl w:val="1780D362"/>
    <w:lvl w:ilvl="0" w:tplc="B13833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46DD4A9C"/>
    <w:multiLevelType w:val="hybridMultilevel"/>
    <w:tmpl w:val="FA66D796"/>
    <w:lvl w:ilvl="0" w:tplc="591843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65460166"/>
    <w:multiLevelType w:val="hybridMultilevel"/>
    <w:tmpl w:val="D37E21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68B40431"/>
    <w:multiLevelType w:val="hybridMultilevel"/>
    <w:tmpl w:val="230E3180"/>
    <w:lvl w:ilvl="0" w:tplc="40F8B9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027"/>
    <w:rsid w:val="0004100A"/>
    <w:rsid w:val="000427ED"/>
    <w:rsid w:val="00044DDE"/>
    <w:rsid w:val="000915DB"/>
    <w:rsid w:val="00097F73"/>
    <w:rsid w:val="000D730E"/>
    <w:rsid w:val="000E5F04"/>
    <w:rsid w:val="000F42C7"/>
    <w:rsid w:val="000F4C97"/>
    <w:rsid w:val="00113027"/>
    <w:rsid w:val="00160A7D"/>
    <w:rsid w:val="001C1721"/>
    <w:rsid w:val="00211287"/>
    <w:rsid w:val="002705BE"/>
    <w:rsid w:val="00283F75"/>
    <w:rsid w:val="002A4532"/>
    <w:rsid w:val="002A4D25"/>
    <w:rsid w:val="002B3AEF"/>
    <w:rsid w:val="002D3F36"/>
    <w:rsid w:val="002D7371"/>
    <w:rsid w:val="003F5C06"/>
    <w:rsid w:val="00447330"/>
    <w:rsid w:val="0045311D"/>
    <w:rsid w:val="00464210"/>
    <w:rsid w:val="00477BD8"/>
    <w:rsid w:val="0048038E"/>
    <w:rsid w:val="004934CD"/>
    <w:rsid w:val="00493827"/>
    <w:rsid w:val="004A325C"/>
    <w:rsid w:val="004C1665"/>
    <w:rsid w:val="00507BEF"/>
    <w:rsid w:val="005237FF"/>
    <w:rsid w:val="005D5214"/>
    <w:rsid w:val="005D602B"/>
    <w:rsid w:val="005F3572"/>
    <w:rsid w:val="006872AF"/>
    <w:rsid w:val="006A1238"/>
    <w:rsid w:val="006C6EAD"/>
    <w:rsid w:val="007237CB"/>
    <w:rsid w:val="0076423F"/>
    <w:rsid w:val="007C2E01"/>
    <w:rsid w:val="007E7BDB"/>
    <w:rsid w:val="007F0726"/>
    <w:rsid w:val="00821E72"/>
    <w:rsid w:val="0083058D"/>
    <w:rsid w:val="00865F53"/>
    <w:rsid w:val="00881572"/>
    <w:rsid w:val="008A6E1D"/>
    <w:rsid w:val="009404D1"/>
    <w:rsid w:val="009C7FCB"/>
    <w:rsid w:val="009D0A3C"/>
    <w:rsid w:val="009D6D59"/>
    <w:rsid w:val="00A1110E"/>
    <w:rsid w:val="00A317B6"/>
    <w:rsid w:val="00A47012"/>
    <w:rsid w:val="00A56414"/>
    <w:rsid w:val="00A60311"/>
    <w:rsid w:val="00A660FE"/>
    <w:rsid w:val="00A7613A"/>
    <w:rsid w:val="00AB4361"/>
    <w:rsid w:val="00AF2AF1"/>
    <w:rsid w:val="00B0452C"/>
    <w:rsid w:val="00B14ED5"/>
    <w:rsid w:val="00B212E6"/>
    <w:rsid w:val="00B36F20"/>
    <w:rsid w:val="00B6157E"/>
    <w:rsid w:val="00B731C8"/>
    <w:rsid w:val="00BA3976"/>
    <w:rsid w:val="00BA760D"/>
    <w:rsid w:val="00BE3645"/>
    <w:rsid w:val="00BF6D6A"/>
    <w:rsid w:val="00C26089"/>
    <w:rsid w:val="00CA7B6D"/>
    <w:rsid w:val="00CE381D"/>
    <w:rsid w:val="00CF1D9A"/>
    <w:rsid w:val="00D018CC"/>
    <w:rsid w:val="00D26F1E"/>
    <w:rsid w:val="00D40024"/>
    <w:rsid w:val="00D4303F"/>
    <w:rsid w:val="00D833D1"/>
    <w:rsid w:val="00D96BB0"/>
    <w:rsid w:val="00DC0463"/>
    <w:rsid w:val="00DF48C5"/>
    <w:rsid w:val="00DF6DDE"/>
    <w:rsid w:val="00E12E20"/>
    <w:rsid w:val="00E65AEF"/>
    <w:rsid w:val="00E75BA0"/>
    <w:rsid w:val="00E94A1D"/>
    <w:rsid w:val="00EA0DC6"/>
    <w:rsid w:val="00ED2698"/>
    <w:rsid w:val="00EE2A11"/>
    <w:rsid w:val="00EF0C68"/>
    <w:rsid w:val="00F147D8"/>
    <w:rsid w:val="00F753B6"/>
    <w:rsid w:val="00FA6E71"/>
    <w:rsid w:val="00FB2818"/>
    <w:rsid w:val="00FE63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annotation reference"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FE6345"/>
    <w:rPr>
      <w:rFonts w:ascii="Tahoma" w:hAnsi="Tahoma" w:cs="Tahoma"/>
      <w:sz w:val="16"/>
      <w:szCs w:val="16"/>
    </w:rPr>
  </w:style>
  <w:style w:type="character" w:customStyle="1" w:styleId="DebesliotekstasDiagrama">
    <w:name w:val="Debesėlio tekstas Diagrama"/>
    <w:basedOn w:val="Numatytasispastraiposriftas"/>
    <w:link w:val="Debesliotekstas"/>
    <w:rsid w:val="00FE6345"/>
    <w:rPr>
      <w:rFonts w:ascii="Tahoma" w:hAnsi="Tahoma" w:cs="Tahoma"/>
      <w:sz w:val="16"/>
      <w:szCs w:val="16"/>
    </w:rPr>
  </w:style>
  <w:style w:type="table" w:styleId="Lentelstinklelis">
    <w:name w:val="Table Grid"/>
    <w:basedOn w:val="prastojilentel"/>
    <w:rsid w:val="00FE6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rsid w:val="00464210"/>
  </w:style>
  <w:style w:type="paragraph" w:customStyle="1" w:styleId="tactin">
    <w:name w:val="tactin"/>
    <w:basedOn w:val="prastasis"/>
    <w:rsid w:val="00464210"/>
    <w:pPr>
      <w:spacing w:after="150"/>
    </w:pPr>
    <w:rPr>
      <w:szCs w:val="24"/>
      <w:lang w:eastAsia="lt-LT" w:bidi="my-MM"/>
    </w:rPr>
  </w:style>
  <w:style w:type="paragraph" w:styleId="Sraopastraipa">
    <w:name w:val="List Paragraph"/>
    <w:basedOn w:val="prastasis"/>
    <w:rsid w:val="006872AF"/>
    <w:pPr>
      <w:ind w:left="720"/>
      <w:contextualSpacing/>
    </w:pPr>
  </w:style>
  <w:style w:type="paragraph" w:styleId="Komentarotekstas">
    <w:name w:val="annotation text"/>
    <w:basedOn w:val="prastasis"/>
    <w:link w:val="KomentarotekstasDiagrama"/>
    <w:rsid w:val="006872AF"/>
    <w:rPr>
      <w:sz w:val="20"/>
    </w:rPr>
  </w:style>
  <w:style w:type="character" w:customStyle="1" w:styleId="KomentarotekstasDiagrama">
    <w:name w:val="Komentaro tekstas Diagrama"/>
    <w:basedOn w:val="Numatytasispastraiposriftas"/>
    <w:link w:val="Komentarotekstas"/>
    <w:rsid w:val="006872AF"/>
    <w:rPr>
      <w:sz w:val="20"/>
    </w:rPr>
  </w:style>
  <w:style w:type="character" w:styleId="Komentaronuoroda">
    <w:name w:val="annotation reference"/>
    <w:basedOn w:val="Numatytasispastraiposriftas"/>
    <w:uiPriority w:val="99"/>
    <w:unhideWhenUsed/>
    <w:rsid w:val="006872AF"/>
    <w:rPr>
      <w:sz w:val="16"/>
      <w:szCs w:val="16"/>
    </w:rPr>
  </w:style>
  <w:style w:type="paragraph" w:styleId="Antrats">
    <w:name w:val="header"/>
    <w:basedOn w:val="prastasis"/>
    <w:link w:val="AntratsDiagrama"/>
    <w:rsid w:val="00A1110E"/>
    <w:pPr>
      <w:tabs>
        <w:tab w:val="center" w:pos="4819"/>
        <w:tab w:val="right" w:pos="9638"/>
      </w:tabs>
    </w:pPr>
  </w:style>
  <w:style w:type="character" w:customStyle="1" w:styleId="AntratsDiagrama">
    <w:name w:val="Antraštės Diagrama"/>
    <w:basedOn w:val="Numatytasispastraiposriftas"/>
    <w:link w:val="Antrats"/>
    <w:rsid w:val="00A1110E"/>
  </w:style>
  <w:style w:type="paragraph" w:styleId="Porat">
    <w:name w:val="footer"/>
    <w:basedOn w:val="prastasis"/>
    <w:link w:val="PoratDiagrama"/>
    <w:rsid w:val="00A1110E"/>
    <w:pPr>
      <w:tabs>
        <w:tab w:val="center" w:pos="4819"/>
        <w:tab w:val="right" w:pos="9638"/>
      </w:tabs>
    </w:pPr>
  </w:style>
  <w:style w:type="character" w:customStyle="1" w:styleId="PoratDiagrama">
    <w:name w:val="Poraštė Diagrama"/>
    <w:basedOn w:val="Numatytasispastraiposriftas"/>
    <w:link w:val="Porat"/>
    <w:rsid w:val="00A1110E"/>
  </w:style>
  <w:style w:type="paragraph" w:styleId="Komentarotema">
    <w:name w:val="annotation subject"/>
    <w:basedOn w:val="Komentarotekstas"/>
    <w:next w:val="Komentarotekstas"/>
    <w:link w:val="KomentarotemaDiagrama"/>
    <w:rsid w:val="00B6157E"/>
    <w:rPr>
      <w:b/>
      <w:bCs/>
    </w:rPr>
  </w:style>
  <w:style w:type="character" w:customStyle="1" w:styleId="KomentarotemaDiagrama">
    <w:name w:val="Komentaro tema Diagrama"/>
    <w:basedOn w:val="KomentarotekstasDiagrama"/>
    <w:link w:val="Komentarotema"/>
    <w:rsid w:val="00B6157E"/>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annotation reference"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FE6345"/>
    <w:rPr>
      <w:rFonts w:ascii="Tahoma" w:hAnsi="Tahoma" w:cs="Tahoma"/>
      <w:sz w:val="16"/>
      <w:szCs w:val="16"/>
    </w:rPr>
  </w:style>
  <w:style w:type="character" w:customStyle="1" w:styleId="DebesliotekstasDiagrama">
    <w:name w:val="Debesėlio tekstas Diagrama"/>
    <w:basedOn w:val="Numatytasispastraiposriftas"/>
    <w:link w:val="Debesliotekstas"/>
    <w:rsid w:val="00FE6345"/>
    <w:rPr>
      <w:rFonts w:ascii="Tahoma" w:hAnsi="Tahoma" w:cs="Tahoma"/>
      <w:sz w:val="16"/>
      <w:szCs w:val="16"/>
    </w:rPr>
  </w:style>
  <w:style w:type="table" w:styleId="Lentelstinklelis">
    <w:name w:val="Table Grid"/>
    <w:basedOn w:val="prastojilentel"/>
    <w:rsid w:val="00FE6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rsid w:val="00464210"/>
  </w:style>
  <w:style w:type="paragraph" w:customStyle="1" w:styleId="tactin">
    <w:name w:val="tactin"/>
    <w:basedOn w:val="prastasis"/>
    <w:rsid w:val="00464210"/>
    <w:pPr>
      <w:spacing w:after="150"/>
    </w:pPr>
    <w:rPr>
      <w:szCs w:val="24"/>
      <w:lang w:eastAsia="lt-LT" w:bidi="my-MM"/>
    </w:rPr>
  </w:style>
  <w:style w:type="paragraph" w:styleId="Sraopastraipa">
    <w:name w:val="List Paragraph"/>
    <w:basedOn w:val="prastasis"/>
    <w:rsid w:val="006872AF"/>
    <w:pPr>
      <w:ind w:left="720"/>
      <w:contextualSpacing/>
    </w:pPr>
  </w:style>
  <w:style w:type="paragraph" w:styleId="Komentarotekstas">
    <w:name w:val="annotation text"/>
    <w:basedOn w:val="prastasis"/>
    <w:link w:val="KomentarotekstasDiagrama"/>
    <w:rsid w:val="006872AF"/>
    <w:rPr>
      <w:sz w:val="20"/>
    </w:rPr>
  </w:style>
  <w:style w:type="character" w:customStyle="1" w:styleId="KomentarotekstasDiagrama">
    <w:name w:val="Komentaro tekstas Diagrama"/>
    <w:basedOn w:val="Numatytasispastraiposriftas"/>
    <w:link w:val="Komentarotekstas"/>
    <w:rsid w:val="006872AF"/>
    <w:rPr>
      <w:sz w:val="20"/>
    </w:rPr>
  </w:style>
  <w:style w:type="character" w:styleId="Komentaronuoroda">
    <w:name w:val="annotation reference"/>
    <w:basedOn w:val="Numatytasispastraiposriftas"/>
    <w:uiPriority w:val="99"/>
    <w:unhideWhenUsed/>
    <w:rsid w:val="006872AF"/>
    <w:rPr>
      <w:sz w:val="16"/>
      <w:szCs w:val="16"/>
    </w:rPr>
  </w:style>
  <w:style w:type="paragraph" w:styleId="Antrats">
    <w:name w:val="header"/>
    <w:basedOn w:val="prastasis"/>
    <w:link w:val="AntratsDiagrama"/>
    <w:rsid w:val="00A1110E"/>
    <w:pPr>
      <w:tabs>
        <w:tab w:val="center" w:pos="4819"/>
        <w:tab w:val="right" w:pos="9638"/>
      </w:tabs>
    </w:pPr>
  </w:style>
  <w:style w:type="character" w:customStyle="1" w:styleId="AntratsDiagrama">
    <w:name w:val="Antraštės Diagrama"/>
    <w:basedOn w:val="Numatytasispastraiposriftas"/>
    <w:link w:val="Antrats"/>
    <w:rsid w:val="00A1110E"/>
  </w:style>
  <w:style w:type="paragraph" w:styleId="Porat">
    <w:name w:val="footer"/>
    <w:basedOn w:val="prastasis"/>
    <w:link w:val="PoratDiagrama"/>
    <w:rsid w:val="00A1110E"/>
    <w:pPr>
      <w:tabs>
        <w:tab w:val="center" w:pos="4819"/>
        <w:tab w:val="right" w:pos="9638"/>
      </w:tabs>
    </w:pPr>
  </w:style>
  <w:style w:type="character" w:customStyle="1" w:styleId="PoratDiagrama">
    <w:name w:val="Poraštė Diagrama"/>
    <w:basedOn w:val="Numatytasispastraiposriftas"/>
    <w:link w:val="Porat"/>
    <w:rsid w:val="00A1110E"/>
  </w:style>
  <w:style w:type="paragraph" w:styleId="Komentarotema">
    <w:name w:val="annotation subject"/>
    <w:basedOn w:val="Komentarotekstas"/>
    <w:next w:val="Komentarotekstas"/>
    <w:link w:val="KomentarotemaDiagrama"/>
    <w:rsid w:val="00B6157E"/>
    <w:rPr>
      <w:b/>
      <w:bCs/>
    </w:rPr>
  </w:style>
  <w:style w:type="character" w:customStyle="1" w:styleId="KomentarotemaDiagrama">
    <w:name w:val="Komentaro tema Diagrama"/>
    <w:basedOn w:val="KomentarotekstasDiagrama"/>
    <w:link w:val="Komentarotema"/>
    <w:rsid w:val="00B6157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9282</Words>
  <Characters>5292</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14545</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2021-11-26T13:11:00Z</dcterms:created>
  <dc:creator>„Windows“ vartotojas</dc:creator>
  <cp:lastModifiedBy>Neringa Černiauskė</cp:lastModifiedBy>
  <cp:lastPrinted>2020-05-21T13:32:00Z</cp:lastPrinted>
  <dcterms:modified xsi:type="dcterms:W3CDTF">2021-12-03T13:54:00Z</dcterms:modified>
  <cp:revision>14</cp:revision>
</cp:coreProperties>
</file>