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3" w:rsidRPr="006658F1" w:rsidRDefault="00B86403" w:rsidP="00D65621">
      <w:pPr>
        <w:jc w:val="both"/>
        <w:rPr>
          <w:szCs w:val="24"/>
        </w:rPr>
      </w:pPr>
      <w:bookmarkStart w:id="0" w:name="_Toc473644121"/>
      <w:r w:rsidRPr="006658F1">
        <w:rPr>
          <w:rFonts w:eastAsia="Calibri"/>
          <w:b/>
          <w:noProof/>
          <w:color w:val="0070C0"/>
          <w:szCs w:val="24"/>
          <w:lang w:eastAsia="lt-LT"/>
        </w:rPr>
        <w:drawing>
          <wp:inline distT="0" distB="0" distL="0" distR="0" wp14:anchorId="2C758D8A" wp14:editId="34C3A254">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rsidR="00B86403" w:rsidRPr="006658F1" w:rsidRDefault="00B86403" w:rsidP="00D65621">
      <w:pPr>
        <w:jc w:val="both"/>
        <w:rPr>
          <w:szCs w:val="24"/>
        </w:rPr>
      </w:pPr>
    </w:p>
    <w:p w:rsidR="00B86403" w:rsidRPr="006658F1" w:rsidRDefault="00B86403" w:rsidP="00D65621">
      <w:pPr>
        <w:jc w:val="both"/>
        <w:rPr>
          <w:szCs w:val="24"/>
        </w:rPr>
      </w:pPr>
    </w:p>
    <w:p w:rsidR="00B86403" w:rsidRPr="006658F1" w:rsidRDefault="00B86403" w:rsidP="00D65621">
      <w:pPr>
        <w:jc w:val="both"/>
        <w:rPr>
          <w:szCs w:val="24"/>
        </w:rPr>
      </w:pPr>
    </w:p>
    <w:p w:rsidR="00B86403" w:rsidRPr="006658F1" w:rsidRDefault="00B86403" w:rsidP="00D65621">
      <w:pPr>
        <w:jc w:val="both"/>
        <w:rPr>
          <w:szCs w:val="24"/>
        </w:rPr>
      </w:pPr>
    </w:p>
    <w:p w:rsidR="00C42339" w:rsidRPr="006658F1" w:rsidRDefault="00C42339" w:rsidP="00D65621">
      <w:pPr>
        <w:jc w:val="both"/>
        <w:rPr>
          <w:szCs w:val="24"/>
        </w:rPr>
      </w:pPr>
    </w:p>
    <w:p w:rsidR="00B86403" w:rsidRPr="006658F1" w:rsidRDefault="00B86403" w:rsidP="00D65621">
      <w:pPr>
        <w:jc w:val="both"/>
        <w:rPr>
          <w:szCs w:val="24"/>
        </w:rPr>
      </w:pPr>
      <w:r w:rsidRPr="006658F1">
        <w:rPr>
          <w:noProof/>
          <w:szCs w:val="24"/>
          <w:lang w:eastAsia="lt-LT"/>
        </w:rPr>
        <mc:AlternateContent>
          <mc:Choice Requires="wps">
            <w:drawing>
              <wp:anchor distT="0" distB="0" distL="114300" distR="114300" simplePos="0" relativeHeight="251659264" behindDoc="0" locked="0" layoutInCell="1" allowOverlap="1" wp14:anchorId="50373706" wp14:editId="7146B818">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9F0" w:rsidRPr="00BD3E54" w:rsidRDefault="00DC29F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DC29F0" w:rsidRDefault="00DC29F0" w:rsidP="00B86403">
                            <w:pPr>
                              <w:rPr>
                                <w:rFonts w:ascii="Calibri" w:hAnsi="Calibri"/>
                                <w:b/>
                                <w:color w:val="D9D9D9"/>
                                <w:sz w:val="48"/>
                                <w:szCs w:val="48"/>
                              </w:rPr>
                            </w:pPr>
                          </w:p>
                          <w:p w:rsidR="00DC29F0" w:rsidRPr="00BD3E54" w:rsidRDefault="00DC29F0" w:rsidP="00B86403">
                            <w:pPr>
                              <w:rPr>
                                <w:rFonts w:ascii="Calibri" w:hAnsi="Calibri"/>
                                <w:b/>
                                <w:color w:val="D9D9D9"/>
                                <w:sz w:val="48"/>
                                <w:szCs w:val="48"/>
                              </w:rPr>
                            </w:pPr>
                          </w:p>
                          <w:p w:rsidR="00DC29F0" w:rsidRPr="00A40881" w:rsidRDefault="00DC29F0" w:rsidP="00D65621">
                            <w:pPr>
                              <w:jc w:val="center"/>
                              <w:rPr>
                                <w:sz w:val="28"/>
                                <w:szCs w:val="28"/>
                              </w:rPr>
                            </w:pPr>
                            <w:r>
                              <w:rPr>
                                <w:rFonts w:ascii="Calibri" w:hAnsi="Calibri"/>
                                <w:b/>
                                <w:color w:val="D9D9D9"/>
                                <w:sz w:val="28"/>
                                <w:szCs w:val="28"/>
                              </w:rPr>
                              <w:t xml:space="preserve">2021 metų III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rsidR="00DC29F0" w:rsidRPr="00BD3E54" w:rsidRDefault="00DC29F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DC29F0" w:rsidRDefault="00DC29F0" w:rsidP="00B86403">
                      <w:pPr>
                        <w:rPr>
                          <w:rFonts w:ascii="Calibri" w:hAnsi="Calibri"/>
                          <w:b/>
                          <w:color w:val="D9D9D9"/>
                          <w:sz w:val="48"/>
                          <w:szCs w:val="48"/>
                        </w:rPr>
                      </w:pPr>
                    </w:p>
                    <w:p w:rsidR="00DC29F0" w:rsidRPr="00BD3E54" w:rsidRDefault="00DC29F0" w:rsidP="00B86403">
                      <w:pPr>
                        <w:rPr>
                          <w:rFonts w:ascii="Calibri" w:hAnsi="Calibri"/>
                          <w:b/>
                          <w:color w:val="D9D9D9"/>
                          <w:sz w:val="48"/>
                          <w:szCs w:val="48"/>
                        </w:rPr>
                      </w:pPr>
                    </w:p>
                    <w:p w:rsidR="00DC29F0" w:rsidRPr="00A40881" w:rsidRDefault="00DC29F0" w:rsidP="00D65621">
                      <w:pPr>
                        <w:jc w:val="center"/>
                        <w:rPr>
                          <w:sz w:val="28"/>
                          <w:szCs w:val="28"/>
                        </w:rPr>
                      </w:pPr>
                      <w:r>
                        <w:rPr>
                          <w:rFonts w:ascii="Calibri" w:hAnsi="Calibri"/>
                          <w:b/>
                          <w:color w:val="D9D9D9"/>
                          <w:sz w:val="28"/>
                          <w:szCs w:val="28"/>
                        </w:rPr>
                        <w:t xml:space="preserve">2021 metų III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v:textbox>
              </v:shape>
            </w:pict>
          </mc:Fallback>
        </mc:AlternateContent>
      </w:r>
    </w:p>
    <w:p w:rsidR="00B86403" w:rsidRPr="006658F1" w:rsidRDefault="00B86403" w:rsidP="00D65621">
      <w:pPr>
        <w:jc w:val="both"/>
        <w:rPr>
          <w:szCs w:val="24"/>
        </w:rPr>
      </w:pPr>
      <w:r w:rsidRPr="006658F1">
        <w:rPr>
          <w:noProof/>
          <w:szCs w:val="24"/>
          <w:lang w:eastAsia="lt-LT"/>
        </w:rPr>
        <mc:AlternateContent>
          <mc:Choice Requires="wps">
            <w:drawing>
              <wp:anchor distT="0" distB="0" distL="114300" distR="114300" simplePos="0" relativeHeight="251657216" behindDoc="1" locked="0" layoutInCell="1" allowOverlap="1" wp14:anchorId="41116588" wp14:editId="5370F323">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9F0" w:rsidRDefault="00DC29F0" w:rsidP="00670A6A">
                            <w:pPr>
                              <w:ind w:left="-567"/>
                              <w:jc w:val="center"/>
                            </w:pPr>
                            <w:r>
                              <w:rPr>
                                <w:noProof/>
                                <w:lang w:eastAsia="lt-LT"/>
                              </w:rPr>
                              <w:drawing>
                                <wp:inline distT="0" distB="0" distL="0" distR="0" wp14:anchorId="315B50A8" wp14:editId="17320557">
                                  <wp:extent cx="6564517" cy="2790967"/>
                                  <wp:effectExtent l="0" t="0" r="825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rsidR="00DC29F0" w:rsidRDefault="00DC29F0" w:rsidP="00670A6A">
                      <w:pPr>
                        <w:ind w:left="-567"/>
                        <w:jc w:val="center"/>
                      </w:pPr>
                      <w:r>
                        <w:rPr>
                          <w:noProof/>
                          <w:lang w:eastAsia="lt-LT"/>
                        </w:rPr>
                        <w:drawing>
                          <wp:inline distT="0" distB="0" distL="0" distR="0" wp14:anchorId="1EB36F95" wp14:editId="64CC7B32">
                            <wp:extent cx="6564517" cy="2790967"/>
                            <wp:effectExtent l="0" t="0" r="825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rsidR="00A40881" w:rsidRPr="006658F1" w:rsidRDefault="000C4C16" w:rsidP="00D65621">
      <w:pPr>
        <w:rPr>
          <w:rFonts w:eastAsia="Calibri"/>
          <w:b/>
          <w:color w:val="0070C0"/>
          <w:szCs w:val="24"/>
          <w:lang w:eastAsia="lt-LT"/>
        </w:rPr>
      </w:pPr>
      <w:r w:rsidRPr="006658F1">
        <w:rPr>
          <w:rFonts w:eastAsia="Calibri"/>
          <w:b/>
          <w:color w:val="0070C0"/>
          <w:szCs w:val="24"/>
          <w:lang w:eastAsia="lt-LT"/>
        </w:rPr>
        <w:br w:type="page"/>
      </w:r>
    </w:p>
    <w:sdt>
      <w:sdtPr>
        <w:rPr>
          <w:rFonts w:eastAsia="Calibri"/>
          <w:bCs/>
          <w:color w:val="7F7F7F" w:themeColor="text1" w:themeTint="80"/>
          <w:szCs w:val="24"/>
        </w:rPr>
        <w:id w:val="-865983546"/>
        <w:docPartObj>
          <w:docPartGallery w:val="Table of Contents"/>
          <w:docPartUnique/>
        </w:docPartObj>
      </w:sdtPr>
      <w:sdtEndPr>
        <w:rPr>
          <w:bCs w:val="0"/>
          <w:color w:val="595959" w:themeColor="text1" w:themeTint="A6"/>
        </w:rPr>
      </w:sdtEndPr>
      <w:sdtContent>
        <w:p w:rsidR="00B86403" w:rsidRPr="006658F1" w:rsidRDefault="00B86403" w:rsidP="00D65621">
          <w:pPr>
            <w:rPr>
              <w:color w:val="595959" w:themeColor="text1" w:themeTint="A6"/>
              <w:szCs w:val="24"/>
              <w:lang w:eastAsia="lt-LT"/>
            </w:rPr>
          </w:pPr>
          <w:r w:rsidRPr="006658F1">
            <w:rPr>
              <w:color w:val="595959" w:themeColor="text1" w:themeTint="A6"/>
              <w:szCs w:val="24"/>
              <w:lang w:eastAsia="lt-LT"/>
            </w:rPr>
            <w:t>Turinys</w:t>
          </w:r>
        </w:p>
        <w:p w:rsidR="009715A2" w:rsidRPr="009715A2" w:rsidRDefault="00B86403">
          <w:pPr>
            <w:pStyle w:val="Turinys1"/>
            <w:tabs>
              <w:tab w:val="left" w:pos="440"/>
              <w:tab w:val="right" w:leader="dot" w:pos="9628"/>
            </w:tabs>
            <w:rPr>
              <w:rFonts w:asciiTheme="minorHAnsi" w:eastAsiaTheme="minorEastAsia" w:hAnsiTheme="minorHAnsi" w:cstheme="minorBidi"/>
              <w:noProof/>
              <w:color w:val="595959" w:themeColor="text1" w:themeTint="A6"/>
              <w:sz w:val="22"/>
              <w:szCs w:val="22"/>
              <w:lang w:eastAsia="lt-LT"/>
            </w:rPr>
          </w:pPr>
          <w:r w:rsidRPr="006658F1">
            <w:rPr>
              <w:color w:val="595959" w:themeColor="text1" w:themeTint="A6"/>
              <w:szCs w:val="24"/>
              <w:lang w:eastAsia="lt-LT"/>
            </w:rPr>
            <w:fldChar w:fldCharType="begin"/>
          </w:r>
          <w:r w:rsidRPr="006658F1">
            <w:rPr>
              <w:color w:val="595959" w:themeColor="text1" w:themeTint="A6"/>
              <w:szCs w:val="24"/>
              <w:lang w:eastAsia="lt-LT"/>
            </w:rPr>
            <w:instrText xml:space="preserve"> TOC \o "1-3" \h \z \u </w:instrText>
          </w:r>
          <w:r w:rsidRPr="006658F1">
            <w:rPr>
              <w:color w:val="595959" w:themeColor="text1" w:themeTint="A6"/>
              <w:szCs w:val="24"/>
              <w:lang w:eastAsia="lt-LT"/>
            </w:rPr>
            <w:fldChar w:fldCharType="separate"/>
          </w:r>
          <w:hyperlink w:anchor="_Toc86414507" w:history="1">
            <w:r w:rsidR="009715A2" w:rsidRPr="009715A2">
              <w:rPr>
                <w:rStyle w:val="Hipersaitas"/>
                <w:noProof/>
                <w:color w:val="595959" w:themeColor="text1" w:themeTint="A6"/>
              </w:rPr>
              <w:t>I.</w:t>
            </w:r>
            <w:r w:rsidR="009715A2" w:rsidRPr="009715A2">
              <w:rPr>
                <w:rFonts w:asciiTheme="minorHAnsi" w:eastAsiaTheme="minorEastAsia" w:hAnsiTheme="minorHAnsi" w:cstheme="minorBidi"/>
                <w:noProof/>
                <w:color w:val="595959" w:themeColor="text1" w:themeTint="A6"/>
                <w:sz w:val="22"/>
                <w:szCs w:val="22"/>
                <w:lang w:eastAsia="lt-LT"/>
              </w:rPr>
              <w:tab/>
            </w:r>
            <w:r w:rsidR="009715A2" w:rsidRPr="009715A2">
              <w:rPr>
                <w:rStyle w:val="Hipersaitas"/>
                <w:noProof/>
                <w:color w:val="595959" w:themeColor="text1" w:themeTint="A6"/>
              </w:rPr>
              <w:t>Bendra Veiksmų programos įgyvendinimo apžvalga</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_Toc86414507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5</w:t>
            </w:r>
            <w:r w:rsidR="009715A2" w:rsidRPr="009715A2">
              <w:rPr>
                <w:noProof/>
                <w:webHidden/>
                <w:color w:val="595959" w:themeColor="text1" w:themeTint="A6"/>
              </w:rPr>
              <w:fldChar w:fldCharType="end"/>
            </w:r>
          </w:hyperlink>
        </w:p>
        <w:p w:rsidR="009715A2" w:rsidRPr="009715A2" w:rsidRDefault="001E5FBD">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08" w:history="1">
            <w:r w:rsidR="009715A2" w:rsidRPr="009715A2">
              <w:rPr>
                <w:rStyle w:val="Hipersaitas"/>
                <w:noProof/>
                <w:color w:val="595959" w:themeColor="text1" w:themeTint="A6"/>
              </w:rPr>
              <w:t>II.</w:t>
            </w:r>
            <w:r w:rsidR="009715A2" w:rsidRPr="009715A2">
              <w:rPr>
                <w:rFonts w:asciiTheme="minorHAnsi" w:eastAsiaTheme="minorEastAsia" w:hAnsiTheme="minorHAnsi" w:cstheme="minorBidi"/>
                <w:noProof/>
                <w:color w:val="595959" w:themeColor="text1" w:themeTint="A6"/>
                <w:sz w:val="22"/>
                <w:szCs w:val="22"/>
                <w:lang w:eastAsia="lt-LT"/>
              </w:rPr>
              <w:tab/>
            </w:r>
            <w:r w:rsidR="009715A2" w:rsidRPr="009715A2">
              <w:rPr>
                <w:rStyle w:val="Hipersaitas"/>
                <w:noProof/>
                <w:color w:val="595959" w:themeColor="text1" w:themeTint="A6"/>
              </w:rPr>
              <w:t>Veiksmų programos įgyvendinimo rizikų apžvalga</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_Toc86414508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7</w:t>
            </w:r>
            <w:r w:rsidR="009715A2" w:rsidRPr="009715A2">
              <w:rPr>
                <w:noProof/>
                <w:webHidden/>
                <w:color w:val="595959" w:themeColor="text1" w:themeTint="A6"/>
              </w:rPr>
              <w:fldChar w:fldCharType="end"/>
            </w:r>
          </w:hyperlink>
        </w:p>
        <w:p w:rsidR="009715A2" w:rsidRPr="009715A2" w:rsidRDefault="001E5FBD">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09" w:history="1">
            <w:r w:rsidR="009715A2" w:rsidRPr="009715A2">
              <w:rPr>
                <w:rStyle w:val="Hipersaitas"/>
                <w:noProof/>
                <w:color w:val="595959" w:themeColor="text1" w:themeTint="A6"/>
              </w:rPr>
              <w:t>III.</w:t>
            </w:r>
            <w:r w:rsidR="009715A2" w:rsidRPr="009715A2">
              <w:rPr>
                <w:rFonts w:asciiTheme="minorHAnsi" w:eastAsiaTheme="minorEastAsia" w:hAnsiTheme="minorHAnsi" w:cstheme="minorBidi"/>
                <w:noProof/>
                <w:color w:val="595959" w:themeColor="text1" w:themeTint="A6"/>
                <w:sz w:val="22"/>
                <w:szCs w:val="22"/>
                <w:lang w:eastAsia="lt-LT"/>
              </w:rPr>
              <w:tab/>
            </w:r>
            <w:r w:rsidR="009715A2" w:rsidRPr="009715A2">
              <w:rPr>
                <w:rStyle w:val="Hipersaitas"/>
                <w:noProof/>
                <w:color w:val="595959" w:themeColor="text1" w:themeTint="A6"/>
              </w:rPr>
              <w:t>Situacijos sektoriuose analizė ir siūlymai</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_Toc86414509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8</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0" w:history="1">
            <w:r w:rsidR="009715A2" w:rsidRPr="009715A2">
              <w:rPr>
                <w:rStyle w:val="Hipersaitas"/>
                <w:rFonts w:eastAsiaTheme="majorEastAsia"/>
                <w:bCs/>
                <w:noProof/>
                <w:color w:val="595959" w:themeColor="text1" w:themeTint="A6"/>
                <w:lang w:eastAsia="lt-LT"/>
              </w:rPr>
              <w:t>1 prioritetas. Mokslinių tyrimų, eksperimentinės plėtros ir inovacijų skatinimas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_Toc86414510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9</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1" w:history="1">
            <w:r w:rsidR="009715A2" w:rsidRPr="009715A2">
              <w:rPr>
                <w:rStyle w:val="Hipersaitas"/>
                <w:rFonts w:eastAsiaTheme="majorEastAsia"/>
                <w:bCs/>
                <w:noProof/>
                <w:color w:val="595959" w:themeColor="text1" w:themeTint="A6"/>
                <w:lang w:eastAsia="lt-LT"/>
              </w:rPr>
              <w:t>2 prioritetas. Informacinės visuomenės skatinimas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_Toc86414511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9</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2" w:history="1">
            <w:r w:rsidR="009715A2" w:rsidRPr="009715A2">
              <w:rPr>
                <w:rStyle w:val="Hipersaitas"/>
                <w:rFonts w:eastAsiaTheme="majorEastAsia"/>
                <w:bCs/>
                <w:noProof/>
                <w:color w:val="595959" w:themeColor="text1" w:themeTint="A6"/>
                <w:lang w:eastAsia="lt-LT"/>
              </w:rPr>
              <w:t>3 prioritetas. Smulkiojo ir vidutinio verslo konkurencingumo skatinimas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_Toc86414512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10</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3" w:history="1">
            <w:r w:rsidR="009715A2" w:rsidRPr="009715A2">
              <w:rPr>
                <w:rStyle w:val="Hipersaitas"/>
                <w:rFonts w:eastAsiaTheme="majorEastAsia"/>
                <w:bCs/>
                <w:noProof/>
                <w:color w:val="595959" w:themeColor="text1" w:themeTint="A6"/>
                <w:lang w:eastAsia="lt-LT"/>
              </w:rPr>
              <w:t>4 prioritetas. Energijos efektyvumo ir atsinaujinančių išteklių energijos gamybos ir naudojimo skatinimas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_Toc86414513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11</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4" w:history="1">
            <w:r w:rsidR="009715A2" w:rsidRPr="009715A2">
              <w:rPr>
                <w:rStyle w:val="Hipersaitas"/>
                <w:rFonts w:eastAsiaTheme="majorEastAsia"/>
                <w:bCs/>
                <w:noProof/>
                <w:color w:val="595959" w:themeColor="text1" w:themeTint="A6"/>
                <w:lang w:eastAsia="lt-LT"/>
              </w:rPr>
              <w:t>5 prioritetas. Aplinkosauga, gamtos išteklių darnus naudojimas ir prisitaikymas prie klimato kaitos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_Toc86414514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12</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5" w:history="1">
            <w:r w:rsidR="009715A2" w:rsidRPr="009715A2">
              <w:rPr>
                <w:rStyle w:val="Hipersaitas"/>
                <w:noProof/>
                <w:color w:val="595959" w:themeColor="text1" w:themeTint="A6"/>
              </w:rPr>
              <w:t>6 prioritetas. Darnaus transporto ir pagrindinių tinklų infrastruktūros plėtra</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_Toc86414515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13</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6" w:history="1">
            <w:r w:rsidR="009715A2" w:rsidRPr="009715A2">
              <w:rPr>
                <w:rStyle w:val="Hipersaitas"/>
                <w:noProof/>
                <w:color w:val="595959" w:themeColor="text1" w:themeTint="A6"/>
              </w:rPr>
              <w:t>7 prioritetas. Kokybiško užimtumo ir dalyvavimo darbo rinkoje skatinimas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_Toc86414516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14</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7" w:history="1">
            <w:r w:rsidR="009715A2" w:rsidRPr="009715A2">
              <w:rPr>
                <w:rStyle w:val="Hipersaitas"/>
                <w:noProof/>
                <w:color w:val="595959" w:themeColor="text1" w:themeTint="A6"/>
              </w:rPr>
              <w:t>8 prioritetas. Socialinės įtraukties didinimas ir kova su skurdu</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_Toc86414517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15</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8" w:history="1">
            <w:r w:rsidR="009715A2" w:rsidRPr="009715A2">
              <w:rPr>
                <w:rStyle w:val="Hipersaitas"/>
                <w:noProof/>
                <w:color w:val="595959" w:themeColor="text1" w:themeTint="A6"/>
              </w:rPr>
              <w:t>9 prioritetas. Visuomenės švietimas ir žmogiškųjų išteklių potencialo didinimas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_Toc86414518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16</w:t>
            </w:r>
            <w:r w:rsidR="009715A2" w:rsidRPr="009715A2">
              <w:rPr>
                <w:noProof/>
                <w:webHidden/>
                <w:color w:val="595959" w:themeColor="text1" w:themeTint="A6"/>
              </w:rPr>
              <w:fldChar w:fldCharType="end"/>
            </w:r>
          </w:hyperlink>
        </w:p>
        <w:p w:rsidR="009715A2" w:rsidRPr="009715A2" w:rsidRDefault="001E5FBD">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19" w:history="1">
            <w:r w:rsidR="009715A2" w:rsidRPr="009715A2">
              <w:rPr>
                <w:rStyle w:val="Hipersaitas"/>
                <w:noProof/>
                <w:color w:val="595959" w:themeColor="text1" w:themeTint="A6"/>
              </w:rPr>
              <w:t>10 prioritetas. Visuomenės poreikius atitinkantis ir pažangus viešasis valdymas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_Toc86414519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17</w:t>
            </w:r>
            <w:r w:rsidR="009715A2" w:rsidRPr="009715A2">
              <w:rPr>
                <w:noProof/>
                <w:webHidden/>
                <w:color w:val="595959" w:themeColor="text1" w:themeTint="A6"/>
              </w:rPr>
              <w:fldChar w:fldCharType="end"/>
            </w:r>
          </w:hyperlink>
        </w:p>
        <w:p w:rsidR="009715A2" w:rsidRPr="009715A2" w:rsidRDefault="001E5FBD">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86414520" w:history="1">
            <w:r w:rsidR="009715A2" w:rsidRPr="009715A2">
              <w:rPr>
                <w:rStyle w:val="Hipersaitas"/>
                <w:noProof/>
                <w:color w:val="595959" w:themeColor="text1" w:themeTint="A6"/>
              </w:rPr>
              <w:t>IV.</w:t>
            </w:r>
            <w:r w:rsidR="009715A2" w:rsidRPr="009715A2">
              <w:rPr>
                <w:rFonts w:asciiTheme="minorHAnsi" w:eastAsiaTheme="minorEastAsia" w:hAnsiTheme="minorHAnsi" w:cstheme="minorBidi"/>
                <w:noProof/>
                <w:color w:val="595959" w:themeColor="text1" w:themeTint="A6"/>
                <w:sz w:val="22"/>
                <w:szCs w:val="22"/>
                <w:lang w:eastAsia="lt-LT"/>
              </w:rPr>
              <w:tab/>
            </w:r>
            <w:r w:rsidR="009715A2" w:rsidRPr="009715A2">
              <w:rPr>
                <w:rStyle w:val="Hipersaitas"/>
                <w:noProof/>
                <w:color w:val="595959" w:themeColor="text1" w:themeTint="A6"/>
              </w:rPr>
              <w:t>Pasirengimas 2021–2027 m. periodui</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_Toc86414520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17</w:t>
            </w:r>
            <w:r w:rsidR="009715A2" w:rsidRPr="009715A2">
              <w:rPr>
                <w:noProof/>
                <w:webHidden/>
                <w:color w:val="595959" w:themeColor="text1" w:themeTint="A6"/>
              </w:rPr>
              <w:fldChar w:fldCharType="end"/>
            </w:r>
          </w:hyperlink>
        </w:p>
        <w:p w:rsidR="009715A2" w:rsidRDefault="001E5FBD">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86414521" w:history="1">
            <w:r w:rsidR="009715A2" w:rsidRPr="009715A2">
              <w:rPr>
                <w:rStyle w:val="Hipersaitas"/>
                <w:noProof/>
                <w:color w:val="595959" w:themeColor="text1" w:themeTint="A6"/>
              </w:rPr>
              <w:t>V.</w:t>
            </w:r>
            <w:r w:rsidR="009715A2" w:rsidRPr="009715A2">
              <w:rPr>
                <w:rFonts w:asciiTheme="minorHAnsi" w:eastAsiaTheme="minorEastAsia" w:hAnsiTheme="minorHAnsi" w:cstheme="minorBidi"/>
                <w:noProof/>
                <w:color w:val="595959" w:themeColor="text1" w:themeTint="A6"/>
                <w:sz w:val="22"/>
                <w:szCs w:val="22"/>
                <w:lang w:eastAsia="lt-LT"/>
              </w:rPr>
              <w:tab/>
            </w:r>
            <w:r w:rsidR="009715A2" w:rsidRPr="009715A2">
              <w:rPr>
                <w:rStyle w:val="Hipersaitas"/>
                <w:noProof/>
                <w:color w:val="595959" w:themeColor="text1" w:themeTint="A6"/>
              </w:rPr>
              <w:t>Finansinės priemonės</w:t>
            </w:r>
            <w:r w:rsidR="009715A2" w:rsidRPr="009715A2">
              <w:rPr>
                <w:noProof/>
                <w:webHidden/>
                <w:color w:val="595959" w:themeColor="text1" w:themeTint="A6"/>
              </w:rPr>
              <w:tab/>
            </w:r>
            <w:r w:rsidR="009715A2" w:rsidRPr="009715A2">
              <w:rPr>
                <w:noProof/>
                <w:webHidden/>
                <w:color w:val="595959" w:themeColor="text1" w:themeTint="A6"/>
              </w:rPr>
              <w:fldChar w:fldCharType="begin"/>
            </w:r>
            <w:r w:rsidR="009715A2" w:rsidRPr="009715A2">
              <w:rPr>
                <w:noProof/>
                <w:webHidden/>
                <w:color w:val="595959" w:themeColor="text1" w:themeTint="A6"/>
              </w:rPr>
              <w:instrText xml:space="preserve"> PAGEREF _Toc86414521 \h </w:instrText>
            </w:r>
            <w:r w:rsidR="009715A2" w:rsidRPr="009715A2">
              <w:rPr>
                <w:noProof/>
                <w:webHidden/>
                <w:color w:val="595959" w:themeColor="text1" w:themeTint="A6"/>
              </w:rPr>
            </w:r>
            <w:r w:rsidR="009715A2" w:rsidRPr="009715A2">
              <w:rPr>
                <w:noProof/>
                <w:webHidden/>
                <w:color w:val="595959" w:themeColor="text1" w:themeTint="A6"/>
              </w:rPr>
              <w:fldChar w:fldCharType="separate"/>
            </w:r>
            <w:r w:rsidR="009715A2" w:rsidRPr="009715A2">
              <w:rPr>
                <w:noProof/>
                <w:webHidden/>
                <w:color w:val="595959" w:themeColor="text1" w:themeTint="A6"/>
              </w:rPr>
              <w:t>18</w:t>
            </w:r>
            <w:r w:rsidR="009715A2" w:rsidRPr="009715A2">
              <w:rPr>
                <w:noProof/>
                <w:webHidden/>
                <w:color w:val="595959" w:themeColor="text1" w:themeTint="A6"/>
              </w:rPr>
              <w:fldChar w:fldCharType="end"/>
            </w:r>
          </w:hyperlink>
        </w:p>
        <w:p w:rsidR="00B86403" w:rsidRPr="006658F1" w:rsidRDefault="00B86403" w:rsidP="00D65621">
          <w:pPr>
            <w:pStyle w:val="Turinys2"/>
            <w:tabs>
              <w:tab w:val="right" w:leader="dot" w:pos="9628"/>
            </w:tabs>
            <w:spacing w:after="0"/>
            <w:ind w:left="0"/>
            <w:rPr>
              <w:rFonts w:eastAsia="Calibri"/>
              <w:color w:val="595959" w:themeColor="text1" w:themeTint="A6"/>
              <w:szCs w:val="24"/>
              <w:lang w:eastAsia="lt-LT"/>
            </w:rPr>
          </w:pPr>
          <w:r w:rsidRPr="006658F1">
            <w:rPr>
              <w:color w:val="595959" w:themeColor="text1" w:themeTint="A6"/>
              <w:szCs w:val="24"/>
              <w:lang w:eastAsia="lt-LT"/>
            </w:rPr>
            <w:fldChar w:fldCharType="end"/>
          </w:r>
        </w:p>
      </w:sdtContent>
    </w:sdt>
    <w:p w:rsidR="00C42339" w:rsidRPr="006658F1" w:rsidRDefault="00C42339" w:rsidP="00D65621">
      <w:pPr>
        <w:rPr>
          <w:rFonts w:eastAsiaTheme="majorEastAsia"/>
          <w:b/>
          <w:bCs/>
          <w:color w:val="666666"/>
          <w:szCs w:val="24"/>
          <w:lang w:eastAsia="lt-LT"/>
        </w:rPr>
      </w:pPr>
      <w:r w:rsidRPr="006658F1">
        <w:rPr>
          <w:color w:val="666666"/>
          <w:szCs w:val="24"/>
          <w:lang w:eastAsia="lt-LT"/>
        </w:rPr>
        <w:br w:type="page"/>
      </w:r>
    </w:p>
    <w:p w:rsidR="00901533" w:rsidRPr="006658F1" w:rsidRDefault="00D86482" w:rsidP="00FC6139">
      <w:pPr>
        <w:pStyle w:val="Pavadinimas"/>
        <w:rPr>
          <w:rFonts w:ascii="Times New Roman" w:hAnsi="Times New Roman" w:cs="Times New Roman"/>
          <w:color w:val="365F91" w:themeColor="accent1" w:themeShade="BF"/>
          <w:sz w:val="24"/>
          <w:szCs w:val="24"/>
        </w:rPr>
      </w:pPr>
      <w:r w:rsidRPr="006658F1">
        <w:rPr>
          <w:rFonts w:ascii="Times New Roman" w:hAnsi="Times New Roman" w:cs="Times New Roman"/>
          <w:color w:val="365F91" w:themeColor="accent1" w:themeShade="BF"/>
          <w:sz w:val="24"/>
          <w:szCs w:val="24"/>
        </w:rPr>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180DE1" w:rsidRPr="006658F1" w:rsidTr="00C75C43">
        <w:tc>
          <w:tcPr>
            <w:tcW w:w="2235" w:type="dxa"/>
          </w:tcPr>
          <w:p w:rsidR="00D634AC" w:rsidRPr="006658F1" w:rsidRDefault="00D634AC"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APVA</w:t>
            </w:r>
          </w:p>
          <w:p w:rsidR="006F2E6A" w:rsidRPr="006658F1" w:rsidRDefault="006F2E6A"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CPVA</w:t>
            </w:r>
          </w:p>
          <w:p w:rsidR="00CA2B8C" w:rsidRPr="006658F1" w:rsidRDefault="00CA2B8C"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EK</w:t>
            </w:r>
          </w:p>
          <w:p w:rsidR="00927F2C" w:rsidRPr="006658F1" w:rsidRDefault="00927F2C"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ES</w:t>
            </w:r>
          </w:p>
          <w:p w:rsidR="00927F2C" w:rsidRPr="006658F1" w:rsidRDefault="00927F2C"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ES fondai</w:t>
            </w:r>
          </w:p>
          <w:p w:rsidR="00927F2C" w:rsidRPr="006658F1" w:rsidRDefault="00927F2C" w:rsidP="007D34BF">
            <w:pPr>
              <w:pStyle w:val="tekstas"/>
              <w:spacing w:line="360" w:lineRule="auto"/>
              <w:ind w:firstLine="0"/>
              <w:rPr>
                <w:rFonts w:ascii="Times New Roman" w:hAnsi="Times New Roman"/>
                <w:color w:val="595959" w:themeColor="text1" w:themeTint="A6"/>
              </w:rPr>
            </w:pPr>
          </w:p>
          <w:p w:rsidR="00927F2C" w:rsidRPr="006658F1" w:rsidRDefault="00927F2C" w:rsidP="007D34BF">
            <w:pPr>
              <w:pStyle w:val="tekstas"/>
              <w:spacing w:line="360" w:lineRule="auto"/>
              <w:ind w:firstLine="0"/>
              <w:rPr>
                <w:rFonts w:ascii="Times New Roman" w:hAnsi="Times New Roman"/>
                <w:color w:val="595959" w:themeColor="text1" w:themeTint="A6"/>
              </w:rPr>
            </w:pP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EIB</w:t>
            </w:r>
          </w:p>
          <w:p w:rsidR="00C3430B" w:rsidRPr="006658F1" w:rsidRDefault="00C3430B"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EGADP</w:t>
            </w:r>
          </w:p>
          <w:p w:rsidR="00927F2C" w:rsidRPr="006658F1" w:rsidRDefault="00927F2C" w:rsidP="007D34BF">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ERPF</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ESF</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ESFA</w:t>
            </w:r>
          </w:p>
          <w:p w:rsidR="009C1170" w:rsidRPr="006658F1" w:rsidRDefault="009C1170"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INVEGA</w:t>
            </w:r>
          </w:p>
          <w:p w:rsidR="00C75C43" w:rsidRPr="006658F1" w:rsidRDefault="00C75C43"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Investicijų programa</w:t>
            </w:r>
          </w:p>
          <w:p w:rsidR="00F41C82" w:rsidRPr="006658F1" w:rsidRDefault="00F41C82"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LMT</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LVPA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MITA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MTEP</w:t>
            </w:r>
          </w:p>
          <w:p w:rsidR="007B5134" w:rsidRPr="006658F1" w:rsidRDefault="007B5134"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NVO</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VIPA</w:t>
            </w:r>
          </w:p>
          <w:p w:rsidR="00927F2C" w:rsidRPr="006658F1" w:rsidRDefault="00927F2C" w:rsidP="00927F2C">
            <w:pPr>
              <w:pStyle w:val="tekstas"/>
              <w:spacing w:line="360" w:lineRule="auto"/>
              <w:ind w:firstLine="0"/>
              <w:rPr>
                <w:rFonts w:ascii="Times New Roman" w:hAnsi="Times New Roman"/>
                <w:color w:val="595959" w:themeColor="text1" w:themeTint="A6"/>
              </w:rPr>
            </w:pPr>
            <w:proofErr w:type="spellStart"/>
            <w:r w:rsidRPr="006658F1">
              <w:rPr>
                <w:rFonts w:ascii="Times New Roman" w:hAnsi="Times New Roman"/>
                <w:color w:val="595959" w:themeColor="text1" w:themeTint="A6"/>
              </w:rPr>
              <w:t>Sa</w:t>
            </w:r>
            <w:r w:rsidR="00927B56" w:rsidRPr="006658F1">
              <w:rPr>
                <w:rFonts w:ascii="Times New Roman" w:hAnsi="Times New Roman"/>
                <w:color w:val="595959" w:themeColor="text1" w:themeTint="A6"/>
              </w:rPr>
              <w:t>F</w:t>
            </w:r>
            <w:proofErr w:type="spellEnd"/>
          </w:p>
          <w:p w:rsidR="00994A27" w:rsidRPr="006658F1" w:rsidRDefault="00994A27"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TPF</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Veiksmų programa</w:t>
            </w:r>
          </w:p>
          <w:p w:rsidR="00927F2C" w:rsidRPr="006658F1" w:rsidRDefault="00927F2C" w:rsidP="00C75C43">
            <w:pPr>
              <w:pStyle w:val="tekstas"/>
              <w:spacing w:line="360" w:lineRule="auto"/>
              <w:ind w:firstLine="0"/>
              <w:rPr>
                <w:rFonts w:ascii="Times New Roman" w:hAnsi="Times New Roman"/>
                <w:color w:val="595959" w:themeColor="text1" w:themeTint="A6"/>
              </w:rPr>
            </w:pPr>
          </w:p>
        </w:tc>
        <w:tc>
          <w:tcPr>
            <w:tcW w:w="7619" w:type="dxa"/>
          </w:tcPr>
          <w:p w:rsidR="00D634AC" w:rsidRPr="006658F1" w:rsidRDefault="00D634AC"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Aplinkos projektų valdymo agentūra</w:t>
            </w:r>
          </w:p>
          <w:p w:rsidR="006F2E6A" w:rsidRPr="006658F1" w:rsidRDefault="006F2E6A"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xml:space="preserve">– </w:t>
            </w:r>
            <w:proofErr w:type="spellStart"/>
            <w:r w:rsidRPr="006658F1">
              <w:rPr>
                <w:rFonts w:ascii="Times New Roman" w:hAnsi="Times New Roman"/>
                <w:color w:val="595959" w:themeColor="text1" w:themeTint="A6"/>
              </w:rPr>
              <w:t>VšĮ</w:t>
            </w:r>
            <w:proofErr w:type="spellEnd"/>
            <w:r w:rsidRPr="006658F1">
              <w:rPr>
                <w:rFonts w:ascii="Times New Roman" w:hAnsi="Times New Roman"/>
                <w:color w:val="595959" w:themeColor="text1" w:themeTint="A6"/>
              </w:rPr>
              <w:t xml:space="preserve"> Centrinė projektų valdymo agentūra</w:t>
            </w:r>
          </w:p>
          <w:p w:rsidR="00CA2B8C" w:rsidRPr="006658F1" w:rsidRDefault="00CA2B8C"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Komisija</w:t>
            </w:r>
          </w:p>
          <w:p w:rsidR="00927F2C" w:rsidRPr="006658F1" w:rsidRDefault="00927F2C"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Sąjunga</w:t>
            </w:r>
          </w:p>
          <w:p w:rsidR="00927F2C" w:rsidRPr="006658F1" w:rsidRDefault="00927F2C"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Sąjungos struktūriniai fondai (Europos socialinis fondas, įskaitant „Jaunimo užimtumo iniciatyvą“, Europos regioninės plėtros fondas, Sanglaudos fondas)</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investicijų bankas</w:t>
            </w:r>
          </w:p>
          <w:p w:rsidR="00C3430B" w:rsidRPr="006658F1" w:rsidRDefault="00C3430B"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Ekonomikos gaivinimo ir atsparumo didinimo priemonė</w:t>
            </w:r>
          </w:p>
          <w:p w:rsidR="00927F2C" w:rsidRPr="006658F1" w:rsidRDefault="00927F2C" w:rsidP="00CA2B8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regioninės plėtros fondas</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socialinis fondas</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Europos socialinio fondo agentūra</w:t>
            </w:r>
          </w:p>
          <w:p w:rsidR="009C1170" w:rsidRPr="006658F1" w:rsidRDefault="009C1170"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UAB Investicijų ir verslo garantijos</w:t>
            </w:r>
          </w:p>
          <w:p w:rsidR="00C75C43" w:rsidRPr="006658F1" w:rsidRDefault="00C75C43"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2021 –2027 m. ES struktūrinių fondų investicijų programa</w:t>
            </w:r>
          </w:p>
          <w:p w:rsidR="00F41C82" w:rsidRPr="006658F1" w:rsidRDefault="00F41C82" w:rsidP="00F41C82">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Lietuvos mokslo taryba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xml:space="preserve">– </w:t>
            </w:r>
            <w:proofErr w:type="spellStart"/>
            <w:r w:rsidRPr="006658F1">
              <w:rPr>
                <w:rFonts w:ascii="Times New Roman" w:hAnsi="Times New Roman"/>
                <w:color w:val="595959" w:themeColor="text1" w:themeTint="A6"/>
              </w:rPr>
              <w:t>VšĮ</w:t>
            </w:r>
            <w:proofErr w:type="spellEnd"/>
            <w:r w:rsidRPr="006658F1">
              <w:rPr>
                <w:rFonts w:ascii="Times New Roman" w:hAnsi="Times New Roman"/>
                <w:color w:val="595959" w:themeColor="text1" w:themeTint="A6"/>
              </w:rPr>
              <w:t xml:space="preserve"> Lietuvos verslo paramos agentūra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Mokslo, inovacijų ir technologijų agentūra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Moksliniai tyrimai ir eksperimentinė plėtra</w:t>
            </w:r>
          </w:p>
          <w:p w:rsidR="007B5134" w:rsidRPr="006658F1" w:rsidRDefault="007B5134"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Nevyriausybinė organizacija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UAB Viešųjų investicijų plėtros agentūra</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Sanglaudos fondas</w:t>
            </w:r>
          </w:p>
          <w:p w:rsidR="00994A27" w:rsidRPr="006658F1" w:rsidRDefault="00994A27"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Teisingos pertvarkos fondas</w:t>
            </w:r>
          </w:p>
          <w:p w:rsidR="00927F2C" w:rsidRPr="006658F1" w:rsidRDefault="00927F2C" w:rsidP="00927F2C">
            <w:pPr>
              <w:pStyle w:val="tekstas"/>
              <w:spacing w:line="360" w:lineRule="auto"/>
              <w:ind w:firstLine="0"/>
              <w:rPr>
                <w:rFonts w:ascii="Times New Roman" w:hAnsi="Times New Roman"/>
                <w:color w:val="595959" w:themeColor="text1" w:themeTint="A6"/>
              </w:rPr>
            </w:pPr>
            <w:r w:rsidRPr="006658F1">
              <w:rPr>
                <w:rFonts w:ascii="Times New Roman" w:hAnsi="Times New Roman"/>
                <w:color w:val="595959" w:themeColor="text1" w:themeTint="A6"/>
              </w:rPr>
              <w:t>– 2014–2020 m. ES fondų investicijų veiksmų programa</w:t>
            </w:r>
          </w:p>
          <w:p w:rsidR="00927F2C" w:rsidRPr="006658F1" w:rsidRDefault="00927F2C" w:rsidP="00C75C43">
            <w:pPr>
              <w:pStyle w:val="tekstas"/>
              <w:spacing w:line="360" w:lineRule="auto"/>
              <w:ind w:firstLine="0"/>
              <w:rPr>
                <w:rFonts w:ascii="Times New Roman" w:hAnsi="Times New Roman"/>
                <w:color w:val="595959" w:themeColor="text1" w:themeTint="A6"/>
              </w:rPr>
            </w:pPr>
          </w:p>
        </w:tc>
      </w:tr>
    </w:tbl>
    <w:p w:rsidR="003206B5" w:rsidRPr="006658F1" w:rsidRDefault="003206B5" w:rsidP="000C62AE">
      <w:pPr>
        <w:spacing w:after="200" w:line="276" w:lineRule="auto"/>
        <w:rPr>
          <w:color w:val="595959" w:themeColor="text1" w:themeTint="A6"/>
          <w:szCs w:val="24"/>
        </w:rPr>
      </w:pPr>
    </w:p>
    <w:p w:rsidR="003206B5" w:rsidRPr="006658F1" w:rsidRDefault="003206B5">
      <w:pPr>
        <w:spacing w:after="200" w:line="276" w:lineRule="auto"/>
        <w:rPr>
          <w:szCs w:val="24"/>
        </w:rPr>
      </w:pPr>
      <w:r w:rsidRPr="006658F1">
        <w:rPr>
          <w:szCs w:val="24"/>
        </w:rPr>
        <w:br w:type="page"/>
      </w:r>
    </w:p>
    <w:p w:rsidR="005A4426" w:rsidRPr="006658F1" w:rsidRDefault="003206B5" w:rsidP="003206B5">
      <w:pPr>
        <w:pStyle w:val="Pavadinimas"/>
        <w:rPr>
          <w:rFonts w:ascii="Times New Roman" w:hAnsi="Times New Roman" w:cs="Times New Roman"/>
          <w:color w:val="365F91" w:themeColor="accent1" w:themeShade="BF"/>
          <w:sz w:val="24"/>
          <w:szCs w:val="24"/>
        </w:rPr>
      </w:pPr>
      <w:r w:rsidRPr="006658F1">
        <w:rPr>
          <w:rFonts w:ascii="Times New Roman" w:hAnsi="Times New Roman" w:cs="Times New Roman"/>
          <w:color w:val="365F91" w:themeColor="accent1" w:themeShade="BF"/>
          <w:sz w:val="24"/>
          <w:szCs w:val="24"/>
        </w:rPr>
        <w:lastRenderedPageBreak/>
        <w:t>SANTRAUKA</w:t>
      </w:r>
    </w:p>
    <w:p w:rsidR="00740305" w:rsidRPr="006658F1" w:rsidRDefault="00740305" w:rsidP="00C8708A">
      <w:pPr>
        <w:ind w:firstLine="426"/>
        <w:jc w:val="both"/>
        <w:rPr>
          <w:color w:val="595959" w:themeColor="text1" w:themeTint="A6"/>
          <w:szCs w:val="24"/>
        </w:rPr>
      </w:pPr>
      <w:r w:rsidRPr="006658F1">
        <w:rPr>
          <w:color w:val="595959" w:themeColor="text1" w:themeTint="A6"/>
          <w:szCs w:val="24"/>
        </w:rPr>
        <w:t xml:space="preserve">Lietuva pagal </w:t>
      </w:r>
      <w:r w:rsidR="00B27131" w:rsidRPr="006658F1">
        <w:rPr>
          <w:color w:val="595959" w:themeColor="text1" w:themeTint="A6"/>
          <w:szCs w:val="24"/>
        </w:rPr>
        <w:t>Europos</w:t>
      </w:r>
      <w:r w:rsidR="00A262D6" w:rsidRPr="006658F1">
        <w:rPr>
          <w:color w:val="595959" w:themeColor="text1" w:themeTint="A6"/>
          <w:szCs w:val="24"/>
        </w:rPr>
        <w:t xml:space="preserve"> </w:t>
      </w:r>
      <w:r w:rsidR="00B27131" w:rsidRPr="006658F1">
        <w:rPr>
          <w:color w:val="595959" w:themeColor="text1" w:themeTint="A6"/>
          <w:szCs w:val="24"/>
        </w:rPr>
        <w:t xml:space="preserve">Komisijos </w:t>
      </w:r>
      <w:r w:rsidRPr="006658F1">
        <w:rPr>
          <w:color w:val="595959" w:themeColor="text1" w:themeTint="A6"/>
          <w:szCs w:val="24"/>
        </w:rPr>
        <w:t>išmokėtas lėšas (</w:t>
      </w:r>
      <w:r w:rsidR="006373CF">
        <w:rPr>
          <w:color w:val="595959" w:themeColor="text1" w:themeTint="A6"/>
          <w:szCs w:val="24"/>
        </w:rPr>
        <w:t>73</w:t>
      </w:r>
      <w:r w:rsidR="006373CF" w:rsidRPr="006658F1">
        <w:rPr>
          <w:color w:val="595959" w:themeColor="text1" w:themeTint="A6"/>
          <w:szCs w:val="24"/>
        </w:rPr>
        <w:t xml:space="preserve"> </w:t>
      </w:r>
      <w:r w:rsidRPr="006658F1">
        <w:rPr>
          <w:color w:val="595959" w:themeColor="text1" w:themeTint="A6"/>
          <w:szCs w:val="24"/>
        </w:rPr>
        <w:t xml:space="preserve">proc. nuo 2014–2020 m. Lietuvai skirto finansavimo, įskaitant išmokėtą avansą) užima </w:t>
      </w:r>
      <w:r w:rsidR="006373CF">
        <w:rPr>
          <w:color w:val="595959" w:themeColor="text1" w:themeTint="A6"/>
          <w:szCs w:val="24"/>
        </w:rPr>
        <w:t>4</w:t>
      </w:r>
      <w:r w:rsidRPr="006658F1">
        <w:rPr>
          <w:color w:val="595959" w:themeColor="text1" w:themeTint="A6"/>
          <w:szCs w:val="24"/>
        </w:rPr>
        <w:t>-ąją vietą tarp visų šalių narių ir viršija ES vidurkį</w:t>
      </w:r>
      <w:r w:rsidR="00C8708A" w:rsidRPr="006658F1">
        <w:rPr>
          <w:color w:val="595959" w:themeColor="text1" w:themeTint="A6"/>
          <w:szCs w:val="24"/>
        </w:rPr>
        <w:t>.</w:t>
      </w:r>
    </w:p>
    <w:p w:rsidR="00B40A07" w:rsidRPr="006658F1" w:rsidRDefault="00B40A07" w:rsidP="00C8708A">
      <w:pPr>
        <w:ind w:firstLine="426"/>
        <w:jc w:val="both"/>
        <w:rPr>
          <w:color w:val="595959" w:themeColor="text1" w:themeTint="A6"/>
          <w:szCs w:val="24"/>
        </w:rPr>
      </w:pPr>
      <w:r w:rsidRPr="006658F1">
        <w:rPr>
          <w:color w:val="595959" w:themeColor="text1" w:themeTint="A6"/>
          <w:szCs w:val="24"/>
        </w:rPr>
        <w:t xml:space="preserve">2021 m. balandžio 12 d. EK patvirtinus Veiksmų programos pakeitimą, į Veiksmų programą įraukti nauji prioritetai: 13 prioritetas „Veiksmų, skirtų COVID-19 pandemijos sukeltai krizei įveikti, skatinimas ir pasirengimas aplinką tausojančiam, skaitmeniniam ir tvariam ekonomikos atgaivinimui“ ir 14 prioritetas „Veiksmų, skirtų COVID-19 pandemijos sukeltai krizei įveikti, skatinimas, siekiant didinti užimtumą ir socialinę </w:t>
      </w:r>
      <w:proofErr w:type="spellStart"/>
      <w:r w:rsidRPr="006658F1">
        <w:rPr>
          <w:color w:val="595959" w:themeColor="text1" w:themeTint="A6"/>
          <w:szCs w:val="24"/>
        </w:rPr>
        <w:t>įtrauktį</w:t>
      </w:r>
      <w:proofErr w:type="spellEnd"/>
      <w:r w:rsidRPr="006658F1">
        <w:rPr>
          <w:color w:val="595959" w:themeColor="text1" w:themeTint="A6"/>
          <w:szCs w:val="24"/>
        </w:rPr>
        <w:t xml:space="preserve">“. Šiems naujai įtrauktiems prioritetams įgyvendinti skirta 274 mln. eurų iniciatyvos </w:t>
      </w:r>
      <w:proofErr w:type="spellStart"/>
      <w:r w:rsidRPr="006658F1">
        <w:rPr>
          <w:color w:val="595959" w:themeColor="text1" w:themeTint="A6"/>
          <w:szCs w:val="24"/>
        </w:rPr>
        <w:t>React-EU</w:t>
      </w:r>
      <w:proofErr w:type="spellEnd"/>
      <w:r w:rsidRPr="006658F1">
        <w:rPr>
          <w:color w:val="595959" w:themeColor="text1" w:themeTint="A6"/>
          <w:szCs w:val="24"/>
        </w:rPr>
        <w:t xml:space="preserve"> lėšų.</w:t>
      </w:r>
    </w:p>
    <w:p w:rsidR="00C8708A" w:rsidRPr="006658F1" w:rsidRDefault="00C8708A" w:rsidP="00C8708A">
      <w:pPr>
        <w:ind w:firstLine="426"/>
        <w:jc w:val="both"/>
        <w:rPr>
          <w:color w:val="595959" w:themeColor="text1" w:themeTint="A6"/>
          <w:szCs w:val="24"/>
        </w:rPr>
      </w:pPr>
      <w:r w:rsidRPr="006658F1">
        <w:rPr>
          <w:color w:val="595959" w:themeColor="text1" w:themeTint="A6"/>
          <w:szCs w:val="24"/>
        </w:rPr>
        <w:t>Nuo finansavi</w:t>
      </w:r>
      <w:r w:rsidR="00A262D6" w:rsidRPr="006658F1">
        <w:rPr>
          <w:color w:val="595959" w:themeColor="text1" w:themeTint="A6"/>
          <w:szCs w:val="24"/>
        </w:rPr>
        <w:t>mo laikotarpio pradžios iki 2021</w:t>
      </w:r>
      <w:r w:rsidRPr="006658F1">
        <w:rPr>
          <w:color w:val="595959" w:themeColor="text1" w:themeTint="A6"/>
          <w:szCs w:val="24"/>
        </w:rPr>
        <w:t xml:space="preserve"> m. </w:t>
      </w:r>
      <w:r w:rsidR="006373CF">
        <w:rPr>
          <w:color w:val="595959" w:themeColor="text1" w:themeTint="A6"/>
          <w:szCs w:val="24"/>
        </w:rPr>
        <w:t>rugsėjo</w:t>
      </w:r>
      <w:r w:rsidR="006373CF" w:rsidRPr="006658F1">
        <w:rPr>
          <w:color w:val="595959" w:themeColor="text1" w:themeTint="A6"/>
          <w:szCs w:val="24"/>
        </w:rPr>
        <w:t xml:space="preserve"> </w:t>
      </w:r>
      <w:r w:rsidR="00B40A07" w:rsidRPr="006658F1">
        <w:rPr>
          <w:color w:val="595959" w:themeColor="text1" w:themeTint="A6"/>
          <w:szCs w:val="24"/>
        </w:rPr>
        <w:t>30</w:t>
      </w:r>
      <w:r w:rsidRPr="006658F1">
        <w:rPr>
          <w:color w:val="595959" w:themeColor="text1" w:themeTint="A6"/>
          <w:szCs w:val="24"/>
        </w:rPr>
        <w:t xml:space="preserve"> d. projektams</w:t>
      </w:r>
      <w:r w:rsidR="00740B52" w:rsidRPr="006658F1">
        <w:rPr>
          <w:color w:val="595959" w:themeColor="text1" w:themeTint="A6"/>
          <w:szCs w:val="24"/>
        </w:rPr>
        <w:t xml:space="preserve"> kartu su </w:t>
      </w:r>
      <w:proofErr w:type="spellStart"/>
      <w:r w:rsidR="00740B52" w:rsidRPr="006658F1">
        <w:rPr>
          <w:color w:val="595959" w:themeColor="text1" w:themeTint="A6"/>
          <w:szCs w:val="24"/>
        </w:rPr>
        <w:t>React</w:t>
      </w:r>
      <w:proofErr w:type="gramStart"/>
      <w:r w:rsidR="00740B52" w:rsidRPr="006658F1">
        <w:rPr>
          <w:color w:val="595959" w:themeColor="text1" w:themeTint="A6"/>
          <w:szCs w:val="24"/>
        </w:rPr>
        <w:t>-</w:t>
      </w:r>
      <w:proofErr w:type="gramEnd"/>
      <w:r w:rsidR="00740B52" w:rsidRPr="006658F1">
        <w:rPr>
          <w:color w:val="595959" w:themeColor="text1" w:themeTint="A6"/>
          <w:szCs w:val="24"/>
        </w:rPr>
        <w:t>EU</w:t>
      </w:r>
      <w:proofErr w:type="spellEnd"/>
      <w:r w:rsidR="00740B52" w:rsidRPr="006658F1">
        <w:rPr>
          <w:color w:val="595959" w:themeColor="text1" w:themeTint="A6"/>
          <w:szCs w:val="24"/>
        </w:rPr>
        <w:t xml:space="preserve"> iniciatyvos lėšomis</w:t>
      </w:r>
      <w:r w:rsidRPr="006658F1">
        <w:rPr>
          <w:color w:val="595959" w:themeColor="text1" w:themeTint="A6"/>
          <w:szCs w:val="24"/>
        </w:rPr>
        <w:t xml:space="preserve"> paskirstyta </w:t>
      </w:r>
      <w:r w:rsidR="00B40A07" w:rsidRPr="006658F1">
        <w:rPr>
          <w:color w:val="595959" w:themeColor="text1" w:themeTint="A6"/>
          <w:szCs w:val="24"/>
        </w:rPr>
        <w:t>6,</w:t>
      </w:r>
      <w:r w:rsidR="006373CF">
        <w:rPr>
          <w:color w:val="595959" w:themeColor="text1" w:themeTint="A6"/>
          <w:szCs w:val="24"/>
        </w:rPr>
        <w:t>9</w:t>
      </w:r>
      <w:r w:rsidR="00B40A07" w:rsidRPr="006658F1">
        <w:rPr>
          <w:color w:val="595959" w:themeColor="text1" w:themeTint="A6"/>
          <w:szCs w:val="24"/>
        </w:rPr>
        <w:t xml:space="preserve"> mlrd. </w:t>
      </w:r>
      <w:r w:rsidRPr="006658F1">
        <w:rPr>
          <w:color w:val="595959" w:themeColor="text1" w:themeTint="A6"/>
          <w:szCs w:val="24"/>
        </w:rPr>
        <w:t xml:space="preserve">eurų </w:t>
      </w:r>
      <w:r w:rsidR="00740B52" w:rsidRPr="006658F1">
        <w:rPr>
          <w:color w:val="595959" w:themeColor="text1" w:themeTint="A6"/>
          <w:szCs w:val="24"/>
        </w:rPr>
        <w:t>(9</w:t>
      </w:r>
      <w:r w:rsidR="006373CF">
        <w:rPr>
          <w:color w:val="595959" w:themeColor="text1" w:themeTint="A6"/>
          <w:szCs w:val="24"/>
        </w:rPr>
        <w:t>9</w:t>
      </w:r>
      <w:r w:rsidR="00740B52" w:rsidRPr="006658F1">
        <w:rPr>
          <w:color w:val="595959" w:themeColor="text1" w:themeTint="A6"/>
          <w:szCs w:val="24"/>
        </w:rPr>
        <w:t xml:space="preserve"> proc.) </w:t>
      </w:r>
      <w:r w:rsidRPr="006658F1">
        <w:rPr>
          <w:color w:val="595959" w:themeColor="text1" w:themeTint="A6"/>
          <w:szCs w:val="24"/>
        </w:rPr>
        <w:t xml:space="preserve">ES fondų lėšų. </w:t>
      </w:r>
    </w:p>
    <w:p w:rsidR="00C8708A" w:rsidRPr="006658F1" w:rsidRDefault="00C8708A" w:rsidP="00C8708A">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Įgyvendinant projektus, </w:t>
      </w:r>
      <w:r w:rsidR="00B40A07" w:rsidRPr="006658F1">
        <w:rPr>
          <w:rFonts w:ascii="Times New Roman" w:hAnsi="Times New Roman"/>
          <w:color w:val="595959" w:themeColor="text1" w:themeTint="A6"/>
          <w:lang w:eastAsia="lt-LT"/>
        </w:rPr>
        <w:t>iš viso investuota 4,</w:t>
      </w:r>
      <w:r w:rsidR="006373CF">
        <w:rPr>
          <w:rFonts w:ascii="Times New Roman" w:hAnsi="Times New Roman"/>
          <w:color w:val="595959" w:themeColor="text1" w:themeTint="A6"/>
          <w:lang w:eastAsia="lt-LT"/>
        </w:rPr>
        <w:t>77</w:t>
      </w:r>
      <w:r w:rsidR="00B40A07" w:rsidRPr="006658F1">
        <w:rPr>
          <w:rFonts w:ascii="Times New Roman" w:hAnsi="Times New Roman"/>
          <w:color w:val="595959" w:themeColor="text1" w:themeTint="A6"/>
          <w:lang w:eastAsia="lt-LT"/>
        </w:rPr>
        <w:t xml:space="preserve"> mlrd. eurų (6</w:t>
      </w:r>
      <w:r w:rsidR="006373CF">
        <w:rPr>
          <w:rFonts w:ascii="Times New Roman" w:hAnsi="Times New Roman"/>
          <w:color w:val="595959" w:themeColor="text1" w:themeTint="A6"/>
          <w:lang w:eastAsia="lt-LT"/>
        </w:rPr>
        <w:t>8</w:t>
      </w:r>
      <w:r w:rsidR="00B40A07" w:rsidRPr="006658F1">
        <w:rPr>
          <w:rFonts w:ascii="Times New Roman" w:hAnsi="Times New Roman"/>
          <w:color w:val="595959" w:themeColor="text1" w:themeTint="A6"/>
          <w:lang w:eastAsia="lt-LT"/>
        </w:rPr>
        <w:t xml:space="preserve"> proc.). Per 2021 m. II</w:t>
      </w:r>
      <w:r w:rsidR="008151D3">
        <w:rPr>
          <w:rFonts w:ascii="Times New Roman" w:hAnsi="Times New Roman"/>
          <w:color w:val="595959" w:themeColor="text1" w:themeTint="A6"/>
          <w:lang w:eastAsia="lt-LT"/>
        </w:rPr>
        <w:t>I</w:t>
      </w:r>
      <w:r w:rsidR="00B40A07" w:rsidRPr="006658F1">
        <w:rPr>
          <w:rFonts w:ascii="Times New Roman" w:hAnsi="Times New Roman"/>
          <w:color w:val="595959" w:themeColor="text1" w:themeTint="A6"/>
          <w:lang w:eastAsia="lt-LT"/>
        </w:rPr>
        <w:t xml:space="preserve"> </w:t>
      </w:r>
      <w:proofErr w:type="spellStart"/>
      <w:r w:rsidR="00B40A07" w:rsidRPr="006658F1">
        <w:rPr>
          <w:rFonts w:ascii="Times New Roman" w:hAnsi="Times New Roman"/>
          <w:color w:val="595959" w:themeColor="text1" w:themeTint="A6"/>
          <w:lang w:eastAsia="lt-LT"/>
        </w:rPr>
        <w:t>ketv</w:t>
      </w:r>
      <w:proofErr w:type="spellEnd"/>
      <w:r w:rsidR="00B40A07" w:rsidRPr="006658F1">
        <w:rPr>
          <w:rFonts w:ascii="Times New Roman" w:hAnsi="Times New Roman"/>
          <w:color w:val="595959" w:themeColor="text1" w:themeTint="A6"/>
          <w:lang w:eastAsia="lt-LT"/>
        </w:rPr>
        <w:t>. investuota 2</w:t>
      </w:r>
      <w:r w:rsidR="006373CF">
        <w:rPr>
          <w:rFonts w:ascii="Times New Roman" w:hAnsi="Times New Roman"/>
          <w:color w:val="595959" w:themeColor="text1" w:themeTint="A6"/>
          <w:lang w:eastAsia="lt-LT"/>
        </w:rPr>
        <w:t>07</w:t>
      </w:r>
      <w:r w:rsidR="00B40A07" w:rsidRPr="006658F1">
        <w:rPr>
          <w:rFonts w:ascii="Times New Roman" w:hAnsi="Times New Roman"/>
          <w:color w:val="595959" w:themeColor="text1" w:themeTint="A6"/>
          <w:lang w:eastAsia="lt-LT"/>
        </w:rPr>
        <w:t xml:space="preserve"> mln. eurų ES fondų lėšų (3 proc.).</w:t>
      </w:r>
    </w:p>
    <w:p w:rsidR="00C8708A" w:rsidRDefault="00B40A07" w:rsidP="0000692F">
      <w:pPr>
        <w:ind w:firstLine="426"/>
        <w:jc w:val="both"/>
        <w:rPr>
          <w:color w:val="595959" w:themeColor="text1" w:themeTint="A6"/>
          <w:szCs w:val="24"/>
        </w:rPr>
      </w:pPr>
      <w:r w:rsidRPr="006658F1">
        <w:rPr>
          <w:color w:val="595959" w:themeColor="text1" w:themeTint="A6"/>
          <w:szCs w:val="24"/>
        </w:rPr>
        <w:t>EK iš viso deklaruota 4,</w:t>
      </w:r>
      <w:r w:rsidR="006373CF">
        <w:rPr>
          <w:color w:val="595959" w:themeColor="text1" w:themeTint="A6"/>
          <w:szCs w:val="24"/>
        </w:rPr>
        <w:t>66</w:t>
      </w:r>
      <w:r w:rsidRPr="006658F1">
        <w:rPr>
          <w:color w:val="595959" w:themeColor="text1" w:themeTint="A6"/>
          <w:szCs w:val="24"/>
        </w:rPr>
        <w:t xml:space="preserve"> mlrd. eurų (6</w:t>
      </w:r>
      <w:r w:rsidR="006373CF">
        <w:rPr>
          <w:color w:val="595959" w:themeColor="text1" w:themeTint="A6"/>
          <w:szCs w:val="24"/>
        </w:rPr>
        <w:t>7</w:t>
      </w:r>
      <w:r w:rsidRPr="006658F1">
        <w:rPr>
          <w:color w:val="595959" w:themeColor="text1" w:themeTint="A6"/>
          <w:szCs w:val="24"/>
        </w:rPr>
        <w:t xml:space="preserve"> proc.), iš kurių </w:t>
      </w:r>
      <w:r w:rsidR="006373CF">
        <w:rPr>
          <w:color w:val="595959" w:themeColor="text1" w:themeTint="A6"/>
          <w:szCs w:val="24"/>
        </w:rPr>
        <w:t>4</w:t>
      </w:r>
      <w:r w:rsidR="006373CF" w:rsidRPr="006658F1">
        <w:rPr>
          <w:color w:val="595959" w:themeColor="text1" w:themeTint="A6"/>
          <w:szCs w:val="24"/>
        </w:rPr>
        <w:t xml:space="preserve"> </w:t>
      </w:r>
      <w:r w:rsidRPr="006658F1">
        <w:rPr>
          <w:color w:val="595959" w:themeColor="text1" w:themeTint="A6"/>
          <w:szCs w:val="24"/>
        </w:rPr>
        <w:t>proc. (</w:t>
      </w:r>
      <w:r w:rsidR="006373CF">
        <w:rPr>
          <w:color w:val="595959" w:themeColor="text1" w:themeTint="A6"/>
          <w:szCs w:val="24"/>
        </w:rPr>
        <w:t>274</w:t>
      </w:r>
      <w:r w:rsidRPr="006658F1">
        <w:rPr>
          <w:color w:val="595959" w:themeColor="text1" w:themeTint="A6"/>
          <w:szCs w:val="24"/>
        </w:rPr>
        <w:t xml:space="preserve"> mln. eurų) deklaruota per š. m. II</w:t>
      </w:r>
      <w:r w:rsidR="006373CF">
        <w:rPr>
          <w:color w:val="595959" w:themeColor="text1" w:themeTint="A6"/>
          <w:szCs w:val="24"/>
        </w:rPr>
        <w:t>I</w:t>
      </w:r>
      <w:r w:rsidRPr="006658F1">
        <w:rPr>
          <w:color w:val="595959" w:themeColor="text1" w:themeTint="A6"/>
          <w:szCs w:val="24"/>
        </w:rPr>
        <w:t xml:space="preserve"> </w:t>
      </w:r>
      <w:proofErr w:type="spellStart"/>
      <w:r w:rsidRPr="006658F1">
        <w:rPr>
          <w:color w:val="595959" w:themeColor="text1" w:themeTint="A6"/>
          <w:szCs w:val="24"/>
        </w:rPr>
        <w:t>ketv</w:t>
      </w:r>
      <w:proofErr w:type="spellEnd"/>
      <w:r w:rsidRPr="006658F1">
        <w:rPr>
          <w:color w:val="595959" w:themeColor="text1" w:themeTint="A6"/>
          <w:szCs w:val="24"/>
        </w:rPr>
        <w:t>.</w:t>
      </w:r>
    </w:p>
    <w:p w:rsidR="00395268" w:rsidRPr="000625C2" w:rsidRDefault="00395268" w:rsidP="00395268">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Ataskaitinio laikotarpio pabaigoje, iki investavimo termino pabaigos likus tik dvejiems metams, bendra projektų vykdytojams dar neišmokėta suma sudaro 2,3 mlrd. eurų ES lėšų.</w:t>
      </w:r>
    </w:p>
    <w:p w:rsidR="00C8708A" w:rsidRDefault="00B40A07" w:rsidP="0000692F">
      <w:pPr>
        <w:ind w:firstLine="426"/>
        <w:jc w:val="both"/>
        <w:rPr>
          <w:color w:val="595959" w:themeColor="text1" w:themeTint="A6"/>
          <w:szCs w:val="24"/>
        </w:rPr>
      </w:pPr>
      <w:r w:rsidRPr="006658F1">
        <w:rPr>
          <w:color w:val="595959" w:themeColor="text1" w:themeTint="A6"/>
          <w:szCs w:val="24"/>
        </w:rPr>
        <w:t xml:space="preserve">2021 m. biudžete numatyta investuoti 1,6 mlrd. eurų ES fondų lėšų. Per </w:t>
      </w:r>
      <w:r w:rsidR="006373CF">
        <w:rPr>
          <w:color w:val="595959" w:themeColor="text1" w:themeTint="A6"/>
          <w:szCs w:val="24"/>
        </w:rPr>
        <w:t>tris</w:t>
      </w:r>
      <w:r w:rsidR="006373CF" w:rsidRPr="006658F1">
        <w:rPr>
          <w:color w:val="595959" w:themeColor="text1" w:themeTint="A6"/>
          <w:szCs w:val="24"/>
        </w:rPr>
        <w:t xml:space="preserve"> </w:t>
      </w:r>
      <w:r w:rsidRPr="006658F1">
        <w:rPr>
          <w:color w:val="595959" w:themeColor="text1" w:themeTint="A6"/>
          <w:szCs w:val="24"/>
        </w:rPr>
        <w:t xml:space="preserve">š. m. </w:t>
      </w:r>
      <w:r w:rsidR="006373CF">
        <w:rPr>
          <w:color w:val="595959" w:themeColor="text1" w:themeTint="A6"/>
          <w:szCs w:val="24"/>
        </w:rPr>
        <w:t>ketvirčius</w:t>
      </w:r>
      <w:r w:rsidR="006373CF" w:rsidRPr="006658F1">
        <w:rPr>
          <w:color w:val="595959" w:themeColor="text1" w:themeTint="A6"/>
          <w:szCs w:val="24"/>
        </w:rPr>
        <w:t xml:space="preserve"> </w:t>
      </w:r>
      <w:r w:rsidRPr="006658F1">
        <w:rPr>
          <w:color w:val="595959" w:themeColor="text1" w:themeTint="A6"/>
          <w:szCs w:val="24"/>
        </w:rPr>
        <w:t>investuota 6</w:t>
      </w:r>
      <w:r w:rsidR="006373CF">
        <w:rPr>
          <w:color w:val="595959" w:themeColor="text1" w:themeTint="A6"/>
          <w:szCs w:val="24"/>
        </w:rPr>
        <w:t>14</w:t>
      </w:r>
      <w:r w:rsidRPr="006658F1">
        <w:rPr>
          <w:color w:val="595959" w:themeColor="text1" w:themeTint="A6"/>
          <w:szCs w:val="24"/>
        </w:rPr>
        <w:t xml:space="preserve"> mln. eurų arba </w:t>
      </w:r>
      <w:r w:rsidR="008151D3">
        <w:rPr>
          <w:color w:val="595959" w:themeColor="text1" w:themeTint="A6"/>
          <w:szCs w:val="24"/>
        </w:rPr>
        <w:t>38</w:t>
      </w:r>
      <w:r w:rsidR="006373CF" w:rsidRPr="006658F1">
        <w:rPr>
          <w:color w:val="595959" w:themeColor="text1" w:themeTint="A6"/>
          <w:szCs w:val="24"/>
        </w:rPr>
        <w:t xml:space="preserve"> </w:t>
      </w:r>
      <w:r w:rsidRPr="006658F1">
        <w:rPr>
          <w:color w:val="595959" w:themeColor="text1" w:themeTint="A6"/>
          <w:szCs w:val="24"/>
        </w:rPr>
        <w:t>proc.</w:t>
      </w:r>
      <w:r w:rsidR="00395268" w:rsidRPr="00395268">
        <w:rPr>
          <w:color w:val="595959" w:themeColor="text1" w:themeTint="A6"/>
          <w:lang w:eastAsia="lt-LT"/>
        </w:rPr>
        <w:t xml:space="preserve"> </w:t>
      </w:r>
      <w:r w:rsidR="00395268">
        <w:rPr>
          <w:color w:val="595959" w:themeColor="text1" w:themeTint="A6"/>
          <w:lang w:eastAsia="lt-LT"/>
        </w:rPr>
        <w:t>Lyginant su praėjusiais metais ES lėšų investavimas lėtėja. Per tris š. m. ketvirčius investuota 110 mln. eurų mažiau nei pernai per tą patį laikotarpį.</w:t>
      </w:r>
      <w:r w:rsidR="00395268" w:rsidRPr="00395268">
        <w:rPr>
          <w:color w:val="595959" w:themeColor="text1" w:themeTint="A6"/>
          <w:lang w:eastAsia="lt-LT"/>
        </w:rPr>
        <w:t xml:space="preserve"> </w:t>
      </w:r>
      <w:r w:rsidR="00395268">
        <w:rPr>
          <w:color w:val="595959" w:themeColor="text1" w:themeTint="A6"/>
          <w:lang w:eastAsia="lt-LT"/>
        </w:rPr>
        <w:t>Investicijų spartos mažėjimas kelia riziką nespėti projektų užbaigti ir Lietuvai skirtų ES lėšų investuoti laiku, t.y. iki 2023 m. pabaigos.</w:t>
      </w:r>
    </w:p>
    <w:p w:rsidR="00C8708A" w:rsidRPr="006658F1" w:rsidRDefault="0000692F" w:rsidP="0000692F">
      <w:pPr>
        <w:ind w:firstLine="426"/>
        <w:jc w:val="both"/>
        <w:rPr>
          <w:color w:val="595959" w:themeColor="text1" w:themeTint="A6"/>
          <w:szCs w:val="24"/>
        </w:rPr>
      </w:pPr>
      <w:r w:rsidRPr="006658F1">
        <w:rPr>
          <w:color w:val="595959" w:themeColor="text1" w:themeTint="A6"/>
          <w:szCs w:val="24"/>
        </w:rPr>
        <w:t xml:space="preserve">Taip pat, ataskaitoje </w:t>
      </w:r>
      <w:r w:rsidR="00AC3DC0" w:rsidRPr="006658F1">
        <w:rPr>
          <w:color w:val="595959" w:themeColor="text1" w:themeTint="A6"/>
          <w:szCs w:val="24"/>
        </w:rPr>
        <w:t>trumpai apžvelgiami sektorių reikšminiai pasiekimai, pagrindiniai iššūkiai ir esminiai spręstini klausimai bei pristatomos finansinės priemonės ir jų panaudojimo nauda ir galimybės.</w:t>
      </w:r>
    </w:p>
    <w:p w:rsidR="00C8708A" w:rsidRPr="006658F1" w:rsidRDefault="00C8708A" w:rsidP="00CC3206">
      <w:pPr>
        <w:pStyle w:val="tekstas"/>
        <w:spacing w:line="276" w:lineRule="auto"/>
        <w:rPr>
          <w:rFonts w:ascii="Times New Roman" w:hAnsi="Times New Roman"/>
          <w:color w:val="595959" w:themeColor="text1" w:themeTint="A6"/>
        </w:rPr>
      </w:pPr>
    </w:p>
    <w:p w:rsidR="00D86482" w:rsidRPr="006658F1" w:rsidRDefault="00D86482" w:rsidP="00CC3206">
      <w:pPr>
        <w:pStyle w:val="tekstas"/>
        <w:spacing w:line="276" w:lineRule="auto"/>
        <w:rPr>
          <w:rFonts w:ascii="Times New Roman" w:hAnsi="Times New Roman"/>
          <w:color w:val="595959" w:themeColor="text1" w:themeTint="A6"/>
        </w:rPr>
      </w:pPr>
      <w:r w:rsidRPr="006658F1">
        <w:rPr>
          <w:rFonts w:ascii="Times New Roman" w:hAnsi="Times New Roman"/>
          <w:color w:val="595959" w:themeColor="text1" w:themeTint="A6"/>
        </w:rPr>
        <w:br w:type="page"/>
      </w:r>
    </w:p>
    <w:p w:rsidR="00740305" w:rsidRPr="006658F1" w:rsidRDefault="00740305" w:rsidP="00740305">
      <w:pPr>
        <w:pStyle w:val="tekstas"/>
        <w:spacing w:line="276" w:lineRule="auto"/>
        <w:ind w:firstLine="0"/>
        <w:rPr>
          <w:rFonts w:ascii="Times New Roman" w:hAnsi="Times New Roman"/>
          <w:color w:val="595959" w:themeColor="text1" w:themeTint="A6"/>
        </w:rPr>
      </w:pPr>
    </w:p>
    <w:p w:rsidR="00BC54FE" w:rsidRPr="006658F1" w:rsidRDefault="00BC54FE" w:rsidP="00BB6B89">
      <w:pPr>
        <w:pStyle w:val="Antrat1"/>
        <w:spacing w:before="0" w:after="0"/>
        <w:ind w:left="426"/>
        <w:rPr>
          <w:rFonts w:ascii="Times New Roman" w:hAnsi="Times New Roman" w:cs="Times New Roman"/>
          <w:sz w:val="24"/>
        </w:rPr>
      </w:pPr>
      <w:bookmarkStart w:id="1" w:name="_Toc508103860"/>
      <w:bookmarkStart w:id="2" w:name="_Toc508106019"/>
      <w:bookmarkStart w:id="3" w:name="_Toc508103861"/>
      <w:bookmarkStart w:id="4" w:name="_Toc508106020"/>
      <w:bookmarkStart w:id="5" w:name="_Toc86414507"/>
      <w:bookmarkStart w:id="6" w:name="_Toc480280394"/>
      <w:bookmarkStart w:id="7" w:name="_Toc481668445"/>
      <w:bookmarkEnd w:id="1"/>
      <w:bookmarkEnd w:id="2"/>
      <w:bookmarkEnd w:id="3"/>
      <w:bookmarkEnd w:id="4"/>
      <w:r w:rsidRPr="006658F1">
        <w:rPr>
          <w:rFonts w:ascii="Times New Roman" w:hAnsi="Times New Roman" w:cs="Times New Roman"/>
          <w:sz w:val="24"/>
        </w:rPr>
        <w:t xml:space="preserve">Bendra </w:t>
      </w:r>
      <w:r w:rsidR="003A66E5" w:rsidRPr="006658F1">
        <w:rPr>
          <w:rFonts w:ascii="Times New Roman" w:hAnsi="Times New Roman" w:cs="Times New Roman"/>
          <w:sz w:val="24"/>
        </w:rPr>
        <w:t>Veiksmų programos</w:t>
      </w:r>
      <w:r w:rsidRPr="006658F1">
        <w:rPr>
          <w:rFonts w:ascii="Times New Roman" w:hAnsi="Times New Roman" w:cs="Times New Roman"/>
          <w:sz w:val="24"/>
        </w:rPr>
        <w:t xml:space="preserve"> įgyvendinimo apžvalga</w:t>
      </w:r>
      <w:bookmarkEnd w:id="5"/>
    </w:p>
    <w:p w:rsidR="00913684" w:rsidRPr="006658F1" w:rsidRDefault="00913684" w:rsidP="00BC54FE">
      <w:pPr>
        <w:pStyle w:val="tekstas"/>
        <w:rPr>
          <w:rFonts w:ascii="Times New Roman" w:hAnsi="Times New Roman"/>
          <w:color w:val="595959" w:themeColor="text1" w:themeTint="A6"/>
          <w:lang w:eastAsia="lt-LT"/>
        </w:rPr>
      </w:pPr>
    </w:p>
    <w:p w:rsidR="00030A0F" w:rsidRPr="006658F1" w:rsidRDefault="00030A0F" w:rsidP="00030A0F">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Lietuva pagal</w:t>
      </w:r>
      <w:r w:rsidR="00122477">
        <w:rPr>
          <w:rFonts w:ascii="Times New Roman" w:hAnsi="Times New Roman"/>
          <w:color w:val="595959" w:themeColor="text1" w:themeTint="A6"/>
          <w:lang w:eastAsia="lt-LT"/>
        </w:rPr>
        <w:t xml:space="preserve"> ES išmokėtas Lietuvai lėšas (73</w:t>
      </w:r>
      <w:r w:rsidRPr="006658F1">
        <w:rPr>
          <w:rFonts w:ascii="Times New Roman" w:hAnsi="Times New Roman"/>
          <w:color w:val="595959" w:themeColor="text1" w:themeTint="A6"/>
          <w:lang w:eastAsia="lt-LT"/>
        </w:rPr>
        <w:t xml:space="preserve"> proc. nuo 2014–2020 m. Lietuvai skirto finansavimo, įs</w:t>
      </w:r>
      <w:r w:rsidR="00122477">
        <w:rPr>
          <w:rFonts w:ascii="Times New Roman" w:hAnsi="Times New Roman"/>
          <w:color w:val="595959" w:themeColor="text1" w:themeTint="A6"/>
          <w:lang w:eastAsia="lt-LT"/>
        </w:rPr>
        <w:t>kaitant išmokėtą avansą) užima 4</w:t>
      </w:r>
      <w:r w:rsidRPr="006658F1">
        <w:rPr>
          <w:rFonts w:ascii="Times New Roman" w:hAnsi="Times New Roman"/>
          <w:color w:val="595959" w:themeColor="text1" w:themeTint="A6"/>
          <w:lang w:eastAsia="lt-LT"/>
        </w:rPr>
        <w:t xml:space="preserve">-ąją vietą tarp visų šalių narių ir viršija ES vidurkį, kuris yra </w:t>
      </w:r>
      <w:r w:rsidR="00122477">
        <w:rPr>
          <w:rFonts w:ascii="Times New Roman" w:hAnsi="Times New Roman"/>
          <w:color w:val="595959" w:themeColor="text1" w:themeTint="A6"/>
          <w:lang w:eastAsia="lt-LT"/>
        </w:rPr>
        <w:t>63</w:t>
      </w:r>
      <w:r w:rsidRPr="006658F1">
        <w:rPr>
          <w:rFonts w:ascii="Times New Roman" w:hAnsi="Times New Roman"/>
          <w:color w:val="595959" w:themeColor="text1" w:themeTint="A6"/>
          <w:lang w:eastAsia="lt-LT"/>
        </w:rPr>
        <w:t xml:space="preserve"> proc. (1 grafikas).</w:t>
      </w:r>
    </w:p>
    <w:p w:rsidR="00030A0F" w:rsidRPr="006658F1" w:rsidRDefault="00030A0F" w:rsidP="00030A0F">
      <w:pPr>
        <w:pStyle w:val="tekstas"/>
        <w:rPr>
          <w:rFonts w:ascii="Times New Roman" w:hAnsi="Times New Roman"/>
          <w:color w:val="595959" w:themeColor="text1" w:themeTint="A6"/>
          <w:lang w:eastAsia="lt-LT"/>
        </w:rPr>
      </w:pPr>
    </w:p>
    <w:p w:rsidR="00030A0F" w:rsidRPr="006658F1" w:rsidRDefault="00030A0F" w:rsidP="00030A0F">
      <w:pPr>
        <w:pStyle w:val="tekstas"/>
        <w:jc w:val="center"/>
        <w:rPr>
          <w:rFonts w:ascii="Times New Roman" w:eastAsia="Calibri" w:hAnsi="Times New Roman"/>
          <w:b/>
          <w:bCs/>
          <w:color w:val="365F91" w:themeColor="accent1" w:themeShade="BF"/>
        </w:rPr>
      </w:pPr>
      <w:r w:rsidRPr="006658F1">
        <w:rPr>
          <w:rFonts w:ascii="Times New Roman" w:eastAsia="Calibri" w:hAnsi="Times New Roman"/>
          <w:b/>
          <w:bCs/>
          <w:color w:val="365F91" w:themeColor="accent1" w:themeShade="BF"/>
        </w:rPr>
        <w:t>1 grafikas. ES išmokėjimai valstybėms narėms (proc. nuo valstybei narei s</w:t>
      </w:r>
      <w:r w:rsidR="00122477">
        <w:rPr>
          <w:rFonts w:ascii="Times New Roman" w:eastAsia="Calibri" w:hAnsi="Times New Roman"/>
          <w:b/>
          <w:bCs/>
          <w:color w:val="365F91" w:themeColor="accent1" w:themeShade="BF"/>
        </w:rPr>
        <w:t>kirtų ES lėšų, 2021 m. spalio 05</w:t>
      </w:r>
      <w:r w:rsidRPr="006658F1">
        <w:rPr>
          <w:rFonts w:ascii="Times New Roman" w:eastAsia="Calibri" w:hAnsi="Times New Roman"/>
          <w:b/>
          <w:bCs/>
          <w:color w:val="365F91" w:themeColor="accent1" w:themeShade="BF"/>
        </w:rPr>
        <w:t xml:space="preserve"> d. duomenys)</w:t>
      </w:r>
    </w:p>
    <w:p w:rsidR="00030A0F" w:rsidRPr="006658F1" w:rsidRDefault="00030A0F" w:rsidP="00030A0F">
      <w:pPr>
        <w:pStyle w:val="tekstas"/>
        <w:ind w:firstLine="0"/>
        <w:jc w:val="center"/>
        <w:rPr>
          <w:rFonts w:ascii="Times New Roman" w:eastAsia="Calibri" w:hAnsi="Times New Roman"/>
          <w:b/>
          <w:bCs/>
          <w:color w:val="365F91" w:themeColor="accent1" w:themeShade="BF"/>
        </w:rPr>
      </w:pPr>
    </w:p>
    <w:p w:rsidR="00030A0F" w:rsidRPr="006658F1" w:rsidRDefault="00122477" w:rsidP="00030A0F">
      <w:pPr>
        <w:pStyle w:val="tekstas"/>
        <w:ind w:firstLine="0"/>
        <w:rPr>
          <w:rFonts w:ascii="Times New Roman" w:hAnsi="Times New Roman"/>
          <w:color w:val="595959" w:themeColor="text1" w:themeTint="A6"/>
          <w:lang w:eastAsia="lt-LT"/>
        </w:rPr>
      </w:pPr>
      <w:r w:rsidRPr="006658F1">
        <w:rPr>
          <w:rFonts w:ascii="Times New Roman" w:hAnsi="Times New Roman"/>
          <w:noProof/>
          <w:color w:val="auto"/>
          <w:lang w:eastAsia="lt-LT"/>
        </w:rPr>
        <mc:AlternateContent>
          <mc:Choice Requires="wps">
            <w:drawing>
              <wp:anchor distT="0" distB="0" distL="114300" distR="114300" simplePos="0" relativeHeight="251661312" behindDoc="0" locked="0" layoutInCell="1" allowOverlap="1" wp14:anchorId="2F2C72A9" wp14:editId="57379B47">
                <wp:simplePos x="0" y="0"/>
                <wp:positionH relativeFrom="column">
                  <wp:posOffset>4815840</wp:posOffset>
                </wp:positionH>
                <wp:positionV relativeFrom="paragraph">
                  <wp:posOffset>650875</wp:posOffset>
                </wp:positionV>
                <wp:extent cx="1090930" cy="264160"/>
                <wp:effectExtent l="0" t="0" r="0" b="0"/>
                <wp:wrapNone/>
                <wp:docPr id="15" name="TextBox 4"/>
                <wp:cNvGraphicFramePr/>
                <a:graphic xmlns:a="http://schemas.openxmlformats.org/drawingml/2006/main">
                  <a:graphicData uri="http://schemas.microsoft.com/office/word/2010/wordprocessingShape">
                    <wps:wsp>
                      <wps:cNvSpPr txBox="1"/>
                      <wps:spPr>
                        <a:xfrm>
                          <a:off x="0" y="0"/>
                          <a:ext cx="1090930"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C29F0" w:rsidRDefault="00DC29F0" w:rsidP="00030A0F">
                            <w:pPr>
                              <w:pStyle w:val="prastasistinklapis"/>
                              <w:spacing w:before="0" w:beforeAutospacing="0" w:after="0" w:afterAutospacing="0"/>
                            </w:pPr>
                            <w:r>
                              <w:rPr>
                                <w:rFonts w:asciiTheme="minorHAnsi" w:hAnsi="Calibri" w:cstheme="minorBidi"/>
                                <w:b/>
                                <w:bCs/>
                                <w:color w:val="E36C0A" w:themeColor="accent6" w:themeShade="BF"/>
                                <w:sz w:val="22"/>
                                <w:szCs w:val="22"/>
                                <w:lang w:val="en-US"/>
                              </w:rPr>
                              <w:t xml:space="preserve">ES </w:t>
                            </w:r>
                            <w:proofErr w:type="spellStart"/>
                            <w:r>
                              <w:rPr>
                                <w:rFonts w:asciiTheme="minorHAnsi" w:hAnsi="Calibri" w:cstheme="minorBidi"/>
                                <w:b/>
                                <w:bCs/>
                                <w:color w:val="E36C0A" w:themeColor="accent6" w:themeShade="BF"/>
                                <w:sz w:val="22"/>
                                <w:szCs w:val="22"/>
                                <w:lang w:val="en-US"/>
                              </w:rPr>
                              <w:t>vidurkis</w:t>
                            </w:r>
                            <w:proofErr w:type="spellEnd"/>
                            <w:r>
                              <w:rPr>
                                <w:rFonts w:asciiTheme="minorHAnsi" w:hAnsi="Calibri" w:cstheme="minorBidi"/>
                                <w:b/>
                                <w:bCs/>
                                <w:color w:val="E36C0A" w:themeColor="accent6" w:themeShade="BF"/>
                                <w:sz w:val="22"/>
                                <w:szCs w:val="22"/>
                                <w:lang w:val="en-US"/>
                              </w:rPr>
                              <w:t xml:space="preserve"> 63%</w:t>
                            </w:r>
                          </w:p>
                        </w:txbxContent>
                      </wps:txbx>
                      <wps:bodyPr vertOverflow="clip" horzOverflow="clip" wrap="none" rtlCol="0" anchor="t">
                        <a:spAutoFit/>
                      </wps:bodyPr>
                    </wps:wsp>
                  </a:graphicData>
                </a:graphic>
              </wp:anchor>
            </w:drawing>
          </mc:Choice>
          <mc:Fallback>
            <w:pict>
              <v:shape id="TextBox 4" o:spid="_x0000_s1028" type="#_x0000_t202" style="position:absolute;left:0;text-align:left;margin-left:379.2pt;margin-top:51.25pt;width:85.9pt;height:20.8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" filled="f" stroked="f">
                <v:textbox style="mso-fit-shape-to-text:t">
                  <w:txbxContent>
                    <w:p w:rsidR="00DC29F0" w:rsidRDefault="00DC29F0" w:rsidP="00030A0F">
                      <w:pPr>
                        <w:pStyle w:val="prastasistinklapis"/>
                        <w:spacing w:before="0" w:beforeAutospacing="0" w:after="0" w:afterAutospacing="0"/>
                      </w:pPr>
                      <w:r>
                        <w:rPr>
                          <w:rFonts w:asciiTheme="minorHAnsi" w:hAnsi="Calibri" w:cstheme="minorBidi"/>
                          <w:b/>
                          <w:bCs/>
                          <w:color w:val="E36C0A" w:themeColor="accent6" w:themeShade="BF"/>
                          <w:sz w:val="22"/>
                          <w:szCs w:val="22"/>
                          <w:lang w:val="en-US"/>
                        </w:rPr>
                        <w:t xml:space="preserve">ES </w:t>
                      </w:r>
                      <w:proofErr w:type="spellStart"/>
                      <w:r>
                        <w:rPr>
                          <w:rFonts w:asciiTheme="minorHAnsi" w:hAnsi="Calibri" w:cstheme="minorBidi"/>
                          <w:b/>
                          <w:bCs/>
                          <w:color w:val="E36C0A" w:themeColor="accent6" w:themeShade="BF"/>
                          <w:sz w:val="22"/>
                          <w:szCs w:val="22"/>
                          <w:lang w:val="en-US"/>
                        </w:rPr>
                        <w:t>vidurkis</w:t>
                      </w:r>
                      <w:proofErr w:type="spellEnd"/>
                      <w:r>
                        <w:rPr>
                          <w:rFonts w:asciiTheme="minorHAnsi" w:hAnsi="Calibri" w:cstheme="minorBidi"/>
                          <w:b/>
                          <w:bCs/>
                          <w:color w:val="E36C0A" w:themeColor="accent6" w:themeShade="BF"/>
                          <w:sz w:val="22"/>
                          <w:szCs w:val="22"/>
                          <w:lang w:val="en-US"/>
                        </w:rPr>
                        <w:t xml:space="preserve"> 63%</w:t>
                      </w:r>
                    </w:p>
                  </w:txbxContent>
                </v:textbox>
              </v:shape>
            </w:pict>
          </mc:Fallback>
        </mc:AlternateContent>
      </w:r>
      <w:r>
        <w:rPr>
          <w:noProof/>
          <w:lang w:eastAsia="lt-LT"/>
        </w:rPr>
        <w:drawing>
          <wp:inline distT="0" distB="0" distL="0" distR="0" wp14:anchorId="0B4CE37D" wp14:editId="1FBFED15">
            <wp:extent cx="6057900" cy="2743200"/>
            <wp:effectExtent l="0" t="0" r="19050" b="1905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0A0F" w:rsidRPr="006658F1" w:rsidRDefault="00030A0F" w:rsidP="00030A0F">
      <w:pPr>
        <w:pStyle w:val="tekstas"/>
        <w:ind w:firstLine="0"/>
        <w:jc w:val="center"/>
        <w:rPr>
          <w:rFonts w:ascii="Times New Roman" w:eastAsia="Calibri" w:hAnsi="Times New Roman"/>
          <w:bCs/>
          <w:color w:val="7F7F7F" w:themeColor="text1" w:themeTint="80"/>
          <w:lang w:eastAsia="lt-LT"/>
        </w:rPr>
      </w:pPr>
      <w:r w:rsidRPr="006658F1">
        <w:rPr>
          <w:rFonts w:ascii="Times New Roman" w:eastAsia="Calibri" w:hAnsi="Times New Roman"/>
          <w:bCs/>
          <w:color w:val="7F7F7F" w:themeColor="text1" w:themeTint="80"/>
          <w:lang w:eastAsia="lt-LT"/>
        </w:rPr>
        <w:t xml:space="preserve">Šaltinis: </w:t>
      </w:r>
      <w:proofErr w:type="spellStart"/>
      <w:r w:rsidRPr="006658F1">
        <w:rPr>
          <w:rFonts w:ascii="Times New Roman" w:eastAsia="Calibri" w:hAnsi="Times New Roman"/>
          <w:bCs/>
          <w:color w:val="7F7F7F" w:themeColor="text1" w:themeTint="80"/>
          <w:lang w:eastAsia="lt-LT"/>
        </w:rPr>
        <w:t>Info</w:t>
      </w:r>
      <w:proofErr w:type="spellEnd"/>
      <w:r w:rsidRPr="006658F1">
        <w:rPr>
          <w:rFonts w:ascii="Times New Roman" w:eastAsia="Calibri" w:hAnsi="Times New Roman"/>
          <w:bCs/>
          <w:color w:val="7F7F7F" w:themeColor="text1" w:themeTint="80"/>
          <w:lang w:eastAsia="lt-LT"/>
        </w:rPr>
        <w:t xml:space="preserve"> </w:t>
      </w:r>
      <w:proofErr w:type="spellStart"/>
      <w:r w:rsidRPr="006658F1">
        <w:rPr>
          <w:rFonts w:ascii="Times New Roman" w:eastAsia="Calibri" w:hAnsi="Times New Roman"/>
          <w:bCs/>
          <w:color w:val="7F7F7F" w:themeColor="text1" w:themeTint="80"/>
          <w:lang w:eastAsia="lt-LT"/>
        </w:rPr>
        <w:t>Regio</w:t>
      </w:r>
      <w:proofErr w:type="spellEnd"/>
      <w:r w:rsidRPr="006658F1">
        <w:rPr>
          <w:rFonts w:ascii="Times New Roman" w:eastAsia="Calibri" w:hAnsi="Times New Roman"/>
          <w:bCs/>
          <w:color w:val="7F7F7F" w:themeColor="text1" w:themeTint="80"/>
          <w:lang w:eastAsia="lt-LT"/>
        </w:rPr>
        <w:t xml:space="preserve">, </w:t>
      </w:r>
      <w:proofErr w:type="spellStart"/>
      <w:r w:rsidRPr="006658F1">
        <w:rPr>
          <w:rFonts w:ascii="Times New Roman" w:eastAsia="Calibri" w:hAnsi="Times New Roman"/>
          <w:bCs/>
          <w:color w:val="7F7F7F" w:themeColor="text1" w:themeTint="80"/>
          <w:lang w:eastAsia="lt-LT"/>
        </w:rPr>
        <w:t>Open</w:t>
      </w:r>
      <w:proofErr w:type="spellEnd"/>
      <w:r w:rsidRPr="006658F1">
        <w:rPr>
          <w:rFonts w:ascii="Times New Roman" w:eastAsia="Calibri" w:hAnsi="Times New Roman"/>
          <w:bCs/>
          <w:color w:val="7F7F7F" w:themeColor="text1" w:themeTint="80"/>
          <w:lang w:eastAsia="lt-LT"/>
        </w:rPr>
        <w:t xml:space="preserve"> Data platforma.</w:t>
      </w:r>
    </w:p>
    <w:p w:rsidR="00885603" w:rsidRDefault="00885603" w:rsidP="00367F59">
      <w:pPr>
        <w:pStyle w:val="tekstas"/>
        <w:ind w:firstLine="0"/>
        <w:rPr>
          <w:rFonts w:ascii="Times New Roman" w:hAnsi="Times New Roman"/>
          <w:color w:val="595959" w:themeColor="text1" w:themeTint="A6"/>
          <w:lang w:eastAsia="lt-LT"/>
        </w:rPr>
      </w:pPr>
    </w:p>
    <w:p w:rsidR="002716F6" w:rsidRPr="006658F1" w:rsidRDefault="002716F6" w:rsidP="00367F59">
      <w:pPr>
        <w:pStyle w:val="tekstas"/>
        <w:ind w:firstLine="0"/>
        <w:rPr>
          <w:rFonts w:ascii="Times New Roman" w:hAnsi="Times New Roman"/>
          <w:color w:val="595959" w:themeColor="text1" w:themeTint="A6"/>
          <w:lang w:eastAsia="lt-LT"/>
        </w:rPr>
      </w:pPr>
    </w:p>
    <w:p w:rsidR="00BC54FE" w:rsidRPr="006658F1" w:rsidRDefault="00D71B46" w:rsidP="00BC54FE">
      <w:pPr>
        <w:pStyle w:val="Antrat"/>
        <w:keepNext/>
        <w:spacing w:after="0"/>
        <w:jc w:val="center"/>
        <w:rPr>
          <w:rFonts w:ascii="Times New Roman" w:hAnsi="Times New Roman"/>
          <w:color w:val="365F91" w:themeColor="accent1" w:themeShade="BF"/>
          <w:sz w:val="24"/>
          <w:szCs w:val="24"/>
        </w:rPr>
      </w:pPr>
      <w:r w:rsidRPr="006658F1">
        <w:rPr>
          <w:rFonts w:ascii="Times New Roman" w:hAnsi="Times New Roman"/>
          <w:color w:val="365F91" w:themeColor="accent1" w:themeShade="BF"/>
          <w:sz w:val="24"/>
          <w:szCs w:val="24"/>
        </w:rPr>
        <w:t>2</w:t>
      </w:r>
      <w:r w:rsidR="00BC54FE" w:rsidRPr="006658F1">
        <w:rPr>
          <w:rFonts w:ascii="Times New Roman" w:hAnsi="Times New Roman"/>
          <w:color w:val="365F91" w:themeColor="accent1" w:themeShade="BF"/>
          <w:sz w:val="24"/>
          <w:szCs w:val="24"/>
        </w:rPr>
        <w:t xml:space="preserve"> grafikas. </w:t>
      </w:r>
      <w:r w:rsidR="003A66E5" w:rsidRPr="006658F1">
        <w:rPr>
          <w:rFonts w:ascii="Times New Roman" w:hAnsi="Times New Roman"/>
          <w:color w:val="365F91" w:themeColor="accent1" w:themeShade="BF"/>
          <w:sz w:val="24"/>
          <w:szCs w:val="24"/>
        </w:rPr>
        <w:t>Veiksmų programos</w:t>
      </w:r>
      <w:r w:rsidR="00BC54FE" w:rsidRPr="006658F1">
        <w:rPr>
          <w:rFonts w:ascii="Times New Roman" w:hAnsi="Times New Roman"/>
          <w:color w:val="365F91" w:themeColor="accent1" w:themeShade="BF"/>
          <w:sz w:val="24"/>
          <w:szCs w:val="24"/>
        </w:rPr>
        <w:t xml:space="preserve"> įgyvendini</w:t>
      </w:r>
      <w:r w:rsidR="000F701E" w:rsidRPr="006658F1">
        <w:rPr>
          <w:rFonts w:ascii="Times New Roman" w:hAnsi="Times New Roman"/>
          <w:color w:val="365F91" w:themeColor="accent1" w:themeShade="BF"/>
          <w:sz w:val="24"/>
          <w:szCs w:val="24"/>
        </w:rPr>
        <w:t>mas pagal etapus (mln. eurų ir proc.</w:t>
      </w:r>
      <w:r w:rsidR="00BC54FE" w:rsidRPr="006658F1">
        <w:rPr>
          <w:rFonts w:ascii="Times New Roman" w:hAnsi="Times New Roman"/>
          <w:color w:val="365F91" w:themeColor="accent1" w:themeShade="BF"/>
          <w:sz w:val="24"/>
          <w:szCs w:val="24"/>
        </w:rPr>
        <w:t xml:space="preserve"> nuo ES fondų lėšų).</w:t>
      </w:r>
    </w:p>
    <w:p w:rsidR="00BC54FE" w:rsidRPr="006658F1" w:rsidRDefault="00BC54FE" w:rsidP="00BC54FE">
      <w:pPr>
        <w:ind w:firstLine="567"/>
        <w:jc w:val="both"/>
        <w:rPr>
          <w:color w:val="666666"/>
          <w:szCs w:val="24"/>
          <w:highlight w:val="yellow"/>
          <w:lang w:eastAsia="lt-LT"/>
        </w:rPr>
      </w:pPr>
    </w:p>
    <w:p w:rsidR="00BC54FE" w:rsidRPr="006658F1" w:rsidRDefault="00122477" w:rsidP="006C4091">
      <w:pPr>
        <w:jc w:val="both"/>
        <w:rPr>
          <w:color w:val="595959" w:themeColor="text1" w:themeTint="A6"/>
          <w:szCs w:val="24"/>
          <w:lang w:eastAsia="lt-LT"/>
        </w:rPr>
      </w:pPr>
      <w:r>
        <w:rPr>
          <w:noProof/>
          <w:lang w:eastAsia="lt-LT"/>
        </w:rPr>
        <w:drawing>
          <wp:inline distT="0" distB="0" distL="0" distR="0" wp14:anchorId="20F6FAB9" wp14:editId="3DFD589C">
            <wp:extent cx="6120130" cy="2689371"/>
            <wp:effectExtent l="0" t="0" r="13970" b="1587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602B6" w:rsidRPr="006658F1">
        <w:rPr>
          <w:noProof/>
          <w:szCs w:val="24"/>
          <w:lang w:eastAsia="lt-LT"/>
        </w:rPr>
        <mc:AlternateContent>
          <mc:Choice Requires="wps">
            <w:drawing>
              <wp:anchor distT="0" distB="0" distL="114300" distR="114300" simplePos="0" relativeHeight="251655168" behindDoc="0" locked="0" layoutInCell="1" allowOverlap="1" wp14:anchorId="3B3D2480" wp14:editId="33AE1572">
                <wp:simplePos x="0" y="0"/>
                <wp:positionH relativeFrom="column">
                  <wp:posOffset>6030239</wp:posOffset>
                </wp:positionH>
                <wp:positionV relativeFrom="paragraph">
                  <wp:posOffset>579653</wp:posOffset>
                </wp:positionV>
                <wp:extent cx="314300" cy="248285"/>
                <wp:effectExtent l="0" t="0" r="0" b="0"/>
                <wp:wrapNone/>
                <wp:docPr id="9" name="TextBox 8"/>
                <wp:cNvGraphicFramePr/>
                <a:graphic xmlns:a="http://schemas.openxmlformats.org/drawingml/2006/main">
                  <a:graphicData uri="http://schemas.microsoft.com/office/word/2010/wordprocessingShape">
                    <wps:wsp>
                      <wps:cNvSpPr txBox="1"/>
                      <wps:spPr>
                        <a:xfrm>
                          <a:off x="0" y="0"/>
                          <a:ext cx="314300" cy="24828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C29F0" w:rsidRDefault="00DC29F0" w:rsidP="00F57390">
                            <w:pPr>
                              <w:pStyle w:val="prastasistinklapis"/>
                              <w:spacing w:before="0" w:beforeAutospacing="0" w:after="0" w:afterAutospacing="0"/>
                            </w:pPr>
                          </w:p>
                        </w:txbxContent>
                      </wps:txbx>
                      <wps:bodyPr vertOverflow="clip" horzOverflow="clip" wrap="square" rtlCol="0" anchor="t">
                        <a:spAutoFit/>
                      </wps:bodyPr>
                    </wps:wsp>
                  </a:graphicData>
                </a:graphic>
                <wp14:sizeRelH relativeFrom="margin">
                  <wp14:pctWidth>0</wp14:pctWidth>
                </wp14:sizeRelH>
              </wp:anchor>
            </w:drawing>
          </mc:Choice>
          <mc:Fallback>
            <w:pict>
              <v:shape id="TextBox 8" o:spid="_x0000_s1029" type="#_x0000_t202" style="position:absolute;left:0;text-align:left;margin-left:474.8pt;margin-top:45.65pt;width:24.75pt;height:19.5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" filled="f" stroked="f">
                <v:textbox style="mso-fit-shape-to-text:t">
                  <w:txbxContent>
                    <w:p w:rsidR="00DC29F0" w:rsidRDefault="00DC29F0" w:rsidP="00F57390">
                      <w:pPr>
                        <w:pStyle w:val="prastasistinklapis"/>
                        <w:spacing w:before="0" w:beforeAutospacing="0" w:after="0" w:afterAutospacing="0"/>
                      </w:pPr>
                    </w:p>
                  </w:txbxContent>
                </v:textbox>
              </v:shape>
            </w:pict>
          </mc:Fallback>
        </mc:AlternateContent>
      </w:r>
    </w:p>
    <w:p w:rsidR="00894BC1" w:rsidRPr="006658F1" w:rsidRDefault="008602B6" w:rsidP="00DA758F">
      <w:pPr>
        <w:pStyle w:val="Antrat"/>
        <w:keepNext/>
        <w:spacing w:after="0"/>
        <w:jc w:val="center"/>
        <w:rPr>
          <w:rFonts w:ascii="Times New Roman" w:hAnsi="Times New Roman"/>
          <w:b w:val="0"/>
          <w:color w:val="7F7F7F" w:themeColor="text1" w:themeTint="80"/>
          <w:sz w:val="24"/>
          <w:szCs w:val="24"/>
          <w:lang w:eastAsia="lt-LT"/>
        </w:rPr>
      </w:pPr>
      <w:r w:rsidRPr="006658F1">
        <w:rPr>
          <w:rFonts w:ascii="Times New Roman" w:hAnsi="Times New Roman"/>
          <w:b w:val="0"/>
          <w:color w:val="7F7F7F" w:themeColor="text1" w:themeTint="80"/>
          <w:sz w:val="24"/>
          <w:szCs w:val="24"/>
          <w:lang w:eastAsia="lt-LT"/>
        </w:rPr>
        <w:t>Šaltinis: 2014–2020 metų Europos Sąjungos struktūrinių fondų posistemis (SFMIS2014).</w:t>
      </w:r>
    </w:p>
    <w:p w:rsidR="00030A0F" w:rsidRPr="006658F1" w:rsidRDefault="00030A0F" w:rsidP="00030A0F">
      <w:pPr>
        <w:pStyle w:val="tekstas"/>
        <w:ind w:firstLine="0"/>
        <w:rPr>
          <w:rFonts w:ascii="Times New Roman" w:hAnsi="Times New Roman"/>
          <w:color w:val="595959" w:themeColor="text1" w:themeTint="A6"/>
          <w:lang w:eastAsia="lt-LT"/>
        </w:rPr>
      </w:pPr>
    </w:p>
    <w:p w:rsidR="00030A0F" w:rsidRPr="006658F1" w:rsidRDefault="00030A0F" w:rsidP="00030A0F">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2021 m. balandžio 12 d. EK patvirtinus Veiksmų programos pakeitimą, į Veiksmų programą įraukti nauji prioritetai: 13 prioritetas „Veiksmų, skirtų COVID-19 pandemijos sukeltai krizei </w:t>
      </w:r>
      <w:r w:rsidRPr="006658F1">
        <w:rPr>
          <w:rFonts w:ascii="Times New Roman" w:hAnsi="Times New Roman"/>
          <w:color w:val="595959" w:themeColor="text1" w:themeTint="A6"/>
          <w:lang w:eastAsia="lt-LT"/>
        </w:rPr>
        <w:lastRenderedPageBreak/>
        <w:t xml:space="preserve">įveikti, skatinimas ir pasirengimas aplinką tausojančiam, skaitmeniniam ir tvariam ekonomikos atgaivinimui“ ir 14 prioritetas „Veiksmų, skirtų COVID-19 pandemijos sukeltai krizei įveikti, skatinimas, siekiant didinti užimtumą ir socialinę </w:t>
      </w:r>
      <w:proofErr w:type="spellStart"/>
      <w:r w:rsidRPr="006658F1">
        <w:rPr>
          <w:rFonts w:ascii="Times New Roman" w:hAnsi="Times New Roman"/>
          <w:color w:val="595959" w:themeColor="text1" w:themeTint="A6"/>
          <w:lang w:eastAsia="lt-LT"/>
        </w:rPr>
        <w:t>įtrauktį</w:t>
      </w:r>
      <w:proofErr w:type="spellEnd"/>
      <w:r w:rsidRPr="006658F1">
        <w:rPr>
          <w:rFonts w:ascii="Times New Roman" w:hAnsi="Times New Roman"/>
          <w:color w:val="595959" w:themeColor="text1" w:themeTint="A6"/>
          <w:lang w:eastAsia="lt-LT"/>
        </w:rPr>
        <w:t xml:space="preserve">“. Šiems naujai įtrauktiems prioritetams įgyvendinti skirta 274 mln. eurų iniciatyvos </w:t>
      </w:r>
      <w:proofErr w:type="spellStart"/>
      <w:r w:rsidRPr="006658F1">
        <w:rPr>
          <w:rFonts w:ascii="Times New Roman" w:hAnsi="Times New Roman"/>
          <w:color w:val="595959" w:themeColor="text1" w:themeTint="A6"/>
          <w:lang w:eastAsia="lt-LT"/>
        </w:rPr>
        <w:t>React-EU</w:t>
      </w:r>
      <w:proofErr w:type="spellEnd"/>
      <w:r w:rsidRPr="006658F1">
        <w:rPr>
          <w:rFonts w:ascii="Times New Roman" w:hAnsi="Times New Roman"/>
          <w:color w:val="595959" w:themeColor="text1" w:themeTint="A6"/>
          <w:lang w:eastAsia="lt-LT"/>
        </w:rPr>
        <w:t xml:space="preserve"> lėšų. Atsižvelgiant į tai, bendra Lietuvai numatyta ES fondų lėšų suma padidėjo ir sudaro 6 983 mln. eurų (iki Veiksmų programos pakeitimo bendra ES fondų lėšų suma Lietuvai sudarė 6 709 mln. eurų).</w:t>
      </w:r>
    </w:p>
    <w:p w:rsidR="00DD3B53" w:rsidRPr="006658F1" w:rsidRDefault="00DD3B53" w:rsidP="00DD3B53">
      <w:pPr>
        <w:jc w:val="both"/>
        <w:rPr>
          <w:color w:val="595959" w:themeColor="text1" w:themeTint="A6"/>
          <w:szCs w:val="24"/>
          <w:u w:val="single"/>
        </w:rPr>
      </w:pPr>
    </w:p>
    <w:p w:rsidR="00DD3B53" w:rsidRPr="006658F1" w:rsidRDefault="00DD3B53" w:rsidP="00DD3B53">
      <w:pPr>
        <w:jc w:val="both"/>
        <w:rPr>
          <w:color w:val="595959" w:themeColor="text1" w:themeTint="A6"/>
          <w:szCs w:val="24"/>
          <w:u w:val="single"/>
        </w:rPr>
      </w:pPr>
      <w:r w:rsidRPr="006658F1">
        <w:rPr>
          <w:color w:val="595959" w:themeColor="text1" w:themeTint="A6"/>
          <w:szCs w:val="24"/>
          <w:u w:val="single"/>
        </w:rPr>
        <w:t>Sutartys.</w:t>
      </w:r>
    </w:p>
    <w:p w:rsidR="00DD3B53" w:rsidRPr="006658F1" w:rsidRDefault="00DD3B53" w:rsidP="00DD3B53">
      <w:pPr>
        <w:ind w:firstLine="426"/>
        <w:jc w:val="both"/>
        <w:rPr>
          <w:color w:val="595959" w:themeColor="text1" w:themeTint="A6"/>
          <w:szCs w:val="24"/>
        </w:rPr>
      </w:pPr>
      <w:r w:rsidRPr="006658F1">
        <w:rPr>
          <w:color w:val="595959" w:themeColor="text1" w:themeTint="A6"/>
          <w:szCs w:val="24"/>
        </w:rPr>
        <w:t>Nuo finansavimo laikotarpio pradži</w:t>
      </w:r>
      <w:r w:rsidR="000F50C4">
        <w:rPr>
          <w:color w:val="595959" w:themeColor="text1" w:themeTint="A6"/>
          <w:szCs w:val="24"/>
        </w:rPr>
        <w:t>os iki 2021</w:t>
      </w:r>
      <w:r w:rsidRPr="006658F1">
        <w:rPr>
          <w:color w:val="595959" w:themeColor="text1" w:themeTint="A6"/>
          <w:szCs w:val="24"/>
        </w:rPr>
        <w:t xml:space="preserve"> m. </w:t>
      </w:r>
      <w:r w:rsidR="00122477">
        <w:rPr>
          <w:color w:val="595959" w:themeColor="text1" w:themeTint="A6"/>
          <w:szCs w:val="24"/>
        </w:rPr>
        <w:t>rugsėjo</w:t>
      </w:r>
      <w:r w:rsidR="00122477" w:rsidRPr="006658F1">
        <w:rPr>
          <w:color w:val="595959" w:themeColor="text1" w:themeTint="A6"/>
          <w:szCs w:val="24"/>
        </w:rPr>
        <w:t xml:space="preserve"> </w:t>
      </w:r>
      <w:r w:rsidR="000F50C4">
        <w:rPr>
          <w:color w:val="595959" w:themeColor="text1" w:themeTint="A6"/>
          <w:szCs w:val="24"/>
        </w:rPr>
        <w:t>30</w:t>
      </w:r>
      <w:r w:rsidR="00C14999" w:rsidRPr="006658F1">
        <w:rPr>
          <w:color w:val="595959" w:themeColor="text1" w:themeTint="A6"/>
          <w:szCs w:val="24"/>
        </w:rPr>
        <w:t xml:space="preserve"> d. projektams paskirstyta 6,8</w:t>
      </w:r>
      <w:r w:rsidR="00122477">
        <w:rPr>
          <w:color w:val="595959" w:themeColor="text1" w:themeTint="A6"/>
          <w:szCs w:val="24"/>
        </w:rPr>
        <w:t>9</w:t>
      </w:r>
      <w:r w:rsidRPr="006658F1">
        <w:rPr>
          <w:color w:val="595959" w:themeColor="text1" w:themeTint="A6"/>
          <w:szCs w:val="24"/>
        </w:rPr>
        <w:t> </w:t>
      </w:r>
      <w:r w:rsidR="00030A0F" w:rsidRPr="006658F1">
        <w:rPr>
          <w:color w:val="595959" w:themeColor="text1" w:themeTint="A6"/>
          <w:szCs w:val="24"/>
        </w:rPr>
        <w:t>mlrd. (9</w:t>
      </w:r>
      <w:r w:rsidR="00122477">
        <w:rPr>
          <w:color w:val="595959" w:themeColor="text1" w:themeTint="A6"/>
          <w:szCs w:val="24"/>
        </w:rPr>
        <w:t>9</w:t>
      </w:r>
      <w:r w:rsidRPr="006658F1">
        <w:rPr>
          <w:color w:val="595959" w:themeColor="text1" w:themeTint="A6"/>
          <w:szCs w:val="24"/>
        </w:rPr>
        <w:t xml:space="preserve"> proc.) eurų ES fon</w:t>
      </w:r>
      <w:r w:rsidR="00C14999" w:rsidRPr="006658F1">
        <w:rPr>
          <w:color w:val="595959" w:themeColor="text1" w:themeTint="A6"/>
          <w:szCs w:val="24"/>
        </w:rPr>
        <w:t xml:space="preserve">dų lėšų. Per </w:t>
      </w:r>
      <w:r w:rsidR="00030A0F" w:rsidRPr="006658F1">
        <w:rPr>
          <w:color w:val="595959" w:themeColor="text1" w:themeTint="A6"/>
          <w:szCs w:val="24"/>
        </w:rPr>
        <w:t>š. m. II</w:t>
      </w:r>
      <w:r w:rsidR="00122477">
        <w:rPr>
          <w:color w:val="595959" w:themeColor="text1" w:themeTint="A6"/>
          <w:szCs w:val="24"/>
        </w:rPr>
        <w:t>I</w:t>
      </w:r>
      <w:r w:rsidR="00030A0F" w:rsidRPr="006658F1">
        <w:rPr>
          <w:color w:val="595959" w:themeColor="text1" w:themeTint="A6"/>
          <w:szCs w:val="24"/>
        </w:rPr>
        <w:t xml:space="preserve"> </w:t>
      </w:r>
      <w:proofErr w:type="spellStart"/>
      <w:r w:rsidR="00030A0F" w:rsidRPr="006658F1">
        <w:rPr>
          <w:color w:val="595959" w:themeColor="text1" w:themeTint="A6"/>
          <w:szCs w:val="24"/>
        </w:rPr>
        <w:t>ketv</w:t>
      </w:r>
      <w:proofErr w:type="spellEnd"/>
      <w:r w:rsidR="00030A0F" w:rsidRPr="006658F1">
        <w:rPr>
          <w:color w:val="595959" w:themeColor="text1" w:themeTint="A6"/>
          <w:szCs w:val="24"/>
        </w:rPr>
        <w:t>.</w:t>
      </w:r>
      <w:r w:rsidR="00C14999" w:rsidRPr="006658F1">
        <w:rPr>
          <w:color w:val="595959" w:themeColor="text1" w:themeTint="A6"/>
          <w:szCs w:val="24"/>
        </w:rPr>
        <w:t xml:space="preserve"> sudaryta</w:t>
      </w:r>
      <w:r w:rsidRPr="006658F1">
        <w:rPr>
          <w:color w:val="595959" w:themeColor="text1" w:themeTint="A6"/>
          <w:szCs w:val="24"/>
        </w:rPr>
        <w:t xml:space="preserve"> sutarčių </w:t>
      </w:r>
      <w:r w:rsidR="00C14999" w:rsidRPr="006658F1">
        <w:rPr>
          <w:color w:val="595959" w:themeColor="text1" w:themeTint="A6"/>
          <w:szCs w:val="24"/>
        </w:rPr>
        <w:t>už</w:t>
      </w:r>
      <w:r w:rsidRPr="006658F1">
        <w:rPr>
          <w:color w:val="595959" w:themeColor="text1" w:themeTint="A6"/>
          <w:szCs w:val="24"/>
        </w:rPr>
        <w:t xml:space="preserve"> </w:t>
      </w:r>
      <w:r w:rsidR="00122477">
        <w:rPr>
          <w:color w:val="595959" w:themeColor="text1" w:themeTint="A6"/>
          <w:szCs w:val="24"/>
        </w:rPr>
        <w:t>55</w:t>
      </w:r>
      <w:r w:rsidR="00122477" w:rsidRPr="006658F1">
        <w:rPr>
          <w:color w:val="595959" w:themeColor="text1" w:themeTint="A6"/>
          <w:szCs w:val="24"/>
        </w:rPr>
        <w:t xml:space="preserve"> </w:t>
      </w:r>
      <w:r w:rsidRPr="006658F1">
        <w:rPr>
          <w:color w:val="595959" w:themeColor="text1" w:themeTint="A6"/>
          <w:szCs w:val="24"/>
        </w:rPr>
        <w:t>ml</w:t>
      </w:r>
      <w:r w:rsidR="00030A0F" w:rsidRPr="006658F1">
        <w:rPr>
          <w:color w:val="595959" w:themeColor="text1" w:themeTint="A6"/>
          <w:szCs w:val="24"/>
        </w:rPr>
        <w:t>n</w:t>
      </w:r>
      <w:r w:rsidRPr="006658F1">
        <w:rPr>
          <w:color w:val="595959" w:themeColor="text1" w:themeTint="A6"/>
          <w:szCs w:val="24"/>
        </w:rPr>
        <w:t xml:space="preserve">. eurų </w:t>
      </w:r>
      <w:r w:rsidR="00C14999" w:rsidRPr="006658F1">
        <w:rPr>
          <w:color w:val="595959" w:themeColor="text1" w:themeTint="A6"/>
          <w:szCs w:val="24"/>
        </w:rPr>
        <w:t xml:space="preserve">(ES fondų lėšos) </w:t>
      </w:r>
      <w:r w:rsidRPr="006658F1">
        <w:rPr>
          <w:color w:val="595959" w:themeColor="text1" w:themeTint="A6"/>
          <w:szCs w:val="24"/>
        </w:rPr>
        <w:t xml:space="preserve">arba </w:t>
      </w:r>
      <w:r w:rsidR="00030A0F" w:rsidRPr="006658F1">
        <w:rPr>
          <w:color w:val="595959" w:themeColor="text1" w:themeTint="A6"/>
          <w:szCs w:val="24"/>
        </w:rPr>
        <w:t>1</w:t>
      </w:r>
      <w:r w:rsidRPr="006658F1">
        <w:rPr>
          <w:color w:val="595959" w:themeColor="text1" w:themeTint="A6"/>
          <w:szCs w:val="24"/>
        </w:rPr>
        <w:t xml:space="preserve"> proc. (2 grafikas).</w:t>
      </w:r>
    </w:p>
    <w:p w:rsidR="00DD3B53" w:rsidRPr="006658F1" w:rsidRDefault="008E65EB" w:rsidP="00DD3B53">
      <w:pPr>
        <w:ind w:firstLine="426"/>
        <w:jc w:val="both"/>
        <w:rPr>
          <w:color w:val="595959" w:themeColor="text1" w:themeTint="A6"/>
          <w:szCs w:val="24"/>
        </w:rPr>
      </w:pPr>
      <w:r w:rsidRPr="006658F1">
        <w:rPr>
          <w:color w:val="595959" w:themeColor="text1" w:themeTint="A6"/>
          <w:szCs w:val="24"/>
        </w:rPr>
        <w:t xml:space="preserve">Didžiąją dalį projektams nepaskirstytų lėšų sudaro papildomas </w:t>
      </w:r>
      <w:proofErr w:type="spellStart"/>
      <w:r w:rsidRPr="006658F1">
        <w:rPr>
          <w:color w:val="595959" w:themeColor="text1" w:themeTint="A6"/>
          <w:szCs w:val="24"/>
        </w:rPr>
        <w:t>React</w:t>
      </w:r>
      <w:proofErr w:type="gramStart"/>
      <w:r w:rsidRPr="006658F1">
        <w:rPr>
          <w:color w:val="595959" w:themeColor="text1" w:themeTint="A6"/>
          <w:szCs w:val="24"/>
        </w:rPr>
        <w:t>-</w:t>
      </w:r>
      <w:proofErr w:type="gramEnd"/>
      <w:r w:rsidRPr="006658F1">
        <w:rPr>
          <w:color w:val="595959" w:themeColor="text1" w:themeTint="A6"/>
          <w:szCs w:val="24"/>
        </w:rPr>
        <w:t>EU</w:t>
      </w:r>
      <w:proofErr w:type="spellEnd"/>
      <w:r w:rsidRPr="006658F1">
        <w:rPr>
          <w:color w:val="595959" w:themeColor="text1" w:themeTint="A6"/>
          <w:szCs w:val="24"/>
        </w:rPr>
        <w:t xml:space="preserve"> ini</w:t>
      </w:r>
      <w:r w:rsidR="00883982" w:rsidRPr="006658F1">
        <w:rPr>
          <w:color w:val="595959" w:themeColor="text1" w:themeTint="A6"/>
          <w:szCs w:val="24"/>
        </w:rPr>
        <w:t>ciatyvos finansavimas bei</w:t>
      </w:r>
      <w:r w:rsidRPr="006658F1">
        <w:rPr>
          <w:color w:val="595959" w:themeColor="text1" w:themeTint="A6"/>
          <w:szCs w:val="24"/>
        </w:rPr>
        <w:t xml:space="preserve"> </w:t>
      </w:r>
      <w:r w:rsidR="003026EA" w:rsidRPr="006658F1">
        <w:rPr>
          <w:color w:val="595959" w:themeColor="text1" w:themeTint="A6"/>
          <w:szCs w:val="24"/>
        </w:rPr>
        <w:t>dar nepasirašyta</w:t>
      </w:r>
      <w:r w:rsidRPr="006658F1">
        <w:rPr>
          <w:color w:val="595959" w:themeColor="text1" w:themeTint="A6"/>
          <w:szCs w:val="24"/>
        </w:rPr>
        <w:t xml:space="preserve"> didelės apimties geležinkelio ruožo nuo Kaišiadorių iki Klaipėdos elektrifikavimo projekt</w:t>
      </w:r>
      <w:r w:rsidR="003026EA" w:rsidRPr="006658F1">
        <w:rPr>
          <w:color w:val="595959" w:themeColor="text1" w:themeTint="A6"/>
          <w:szCs w:val="24"/>
        </w:rPr>
        <w:t>o sutartis</w:t>
      </w:r>
      <w:r w:rsidR="00180938" w:rsidRPr="006658F1">
        <w:rPr>
          <w:color w:val="595959" w:themeColor="text1" w:themeTint="A6"/>
          <w:szCs w:val="24"/>
        </w:rPr>
        <w:t xml:space="preserve"> (3 grafikas).</w:t>
      </w:r>
    </w:p>
    <w:p w:rsidR="00885603" w:rsidRPr="006658F1" w:rsidRDefault="00885603" w:rsidP="00885603">
      <w:pPr>
        <w:pStyle w:val="tekstas"/>
        <w:rPr>
          <w:rFonts w:ascii="Times New Roman" w:hAnsi="Times New Roman"/>
          <w:color w:val="595959" w:themeColor="text1" w:themeTint="A6"/>
          <w:lang w:eastAsia="lt-LT"/>
        </w:rPr>
      </w:pPr>
    </w:p>
    <w:p w:rsidR="00D427C5" w:rsidRPr="006658F1" w:rsidRDefault="00D427C5" w:rsidP="00D427C5">
      <w:pPr>
        <w:pStyle w:val="Antrat"/>
        <w:keepNext/>
        <w:spacing w:after="0"/>
        <w:jc w:val="center"/>
        <w:rPr>
          <w:rFonts w:ascii="Times New Roman" w:hAnsi="Times New Roman"/>
          <w:noProof/>
          <w:color w:val="365F91" w:themeColor="accent1" w:themeShade="BF"/>
          <w:sz w:val="24"/>
          <w:szCs w:val="24"/>
        </w:rPr>
      </w:pPr>
      <w:r w:rsidRPr="006658F1">
        <w:rPr>
          <w:rFonts w:ascii="Times New Roman" w:hAnsi="Times New Roman"/>
          <w:noProof/>
          <w:color w:val="365F91" w:themeColor="accent1" w:themeShade="BF"/>
          <w:sz w:val="24"/>
          <w:szCs w:val="24"/>
        </w:rPr>
        <w:t>3 grafikas. Veiksmų programos įgyvendinimas pagal etapu</w:t>
      </w:r>
      <w:r w:rsidR="006C642C" w:rsidRPr="006658F1">
        <w:rPr>
          <w:rFonts w:ascii="Times New Roman" w:hAnsi="Times New Roman"/>
          <w:noProof/>
          <w:color w:val="365F91" w:themeColor="accent1" w:themeShade="BF"/>
          <w:sz w:val="24"/>
          <w:szCs w:val="24"/>
        </w:rPr>
        <w:t>s ir pagal ministerijas iki 2021</w:t>
      </w:r>
      <w:r w:rsidRPr="006658F1">
        <w:rPr>
          <w:rFonts w:ascii="Times New Roman" w:hAnsi="Times New Roman"/>
          <w:noProof/>
          <w:color w:val="365F91" w:themeColor="accent1" w:themeShade="BF"/>
          <w:sz w:val="24"/>
          <w:szCs w:val="24"/>
        </w:rPr>
        <w:t xml:space="preserve"> m. </w:t>
      </w:r>
      <w:r w:rsidR="00122477">
        <w:rPr>
          <w:rFonts w:ascii="Times New Roman" w:hAnsi="Times New Roman"/>
          <w:noProof/>
          <w:color w:val="365F91" w:themeColor="accent1" w:themeShade="BF"/>
          <w:sz w:val="24"/>
          <w:szCs w:val="24"/>
        </w:rPr>
        <w:t>rugsėjo</w:t>
      </w:r>
      <w:r w:rsidR="008E65EB" w:rsidRPr="006658F1">
        <w:rPr>
          <w:rFonts w:ascii="Times New Roman" w:hAnsi="Times New Roman"/>
          <w:noProof/>
          <w:color w:val="365F91" w:themeColor="accent1" w:themeShade="BF"/>
          <w:sz w:val="24"/>
          <w:szCs w:val="24"/>
        </w:rPr>
        <w:t> 30</w:t>
      </w:r>
      <w:r w:rsidR="006C642C" w:rsidRPr="006658F1">
        <w:rPr>
          <w:rFonts w:ascii="Times New Roman" w:hAnsi="Times New Roman"/>
          <w:noProof/>
          <w:color w:val="365F91" w:themeColor="accent1" w:themeShade="BF"/>
          <w:sz w:val="24"/>
          <w:szCs w:val="24"/>
        </w:rPr>
        <w:t> </w:t>
      </w:r>
      <w:r w:rsidRPr="006658F1">
        <w:rPr>
          <w:rFonts w:ascii="Times New Roman" w:hAnsi="Times New Roman"/>
          <w:noProof/>
          <w:color w:val="365F91" w:themeColor="accent1" w:themeShade="BF"/>
          <w:sz w:val="24"/>
          <w:szCs w:val="24"/>
        </w:rPr>
        <w:t>d. (proc. nuo administruojamų ES fondų lėšų ir mln. eurų)</w:t>
      </w:r>
    </w:p>
    <w:p w:rsidR="00D427C5" w:rsidRPr="006658F1" w:rsidRDefault="00D427C5" w:rsidP="00D427C5">
      <w:pPr>
        <w:rPr>
          <w:szCs w:val="24"/>
        </w:rPr>
      </w:pPr>
    </w:p>
    <w:p w:rsidR="00D427C5" w:rsidRPr="006658F1" w:rsidRDefault="00122477" w:rsidP="00D427C5">
      <w:pPr>
        <w:rPr>
          <w:szCs w:val="24"/>
        </w:rPr>
      </w:pPr>
      <w:r>
        <w:rPr>
          <w:noProof/>
          <w:lang w:eastAsia="lt-LT"/>
        </w:rPr>
        <w:drawing>
          <wp:inline distT="0" distB="0" distL="0" distR="0" wp14:anchorId="3879932D" wp14:editId="2B0FFA3E">
            <wp:extent cx="5958418" cy="2984501"/>
            <wp:effectExtent l="0" t="0" r="23495" b="25400"/>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27C5" w:rsidRPr="006658F1" w:rsidRDefault="00D427C5" w:rsidP="00D427C5">
      <w:pPr>
        <w:ind w:firstLine="567"/>
        <w:jc w:val="both"/>
        <w:rPr>
          <w:color w:val="7F7F7F" w:themeColor="text1" w:themeTint="80"/>
          <w:szCs w:val="24"/>
          <w:lang w:eastAsia="lt-LT"/>
        </w:rPr>
      </w:pPr>
      <w:r w:rsidRPr="006658F1">
        <w:rPr>
          <w:color w:val="7F7F7F" w:themeColor="text1" w:themeTint="80"/>
          <w:szCs w:val="24"/>
          <w:lang w:eastAsia="lt-LT"/>
        </w:rPr>
        <w:t>Šaltinis: 2014–2020 metų Europos Sąjungos struktūrinių fondų posistemis (SFMIS2014)</w:t>
      </w:r>
    </w:p>
    <w:p w:rsidR="00D427C5" w:rsidRPr="006658F1" w:rsidRDefault="00D427C5" w:rsidP="00885603">
      <w:pPr>
        <w:pStyle w:val="tekstas"/>
        <w:rPr>
          <w:rFonts w:ascii="Times New Roman" w:hAnsi="Times New Roman"/>
          <w:color w:val="595959" w:themeColor="text1" w:themeTint="A6"/>
          <w:lang w:eastAsia="lt-LT"/>
        </w:rPr>
      </w:pPr>
    </w:p>
    <w:p w:rsidR="00D427C5" w:rsidRPr="006658F1" w:rsidRDefault="00D427C5" w:rsidP="00D427C5">
      <w:pPr>
        <w:jc w:val="both"/>
        <w:rPr>
          <w:color w:val="595959" w:themeColor="text1" w:themeTint="A6"/>
          <w:szCs w:val="24"/>
          <w:u w:val="single"/>
        </w:rPr>
      </w:pPr>
      <w:r w:rsidRPr="006658F1">
        <w:rPr>
          <w:color w:val="595959" w:themeColor="text1" w:themeTint="A6"/>
          <w:szCs w:val="24"/>
          <w:u w:val="single"/>
        </w:rPr>
        <w:t>Investicijos.</w:t>
      </w:r>
    </w:p>
    <w:p w:rsidR="00DD3B53" w:rsidRPr="006658F1" w:rsidRDefault="00DD3B53" w:rsidP="00DD3B53">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Įgyvendinant 2014–2020 m. finansavimo laikotarpio ES fondų lėšomis finansuojamus projektus, iš viso investuota 4,</w:t>
      </w:r>
      <w:r w:rsidR="00213033">
        <w:rPr>
          <w:rFonts w:ascii="Times New Roman" w:hAnsi="Times New Roman"/>
          <w:color w:val="595959" w:themeColor="text1" w:themeTint="A6"/>
          <w:lang w:eastAsia="lt-LT"/>
        </w:rPr>
        <w:t>77</w:t>
      </w:r>
      <w:r w:rsidR="006C642C" w:rsidRPr="006658F1">
        <w:rPr>
          <w:rFonts w:ascii="Times New Roman" w:hAnsi="Times New Roman"/>
          <w:color w:val="595959" w:themeColor="text1" w:themeTint="A6"/>
          <w:lang w:eastAsia="lt-LT"/>
        </w:rPr>
        <w:t xml:space="preserve"> mlrd. eurų (6</w:t>
      </w:r>
      <w:r w:rsidR="00213033">
        <w:rPr>
          <w:rFonts w:ascii="Times New Roman" w:hAnsi="Times New Roman"/>
          <w:color w:val="595959" w:themeColor="text1" w:themeTint="A6"/>
          <w:lang w:eastAsia="lt-LT"/>
        </w:rPr>
        <w:t>8</w:t>
      </w:r>
      <w:r w:rsidR="003026EA" w:rsidRPr="006658F1">
        <w:rPr>
          <w:rFonts w:ascii="Times New Roman" w:hAnsi="Times New Roman"/>
          <w:color w:val="595959" w:themeColor="text1" w:themeTint="A6"/>
          <w:lang w:eastAsia="lt-LT"/>
        </w:rPr>
        <w:t xml:space="preserve"> proc.). Per 2021</w:t>
      </w:r>
      <w:r w:rsidRPr="006658F1">
        <w:rPr>
          <w:rFonts w:ascii="Times New Roman" w:hAnsi="Times New Roman"/>
          <w:color w:val="595959" w:themeColor="text1" w:themeTint="A6"/>
          <w:lang w:eastAsia="lt-LT"/>
        </w:rPr>
        <w:t xml:space="preserve"> m</w:t>
      </w:r>
      <w:r w:rsidR="003026EA" w:rsidRPr="006658F1">
        <w:rPr>
          <w:rFonts w:ascii="Times New Roman" w:hAnsi="Times New Roman"/>
          <w:color w:val="595959" w:themeColor="text1" w:themeTint="A6"/>
          <w:lang w:eastAsia="lt-LT"/>
        </w:rPr>
        <w:t>. II</w:t>
      </w:r>
      <w:r w:rsidR="00213033">
        <w:rPr>
          <w:rFonts w:ascii="Times New Roman" w:hAnsi="Times New Roman"/>
          <w:color w:val="595959" w:themeColor="text1" w:themeTint="A6"/>
          <w:lang w:eastAsia="lt-LT"/>
        </w:rPr>
        <w:t>I</w:t>
      </w:r>
      <w:r w:rsidR="003026EA" w:rsidRPr="006658F1">
        <w:rPr>
          <w:rFonts w:ascii="Times New Roman" w:hAnsi="Times New Roman"/>
          <w:color w:val="595959" w:themeColor="text1" w:themeTint="A6"/>
          <w:lang w:eastAsia="lt-LT"/>
        </w:rPr>
        <w:t xml:space="preserve"> </w:t>
      </w:r>
      <w:proofErr w:type="spellStart"/>
      <w:r w:rsidR="003026EA" w:rsidRPr="006658F1">
        <w:rPr>
          <w:rFonts w:ascii="Times New Roman" w:hAnsi="Times New Roman"/>
          <w:color w:val="595959" w:themeColor="text1" w:themeTint="A6"/>
          <w:lang w:eastAsia="lt-LT"/>
        </w:rPr>
        <w:t>ketv</w:t>
      </w:r>
      <w:proofErr w:type="spellEnd"/>
      <w:r w:rsidR="003026EA" w:rsidRPr="006658F1">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investuota </w:t>
      </w:r>
      <w:r w:rsidR="003026EA" w:rsidRPr="006658F1">
        <w:rPr>
          <w:rFonts w:ascii="Times New Roman" w:hAnsi="Times New Roman"/>
          <w:color w:val="595959" w:themeColor="text1" w:themeTint="A6"/>
          <w:lang w:eastAsia="lt-LT"/>
        </w:rPr>
        <w:t>2</w:t>
      </w:r>
      <w:r w:rsidR="00213033">
        <w:rPr>
          <w:rFonts w:ascii="Times New Roman" w:hAnsi="Times New Roman"/>
          <w:color w:val="595959" w:themeColor="text1" w:themeTint="A6"/>
          <w:lang w:eastAsia="lt-LT"/>
        </w:rPr>
        <w:t>07</w:t>
      </w:r>
      <w:r w:rsidR="003026EA" w:rsidRPr="006658F1">
        <w:rPr>
          <w:rFonts w:ascii="Times New Roman" w:hAnsi="Times New Roman"/>
          <w:color w:val="595959" w:themeColor="text1" w:themeTint="A6"/>
          <w:lang w:eastAsia="lt-LT"/>
        </w:rPr>
        <w:t xml:space="preserve"> mln.</w:t>
      </w:r>
      <w:r w:rsidRPr="006658F1">
        <w:rPr>
          <w:rFonts w:ascii="Times New Roman" w:hAnsi="Times New Roman"/>
          <w:color w:val="595959" w:themeColor="text1" w:themeTint="A6"/>
          <w:lang w:eastAsia="lt-LT"/>
        </w:rPr>
        <w:t xml:space="preserve"> eurų ES fondų lėšų (</w:t>
      </w:r>
      <w:r w:rsidR="003026EA" w:rsidRPr="006658F1">
        <w:rPr>
          <w:rFonts w:ascii="Times New Roman" w:hAnsi="Times New Roman"/>
          <w:color w:val="595959" w:themeColor="text1" w:themeTint="A6"/>
          <w:lang w:eastAsia="lt-LT"/>
        </w:rPr>
        <w:t>3</w:t>
      </w:r>
      <w:r w:rsidRPr="006658F1">
        <w:rPr>
          <w:rFonts w:ascii="Times New Roman" w:hAnsi="Times New Roman"/>
          <w:color w:val="595959" w:themeColor="text1" w:themeTint="A6"/>
          <w:lang w:eastAsia="lt-LT"/>
        </w:rPr>
        <w:t xml:space="preserve"> proc.).</w:t>
      </w:r>
    </w:p>
    <w:p w:rsidR="00AD0A1F" w:rsidRPr="006658F1" w:rsidRDefault="00AD0A1F" w:rsidP="00AD0A1F">
      <w:pPr>
        <w:pStyle w:val="tekstas"/>
        <w:rPr>
          <w:rFonts w:ascii="Times New Roman" w:hAnsi="Times New Roman"/>
          <w:color w:val="595959" w:themeColor="text1" w:themeTint="A6"/>
        </w:rPr>
      </w:pPr>
      <w:r w:rsidRPr="006658F1">
        <w:rPr>
          <w:rFonts w:ascii="Times New Roman" w:hAnsi="Times New Roman"/>
          <w:color w:val="595959" w:themeColor="text1" w:themeTint="A6"/>
        </w:rPr>
        <w:t xml:space="preserve">EK </w:t>
      </w:r>
      <w:r w:rsidR="00367F59" w:rsidRPr="006658F1">
        <w:rPr>
          <w:rFonts w:ascii="Times New Roman" w:hAnsi="Times New Roman"/>
          <w:color w:val="595959" w:themeColor="text1" w:themeTint="A6"/>
        </w:rPr>
        <w:t xml:space="preserve">iš viso </w:t>
      </w:r>
      <w:r w:rsidR="00834543" w:rsidRPr="006658F1">
        <w:rPr>
          <w:rFonts w:ascii="Times New Roman" w:hAnsi="Times New Roman"/>
          <w:color w:val="595959" w:themeColor="text1" w:themeTint="A6"/>
        </w:rPr>
        <w:t xml:space="preserve">deklaruota </w:t>
      </w:r>
      <w:r w:rsidR="003026EA" w:rsidRPr="006658F1">
        <w:rPr>
          <w:rFonts w:ascii="Times New Roman" w:hAnsi="Times New Roman"/>
          <w:color w:val="595959" w:themeColor="text1" w:themeTint="A6"/>
        </w:rPr>
        <w:t>4,</w:t>
      </w:r>
      <w:r w:rsidR="00AC54CC">
        <w:rPr>
          <w:rFonts w:ascii="Times New Roman" w:hAnsi="Times New Roman"/>
          <w:color w:val="595959" w:themeColor="text1" w:themeTint="A6"/>
        </w:rPr>
        <w:t>66</w:t>
      </w:r>
      <w:r w:rsidR="003026EA" w:rsidRPr="006658F1">
        <w:rPr>
          <w:rFonts w:ascii="Times New Roman" w:hAnsi="Times New Roman"/>
          <w:color w:val="595959" w:themeColor="text1" w:themeTint="A6"/>
        </w:rPr>
        <w:t xml:space="preserve"> mlrd. eurų (6</w:t>
      </w:r>
      <w:r w:rsidR="00AC54CC">
        <w:rPr>
          <w:rFonts w:ascii="Times New Roman" w:hAnsi="Times New Roman"/>
          <w:color w:val="595959" w:themeColor="text1" w:themeTint="A6"/>
        </w:rPr>
        <w:t>7</w:t>
      </w:r>
      <w:r w:rsidRPr="006658F1">
        <w:rPr>
          <w:rFonts w:ascii="Times New Roman" w:hAnsi="Times New Roman"/>
          <w:color w:val="595959" w:themeColor="text1" w:themeTint="A6"/>
        </w:rPr>
        <w:t xml:space="preserve"> proc.), iš kurių </w:t>
      </w:r>
      <w:r w:rsidR="00AC54CC">
        <w:rPr>
          <w:rFonts w:ascii="Times New Roman" w:hAnsi="Times New Roman"/>
          <w:color w:val="595959" w:themeColor="text1" w:themeTint="A6"/>
        </w:rPr>
        <w:t>4</w:t>
      </w:r>
      <w:r w:rsidR="003026EA" w:rsidRPr="006658F1">
        <w:rPr>
          <w:rFonts w:ascii="Times New Roman" w:hAnsi="Times New Roman"/>
          <w:color w:val="595959" w:themeColor="text1" w:themeTint="A6"/>
        </w:rPr>
        <w:t xml:space="preserve"> proc.</w:t>
      </w:r>
      <w:r w:rsidR="00834543" w:rsidRPr="006658F1">
        <w:rPr>
          <w:rFonts w:ascii="Times New Roman" w:hAnsi="Times New Roman"/>
          <w:color w:val="595959" w:themeColor="text1" w:themeTint="A6"/>
        </w:rPr>
        <w:t xml:space="preserve"> (</w:t>
      </w:r>
      <w:r w:rsidR="00AC54CC">
        <w:rPr>
          <w:rFonts w:ascii="Times New Roman" w:hAnsi="Times New Roman"/>
          <w:color w:val="595959" w:themeColor="text1" w:themeTint="A6"/>
        </w:rPr>
        <w:t>274</w:t>
      </w:r>
      <w:r w:rsidRPr="006658F1">
        <w:rPr>
          <w:rFonts w:ascii="Times New Roman" w:hAnsi="Times New Roman"/>
          <w:color w:val="595959" w:themeColor="text1" w:themeTint="A6"/>
        </w:rPr>
        <w:t xml:space="preserve"> ml</w:t>
      </w:r>
      <w:r w:rsidR="003026EA" w:rsidRPr="006658F1">
        <w:rPr>
          <w:rFonts w:ascii="Times New Roman" w:hAnsi="Times New Roman"/>
          <w:color w:val="595959" w:themeColor="text1" w:themeTint="A6"/>
        </w:rPr>
        <w:t>n</w:t>
      </w:r>
      <w:r w:rsidRPr="006658F1">
        <w:rPr>
          <w:rFonts w:ascii="Times New Roman" w:hAnsi="Times New Roman"/>
          <w:color w:val="595959" w:themeColor="text1" w:themeTint="A6"/>
        </w:rPr>
        <w:t xml:space="preserve">. eurų) deklaruota </w:t>
      </w:r>
      <w:r w:rsidR="003026EA" w:rsidRPr="006658F1">
        <w:rPr>
          <w:rFonts w:ascii="Times New Roman" w:hAnsi="Times New Roman"/>
          <w:color w:val="595959" w:themeColor="text1" w:themeTint="A6"/>
        </w:rPr>
        <w:t>per š. m. II</w:t>
      </w:r>
      <w:r w:rsidR="00AC54CC">
        <w:rPr>
          <w:rFonts w:ascii="Times New Roman" w:hAnsi="Times New Roman"/>
          <w:color w:val="595959" w:themeColor="text1" w:themeTint="A6"/>
        </w:rPr>
        <w:t>I</w:t>
      </w:r>
      <w:r w:rsidR="003026EA" w:rsidRPr="006658F1">
        <w:rPr>
          <w:rFonts w:ascii="Times New Roman" w:hAnsi="Times New Roman"/>
          <w:color w:val="595959" w:themeColor="text1" w:themeTint="A6"/>
        </w:rPr>
        <w:t xml:space="preserve"> </w:t>
      </w:r>
      <w:proofErr w:type="spellStart"/>
      <w:r w:rsidR="003026EA" w:rsidRPr="006658F1">
        <w:rPr>
          <w:rFonts w:ascii="Times New Roman" w:hAnsi="Times New Roman"/>
          <w:color w:val="595959" w:themeColor="text1" w:themeTint="A6"/>
        </w:rPr>
        <w:t>ketv</w:t>
      </w:r>
      <w:proofErr w:type="spellEnd"/>
      <w:r w:rsidRPr="006658F1">
        <w:rPr>
          <w:rFonts w:ascii="Times New Roman" w:hAnsi="Times New Roman"/>
          <w:color w:val="595959" w:themeColor="text1" w:themeTint="A6"/>
        </w:rPr>
        <w:t>. (2 grafikas).</w:t>
      </w:r>
    </w:p>
    <w:p w:rsidR="00BD4C55" w:rsidRPr="006658F1" w:rsidRDefault="00350F11" w:rsidP="00D427C5">
      <w:pPr>
        <w:ind w:firstLine="426"/>
        <w:jc w:val="both"/>
        <w:rPr>
          <w:color w:val="595959" w:themeColor="text1" w:themeTint="A6"/>
          <w:szCs w:val="24"/>
        </w:rPr>
      </w:pPr>
      <w:r w:rsidRPr="006658F1">
        <w:rPr>
          <w:color w:val="595959" w:themeColor="text1" w:themeTint="A6"/>
          <w:szCs w:val="24"/>
        </w:rPr>
        <w:t>Nuo periodo pradžios iki 2021</w:t>
      </w:r>
      <w:r w:rsidR="00D427C5" w:rsidRPr="006658F1">
        <w:rPr>
          <w:color w:val="595959" w:themeColor="text1" w:themeTint="A6"/>
          <w:szCs w:val="24"/>
        </w:rPr>
        <w:t xml:space="preserve"> m. </w:t>
      </w:r>
      <w:r w:rsidR="00AC54CC">
        <w:rPr>
          <w:color w:val="595959" w:themeColor="text1" w:themeTint="A6"/>
          <w:szCs w:val="24"/>
        </w:rPr>
        <w:t>rugsėjo</w:t>
      </w:r>
      <w:r w:rsidR="00AC54CC" w:rsidRPr="006658F1">
        <w:rPr>
          <w:color w:val="595959" w:themeColor="text1" w:themeTint="A6"/>
          <w:szCs w:val="24"/>
        </w:rPr>
        <w:t xml:space="preserve"> </w:t>
      </w:r>
      <w:r w:rsidR="003026EA" w:rsidRPr="006658F1">
        <w:rPr>
          <w:color w:val="595959" w:themeColor="text1" w:themeTint="A6"/>
          <w:szCs w:val="24"/>
        </w:rPr>
        <w:t>30</w:t>
      </w:r>
      <w:r w:rsidR="00D427C5" w:rsidRPr="006658F1">
        <w:rPr>
          <w:color w:val="595959" w:themeColor="text1" w:themeTint="A6"/>
          <w:szCs w:val="24"/>
        </w:rPr>
        <w:t xml:space="preserve"> d. didžiausią dalį ministerijoms skirtų ES fondų lėšų investavusios </w:t>
      </w:r>
      <w:r w:rsidR="00180938" w:rsidRPr="006658F1">
        <w:rPr>
          <w:color w:val="595959" w:themeColor="text1" w:themeTint="A6"/>
          <w:szCs w:val="24"/>
        </w:rPr>
        <w:t>išlieka</w:t>
      </w:r>
      <w:r w:rsidR="00D427C5" w:rsidRPr="006658F1">
        <w:rPr>
          <w:color w:val="595959" w:themeColor="text1" w:themeTint="A6"/>
          <w:szCs w:val="24"/>
        </w:rPr>
        <w:t xml:space="preserve"> Socialinės apsaugos ir darbo (</w:t>
      </w:r>
      <w:r w:rsidRPr="006658F1">
        <w:rPr>
          <w:color w:val="595959" w:themeColor="text1" w:themeTint="A6"/>
          <w:szCs w:val="24"/>
        </w:rPr>
        <w:t>8</w:t>
      </w:r>
      <w:r w:rsidR="00AC54CC">
        <w:rPr>
          <w:color w:val="595959" w:themeColor="text1" w:themeTint="A6"/>
          <w:szCs w:val="24"/>
        </w:rPr>
        <w:t>4</w:t>
      </w:r>
      <w:r w:rsidR="00D427C5" w:rsidRPr="006658F1">
        <w:rPr>
          <w:color w:val="595959" w:themeColor="text1" w:themeTint="A6"/>
          <w:szCs w:val="24"/>
        </w:rPr>
        <w:t xml:space="preserve"> proc.) ir Aplinkos (</w:t>
      </w:r>
      <w:r w:rsidRPr="006658F1">
        <w:rPr>
          <w:color w:val="595959" w:themeColor="text1" w:themeTint="A6"/>
          <w:szCs w:val="24"/>
        </w:rPr>
        <w:t>7</w:t>
      </w:r>
      <w:r w:rsidR="00AC54CC">
        <w:rPr>
          <w:color w:val="595959" w:themeColor="text1" w:themeTint="A6"/>
          <w:szCs w:val="24"/>
        </w:rPr>
        <w:t>4</w:t>
      </w:r>
      <w:r w:rsidR="00D427C5" w:rsidRPr="006658F1">
        <w:rPr>
          <w:color w:val="595959" w:themeColor="text1" w:themeTint="A6"/>
          <w:szCs w:val="24"/>
        </w:rPr>
        <w:t xml:space="preserve"> proc</w:t>
      </w:r>
      <w:r w:rsidR="00180938" w:rsidRPr="006658F1">
        <w:rPr>
          <w:color w:val="595959" w:themeColor="text1" w:themeTint="A6"/>
          <w:szCs w:val="24"/>
        </w:rPr>
        <w:t xml:space="preserve">.) ministerijos. Per </w:t>
      </w:r>
      <w:r w:rsidR="00BD4C55" w:rsidRPr="006658F1">
        <w:rPr>
          <w:color w:val="595959" w:themeColor="text1" w:themeTint="A6"/>
          <w:szCs w:val="24"/>
        </w:rPr>
        <w:t>ataskaitinį ketvirtį didžiausios investicijos buvo Ekonomikos ir inovacijų ministerijos administruojamose priemonėse – 5</w:t>
      </w:r>
      <w:r w:rsidR="00AC54CC">
        <w:rPr>
          <w:color w:val="595959" w:themeColor="text1" w:themeTint="A6"/>
          <w:szCs w:val="24"/>
        </w:rPr>
        <w:t>2</w:t>
      </w:r>
      <w:r w:rsidR="00BD4C55" w:rsidRPr="006658F1">
        <w:rPr>
          <w:color w:val="595959" w:themeColor="text1" w:themeTint="A6"/>
          <w:szCs w:val="24"/>
        </w:rPr>
        <w:t xml:space="preserve"> mln. eurų (</w:t>
      </w:r>
      <w:r w:rsidR="00AC54CC">
        <w:rPr>
          <w:color w:val="595959" w:themeColor="text1" w:themeTint="A6"/>
          <w:szCs w:val="24"/>
        </w:rPr>
        <w:t>4,4</w:t>
      </w:r>
      <w:r w:rsidR="00BD4C55" w:rsidRPr="006658F1">
        <w:rPr>
          <w:color w:val="595959" w:themeColor="text1" w:themeTint="A6"/>
          <w:szCs w:val="24"/>
        </w:rPr>
        <w:t xml:space="preserve"> proc.)</w:t>
      </w:r>
      <w:r w:rsidR="00AC54CC">
        <w:rPr>
          <w:color w:val="595959" w:themeColor="text1" w:themeTint="A6"/>
          <w:szCs w:val="24"/>
        </w:rPr>
        <w:t>, Vidaus reikalų ministerijos administruojamose priemonėse – 18 mln. (3,8 proc.)</w:t>
      </w:r>
      <w:r w:rsidR="00BD4C55" w:rsidRPr="006658F1">
        <w:rPr>
          <w:color w:val="595959" w:themeColor="text1" w:themeTint="A6"/>
          <w:szCs w:val="24"/>
        </w:rPr>
        <w:t xml:space="preserve"> ir Švietimo, mokslo ir sporto ministerijos administruojamose priemonėse – 3</w:t>
      </w:r>
      <w:r w:rsidR="00AC54CC">
        <w:rPr>
          <w:color w:val="595959" w:themeColor="text1" w:themeTint="A6"/>
          <w:szCs w:val="24"/>
        </w:rPr>
        <w:t>2</w:t>
      </w:r>
      <w:r w:rsidR="00BD4C55" w:rsidRPr="006658F1">
        <w:rPr>
          <w:color w:val="595959" w:themeColor="text1" w:themeTint="A6"/>
          <w:szCs w:val="24"/>
        </w:rPr>
        <w:t xml:space="preserve"> mln. eurų </w:t>
      </w:r>
      <w:proofErr w:type="gramStart"/>
      <w:r w:rsidR="00BD4C55" w:rsidRPr="006658F1">
        <w:rPr>
          <w:color w:val="595959" w:themeColor="text1" w:themeTint="A6"/>
          <w:szCs w:val="24"/>
        </w:rPr>
        <w:t>(</w:t>
      </w:r>
      <w:proofErr w:type="gramEnd"/>
      <w:r w:rsidR="00AC54CC">
        <w:rPr>
          <w:color w:val="595959" w:themeColor="text1" w:themeTint="A6"/>
          <w:szCs w:val="24"/>
        </w:rPr>
        <w:t>3,7</w:t>
      </w:r>
      <w:r w:rsidR="00AC54CC" w:rsidRPr="006658F1">
        <w:rPr>
          <w:color w:val="595959" w:themeColor="text1" w:themeTint="A6"/>
          <w:szCs w:val="24"/>
        </w:rPr>
        <w:t xml:space="preserve"> </w:t>
      </w:r>
      <w:r w:rsidR="00BD4C55" w:rsidRPr="006658F1">
        <w:rPr>
          <w:color w:val="595959" w:themeColor="text1" w:themeTint="A6"/>
          <w:szCs w:val="24"/>
        </w:rPr>
        <w:t xml:space="preserve">proc.). </w:t>
      </w:r>
    </w:p>
    <w:p w:rsidR="009B7079" w:rsidRPr="006658F1" w:rsidRDefault="00BD4C55" w:rsidP="009B7079">
      <w:pPr>
        <w:ind w:firstLine="426"/>
        <w:jc w:val="both"/>
        <w:rPr>
          <w:color w:val="595959" w:themeColor="text1" w:themeTint="A6"/>
          <w:szCs w:val="24"/>
        </w:rPr>
      </w:pPr>
      <w:r w:rsidRPr="006658F1">
        <w:rPr>
          <w:color w:val="595959" w:themeColor="text1" w:themeTint="A6"/>
          <w:szCs w:val="24"/>
          <w:lang w:eastAsia="lt-LT"/>
        </w:rPr>
        <w:t>Investicijų sparta kol kas atsilieka Energetikos ministerijos</w:t>
      </w:r>
      <w:r w:rsidR="00B759FF" w:rsidRPr="006658F1">
        <w:rPr>
          <w:color w:val="595959" w:themeColor="text1" w:themeTint="A6"/>
          <w:szCs w:val="24"/>
          <w:lang w:eastAsia="lt-LT"/>
        </w:rPr>
        <w:t xml:space="preserve"> (5</w:t>
      </w:r>
      <w:r w:rsidR="00AC54CC">
        <w:rPr>
          <w:color w:val="595959" w:themeColor="text1" w:themeTint="A6"/>
          <w:szCs w:val="24"/>
          <w:lang w:eastAsia="lt-LT"/>
        </w:rPr>
        <w:t>4</w:t>
      </w:r>
      <w:r w:rsidR="00B759FF" w:rsidRPr="006658F1">
        <w:rPr>
          <w:color w:val="595959" w:themeColor="text1" w:themeTint="A6"/>
          <w:szCs w:val="24"/>
          <w:lang w:eastAsia="lt-LT"/>
        </w:rPr>
        <w:t xml:space="preserve"> proc.),</w:t>
      </w:r>
      <w:r w:rsidR="00EC0F24" w:rsidRPr="006658F1">
        <w:rPr>
          <w:color w:val="595959" w:themeColor="text1" w:themeTint="A6"/>
          <w:szCs w:val="24"/>
          <w:lang w:eastAsia="lt-LT"/>
        </w:rPr>
        <w:t xml:space="preserve"> Ekonomikos ir inovacijų </w:t>
      </w:r>
      <w:r w:rsidR="00B759FF" w:rsidRPr="006658F1">
        <w:rPr>
          <w:color w:val="595959" w:themeColor="text1" w:themeTint="A6"/>
          <w:szCs w:val="24"/>
          <w:lang w:eastAsia="lt-LT"/>
        </w:rPr>
        <w:t>ministerijos (6</w:t>
      </w:r>
      <w:r w:rsidR="00AC54CC">
        <w:rPr>
          <w:color w:val="595959" w:themeColor="text1" w:themeTint="A6"/>
          <w:szCs w:val="24"/>
          <w:lang w:eastAsia="lt-LT"/>
        </w:rPr>
        <w:t>0</w:t>
      </w:r>
      <w:r w:rsidR="00B759FF" w:rsidRPr="006658F1">
        <w:rPr>
          <w:color w:val="595959" w:themeColor="text1" w:themeTint="A6"/>
          <w:szCs w:val="24"/>
          <w:lang w:eastAsia="lt-LT"/>
        </w:rPr>
        <w:t xml:space="preserve"> proc.) </w:t>
      </w:r>
      <w:r w:rsidR="00EC0F24" w:rsidRPr="006658F1">
        <w:rPr>
          <w:color w:val="595959" w:themeColor="text1" w:themeTint="A6"/>
          <w:szCs w:val="24"/>
          <w:lang w:eastAsia="lt-LT"/>
        </w:rPr>
        <w:t xml:space="preserve">bei Kultūros </w:t>
      </w:r>
      <w:r w:rsidR="00B759FF" w:rsidRPr="006658F1">
        <w:rPr>
          <w:color w:val="595959" w:themeColor="text1" w:themeTint="A6"/>
          <w:szCs w:val="24"/>
          <w:lang w:eastAsia="lt-LT"/>
        </w:rPr>
        <w:t>ministerijos (</w:t>
      </w:r>
      <w:r w:rsidR="00AC54CC">
        <w:rPr>
          <w:color w:val="595959" w:themeColor="text1" w:themeTint="A6"/>
          <w:szCs w:val="24"/>
          <w:lang w:eastAsia="lt-LT"/>
        </w:rPr>
        <w:t>61</w:t>
      </w:r>
      <w:r w:rsidR="00AC54CC" w:rsidRPr="006658F1">
        <w:rPr>
          <w:color w:val="595959" w:themeColor="text1" w:themeTint="A6"/>
          <w:szCs w:val="24"/>
          <w:lang w:eastAsia="lt-LT"/>
        </w:rPr>
        <w:t xml:space="preserve"> </w:t>
      </w:r>
      <w:r w:rsidR="00B759FF" w:rsidRPr="006658F1">
        <w:rPr>
          <w:color w:val="595959" w:themeColor="text1" w:themeTint="A6"/>
          <w:szCs w:val="24"/>
          <w:lang w:eastAsia="lt-LT"/>
        </w:rPr>
        <w:t>proc.</w:t>
      </w:r>
      <w:r w:rsidR="00952BF9" w:rsidRPr="006658F1">
        <w:rPr>
          <w:color w:val="595959" w:themeColor="text1" w:themeTint="A6"/>
          <w:szCs w:val="24"/>
          <w:lang w:eastAsia="lt-LT"/>
        </w:rPr>
        <w:t>) administruojamose priemonėse</w:t>
      </w:r>
      <w:r w:rsidRPr="006658F1">
        <w:rPr>
          <w:color w:val="595959" w:themeColor="text1" w:themeTint="A6"/>
          <w:szCs w:val="24"/>
          <w:lang w:eastAsia="lt-LT"/>
        </w:rPr>
        <w:t xml:space="preserve"> </w:t>
      </w:r>
      <w:r w:rsidRPr="006658F1">
        <w:rPr>
          <w:color w:val="595959" w:themeColor="text1" w:themeTint="A6"/>
          <w:szCs w:val="24"/>
        </w:rPr>
        <w:t xml:space="preserve">(3 </w:t>
      </w:r>
      <w:r w:rsidRPr="006658F1">
        <w:rPr>
          <w:color w:val="595959" w:themeColor="text1" w:themeTint="A6"/>
          <w:szCs w:val="24"/>
        </w:rPr>
        <w:lastRenderedPageBreak/>
        <w:t>grafikas)</w:t>
      </w:r>
      <w:r w:rsidR="00952BF9" w:rsidRPr="006658F1">
        <w:rPr>
          <w:color w:val="595959" w:themeColor="text1" w:themeTint="A6"/>
          <w:szCs w:val="24"/>
        </w:rPr>
        <w:t>.</w:t>
      </w:r>
      <w:r w:rsidR="00EC0F24" w:rsidRPr="006658F1">
        <w:rPr>
          <w:color w:val="595959" w:themeColor="text1" w:themeTint="A6"/>
          <w:szCs w:val="24"/>
        </w:rPr>
        <w:t xml:space="preserve"> Svarbiausios lėtesnio investavimo priežastys</w:t>
      </w:r>
      <w:r w:rsidR="009B7079" w:rsidRPr="006658F1">
        <w:rPr>
          <w:color w:val="595959" w:themeColor="text1" w:themeTint="A6"/>
          <w:szCs w:val="24"/>
        </w:rPr>
        <w:t xml:space="preserve"> yra sudėtingas valstybei nuosavybės teise priklausančių pastatų atnaujinimo ir gatvių apšvietimo modernizavimo priemonių planavimas bei įgyvendinimas, </w:t>
      </w:r>
      <w:r w:rsidR="00952BF9" w:rsidRPr="006658F1">
        <w:rPr>
          <w:color w:val="595959" w:themeColor="text1" w:themeTint="A6"/>
          <w:szCs w:val="24"/>
        </w:rPr>
        <w:t xml:space="preserve">dėl </w:t>
      </w:r>
      <w:r w:rsidR="009B7079" w:rsidRPr="006658F1">
        <w:rPr>
          <w:color w:val="595959" w:themeColor="text1" w:themeTint="A6"/>
          <w:szCs w:val="24"/>
        </w:rPr>
        <w:t xml:space="preserve">ko didelė dalis projektų įgyvendinimo sutarčių buvo </w:t>
      </w:r>
      <w:r w:rsidR="00952BF9" w:rsidRPr="006658F1">
        <w:rPr>
          <w:color w:val="595959" w:themeColor="text1" w:themeTint="A6"/>
          <w:szCs w:val="24"/>
        </w:rPr>
        <w:t>sudarytos tik 2021 m. I pusmetį.</w:t>
      </w:r>
      <w:r w:rsidR="009B7079" w:rsidRPr="006658F1">
        <w:rPr>
          <w:color w:val="595959" w:themeColor="text1" w:themeTint="A6"/>
          <w:szCs w:val="24"/>
        </w:rPr>
        <w:t xml:space="preserve"> </w:t>
      </w:r>
      <w:r w:rsidR="003E5F08">
        <w:rPr>
          <w:color w:val="595959" w:themeColor="text1" w:themeTint="A6"/>
          <w:szCs w:val="24"/>
        </w:rPr>
        <w:t>Dalis priemonių</w:t>
      </w:r>
      <w:r w:rsidR="006E2967">
        <w:rPr>
          <w:color w:val="595959" w:themeColor="text1" w:themeTint="A6"/>
          <w:szCs w:val="24"/>
        </w:rPr>
        <w:t>,</w:t>
      </w:r>
      <w:r w:rsidR="003E5F08">
        <w:rPr>
          <w:color w:val="595959" w:themeColor="text1" w:themeTint="A6"/>
          <w:szCs w:val="24"/>
        </w:rPr>
        <w:t xml:space="preserve"> skirtų kovai su </w:t>
      </w:r>
      <w:proofErr w:type="spellStart"/>
      <w:r w:rsidR="003E5F08">
        <w:rPr>
          <w:color w:val="595959" w:themeColor="text1" w:themeTint="A6"/>
          <w:szCs w:val="24"/>
        </w:rPr>
        <w:t>C</w:t>
      </w:r>
      <w:r w:rsidR="006E2967">
        <w:rPr>
          <w:color w:val="595959" w:themeColor="text1" w:themeTint="A6"/>
          <w:szCs w:val="24"/>
        </w:rPr>
        <w:t>ovid-19</w:t>
      </w:r>
      <w:proofErr w:type="spellEnd"/>
      <w:r w:rsidR="006E2967">
        <w:rPr>
          <w:color w:val="595959" w:themeColor="text1" w:themeTint="A6"/>
          <w:szCs w:val="24"/>
        </w:rPr>
        <w:t xml:space="preserve"> ir pasekmių mažinimo</w:t>
      </w:r>
      <w:r w:rsidR="003E5F08">
        <w:rPr>
          <w:color w:val="595959" w:themeColor="text1" w:themeTint="A6"/>
          <w:szCs w:val="24"/>
        </w:rPr>
        <w:t xml:space="preserve"> projektų sutarčių </w:t>
      </w:r>
      <w:r w:rsidR="006E2967">
        <w:rPr>
          <w:color w:val="595959" w:themeColor="text1" w:themeTint="A6"/>
          <w:szCs w:val="24"/>
        </w:rPr>
        <w:t>sudaryta 2020 m. II pusmetį.</w:t>
      </w:r>
      <w:r w:rsidR="003E5F08">
        <w:rPr>
          <w:color w:val="595959" w:themeColor="text1" w:themeTint="A6"/>
          <w:szCs w:val="24"/>
        </w:rPr>
        <w:t xml:space="preserve"> </w:t>
      </w:r>
      <w:r w:rsidR="00952BF9" w:rsidRPr="006658F1">
        <w:rPr>
          <w:color w:val="595959" w:themeColor="text1" w:themeTint="A6"/>
          <w:szCs w:val="24"/>
        </w:rPr>
        <w:t xml:space="preserve">Taip pat, lėtesnis </w:t>
      </w:r>
      <w:r w:rsidR="009B7079" w:rsidRPr="006658F1">
        <w:rPr>
          <w:color w:val="595959" w:themeColor="text1" w:themeTint="A6"/>
          <w:szCs w:val="24"/>
        </w:rPr>
        <w:t>didelės apimties ir vertės infrastruktūros projektų įgyvendinimas.</w:t>
      </w:r>
    </w:p>
    <w:p w:rsidR="00BD4C55" w:rsidRPr="006658F1" w:rsidRDefault="00BD4C55" w:rsidP="002D177D">
      <w:pPr>
        <w:rPr>
          <w:color w:val="595959" w:themeColor="text1" w:themeTint="A6"/>
          <w:szCs w:val="24"/>
          <w:lang w:eastAsia="lt-LT"/>
        </w:rPr>
      </w:pPr>
    </w:p>
    <w:p w:rsidR="00214BE0" w:rsidRPr="006658F1" w:rsidRDefault="00214BE0" w:rsidP="00CC3202">
      <w:pPr>
        <w:ind w:firstLine="426"/>
        <w:jc w:val="both"/>
        <w:rPr>
          <w:color w:val="595959" w:themeColor="text1" w:themeTint="A6"/>
          <w:szCs w:val="24"/>
          <w:lang w:eastAsia="lt-LT"/>
        </w:rPr>
      </w:pPr>
      <w:r w:rsidRPr="006658F1">
        <w:rPr>
          <w:color w:val="595959" w:themeColor="text1" w:themeTint="A6"/>
          <w:szCs w:val="24"/>
          <w:lang w:eastAsia="lt-LT"/>
        </w:rPr>
        <w:t xml:space="preserve">2021 m. biudžete numatyta investuoti 1,6 mlrd. eurų ES fondų lėšų. Per </w:t>
      </w:r>
      <w:r w:rsidR="00F608C1">
        <w:rPr>
          <w:color w:val="595959" w:themeColor="text1" w:themeTint="A6"/>
          <w:szCs w:val="24"/>
          <w:lang w:eastAsia="lt-LT"/>
        </w:rPr>
        <w:t>tris</w:t>
      </w:r>
      <w:r w:rsidR="00F608C1" w:rsidRPr="006658F1">
        <w:rPr>
          <w:color w:val="595959" w:themeColor="text1" w:themeTint="A6"/>
          <w:szCs w:val="24"/>
          <w:lang w:eastAsia="lt-LT"/>
        </w:rPr>
        <w:t xml:space="preserve"> </w:t>
      </w:r>
      <w:r w:rsidRPr="006658F1">
        <w:rPr>
          <w:color w:val="595959" w:themeColor="text1" w:themeTint="A6"/>
          <w:szCs w:val="24"/>
          <w:lang w:eastAsia="lt-LT"/>
        </w:rPr>
        <w:t xml:space="preserve">š. m. </w:t>
      </w:r>
      <w:r w:rsidR="00F608C1">
        <w:rPr>
          <w:color w:val="595959" w:themeColor="text1" w:themeTint="A6"/>
          <w:szCs w:val="24"/>
          <w:lang w:eastAsia="lt-LT"/>
        </w:rPr>
        <w:t>ketvirčius</w:t>
      </w:r>
      <w:r w:rsidR="00F608C1" w:rsidRPr="006658F1">
        <w:rPr>
          <w:color w:val="595959" w:themeColor="text1" w:themeTint="A6"/>
          <w:szCs w:val="24"/>
          <w:lang w:eastAsia="lt-LT"/>
        </w:rPr>
        <w:t xml:space="preserve"> </w:t>
      </w:r>
      <w:r w:rsidRPr="006658F1">
        <w:rPr>
          <w:color w:val="595959" w:themeColor="text1" w:themeTint="A6"/>
          <w:szCs w:val="24"/>
          <w:lang w:eastAsia="lt-LT"/>
        </w:rPr>
        <w:t xml:space="preserve">investuota </w:t>
      </w:r>
      <w:r w:rsidR="00D42982">
        <w:rPr>
          <w:color w:val="595959" w:themeColor="text1" w:themeTint="A6"/>
          <w:szCs w:val="24"/>
          <w:lang w:eastAsia="lt-LT"/>
        </w:rPr>
        <w:t>614</w:t>
      </w:r>
      <w:r w:rsidRPr="006658F1">
        <w:rPr>
          <w:color w:val="595959" w:themeColor="text1" w:themeTint="A6"/>
          <w:szCs w:val="24"/>
          <w:lang w:eastAsia="lt-LT"/>
        </w:rPr>
        <w:t xml:space="preserve"> mln. eurų arba </w:t>
      </w:r>
      <w:r w:rsidR="00FE726E">
        <w:rPr>
          <w:color w:val="595959" w:themeColor="text1" w:themeTint="A6"/>
          <w:szCs w:val="24"/>
          <w:lang w:eastAsia="lt-LT"/>
        </w:rPr>
        <w:t>38</w:t>
      </w:r>
      <w:r w:rsidR="00D42982" w:rsidRPr="006658F1">
        <w:rPr>
          <w:color w:val="595959" w:themeColor="text1" w:themeTint="A6"/>
          <w:szCs w:val="24"/>
          <w:lang w:eastAsia="lt-LT"/>
        </w:rPr>
        <w:t xml:space="preserve"> </w:t>
      </w:r>
      <w:r w:rsidRPr="006658F1">
        <w:rPr>
          <w:color w:val="595959" w:themeColor="text1" w:themeTint="A6"/>
          <w:szCs w:val="24"/>
          <w:lang w:eastAsia="lt-LT"/>
        </w:rPr>
        <w:t>proc.</w:t>
      </w:r>
    </w:p>
    <w:p w:rsidR="00214BE0" w:rsidRPr="006658F1" w:rsidRDefault="00D42982" w:rsidP="00CC3202">
      <w:pPr>
        <w:ind w:firstLine="426"/>
        <w:jc w:val="both"/>
        <w:rPr>
          <w:color w:val="595959" w:themeColor="text1" w:themeTint="A6"/>
          <w:szCs w:val="24"/>
          <w:lang w:eastAsia="lt-LT"/>
        </w:rPr>
      </w:pPr>
      <w:r>
        <w:rPr>
          <w:color w:val="595959" w:themeColor="text1" w:themeTint="A6"/>
          <w:szCs w:val="24"/>
          <w:lang w:eastAsia="lt-LT"/>
        </w:rPr>
        <w:t xml:space="preserve">Daugiau nei 40 proc. </w:t>
      </w:r>
      <w:r w:rsidR="00214BE0" w:rsidRPr="006658F1">
        <w:rPr>
          <w:color w:val="595959" w:themeColor="text1" w:themeTint="A6"/>
          <w:szCs w:val="24"/>
          <w:lang w:eastAsia="lt-LT"/>
        </w:rPr>
        <w:t xml:space="preserve">šiais metais planuotų lėšų </w:t>
      </w:r>
      <w:r w:rsidR="00CC3202" w:rsidRPr="006658F1">
        <w:rPr>
          <w:color w:val="595959" w:themeColor="text1" w:themeTint="A6"/>
          <w:szCs w:val="24"/>
          <w:lang w:eastAsia="lt-LT"/>
        </w:rPr>
        <w:t xml:space="preserve">išmokėjo </w:t>
      </w:r>
      <w:r w:rsidRPr="006658F1">
        <w:rPr>
          <w:color w:val="595959" w:themeColor="text1" w:themeTint="A6"/>
          <w:szCs w:val="24"/>
          <w:lang w:eastAsia="lt-LT"/>
        </w:rPr>
        <w:t>Socialinės a</w:t>
      </w:r>
      <w:r>
        <w:rPr>
          <w:color w:val="595959" w:themeColor="text1" w:themeTint="A6"/>
          <w:szCs w:val="24"/>
          <w:lang w:eastAsia="lt-LT"/>
        </w:rPr>
        <w:t>psaugos ir darbo ministerija (44</w:t>
      </w:r>
      <w:r w:rsidRPr="006658F1">
        <w:rPr>
          <w:color w:val="595959" w:themeColor="text1" w:themeTint="A6"/>
          <w:szCs w:val="24"/>
          <w:lang w:eastAsia="lt-LT"/>
        </w:rPr>
        <w:t xml:space="preserve"> proc.)</w:t>
      </w:r>
      <w:r>
        <w:rPr>
          <w:color w:val="595959" w:themeColor="text1" w:themeTint="A6"/>
          <w:szCs w:val="24"/>
          <w:lang w:eastAsia="lt-LT"/>
        </w:rPr>
        <w:t xml:space="preserve"> </w:t>
      </w:r>
      <w:r w:rsidR="00CC3202" w:rsidRPr="006658F1">
        <w:rPr>
          <w:color w:val="595959" w:themeColor="text1" w:themeTint="A6"/>
          <w:szCs w:val="24"/>
          <w:lang w:eastAsia="lt-LT"/>
        </w:rPr>
        <w:t>Sveikatos apsaugos ministerija (</w:t>
      </w:r>
      <w:r>
        <w:rPr>
          <w:color w:val="595959" w:themeColor="text1" w:themeTint="A6"/>
          <w:szCs w:val="24"/>
          <w:lang w:eastAsia="lt-LT"/>
        </w:rPr>
        <w:t>42</w:t>
      </w:r>
      <w:r w:rsidR="00CC3202" w:rsidRPr="006658F1">
        <w:rPr>
          <w:color w:val="595959" w:themeColor="text1" w:themeTint="A6"/>
          <w:szCs w:val="24"/>
          <w:lang w:eastAsia="lt-LT"/>
        </w:rPr>
        <w:t xml:space="preserve"> proc.) ir</w:t>
      </w:r>
      <w:r>
        <w:rPr>
          <w:color w:val="595959" w:themeColor="text1" w:themeTint="A6"/>
          <w:szCs w:val="24"/>
          <w:lang w:eastAsia="lt-LT"/>
        </w:rPr>
        <w:t xml:space="preserve"> Vidaus reikalų ministerija (41 proc.)</w:t>
      </w:r>
      <w:r w:rsidR="00CC3202" w:rsidRPr="006658F1">
        <w:rPr>
          <w:color w:val="595959" w:themeColor="text1" w:themeTint="A6"/>
          <w:szCs w:val="24"/>
          <w:lang w:eastAsia="lt-LT"/>
        </w:rPr>
        <w:t>. Kol kas mažiausia</w:t>
      </w:r>
      <w:r w:rsidR="00883982" w:rsidRPr="006658F1">
        <w:rPr>
          <w:color w:val="595959" w:themeColor="text1" w:themeTint="A6"/>
          <w:szCs w:val="24"/>
          <w:lang w:eastAsia="lt-LT"/>
        </w:rPr>
        <w:t xml:space="preserve"> išmokėta</w:t>
      </w:r>
      <w:r w:rsidR="00CC3202" w:rsidRPr="006658F1">
        <w:rPr>
          <w:color w:val="595959" w:themeColor="text1" w:themeTint="A6"/>
          <w:szCs w:val="24"/>
          <w:lang w:eastAsia="lt-LT"/>
        </w:rPr>
        <w:t xml:space="preserve"> 2021 m. planuotų investicijų dalis </w:t>
      </w:r>
      <w:proofErr w:type="gramStart"/>
      <w:r w:rsidR="00883982" w:rsidRPr="006658F1">
        <w:rPr>
          <w:color w:val="595959" w:themeColor="text1" w:themeTint="A6"/>
          <w:szCs w:val="24"/>
          <w:lang w:eastAsia="lt-LT"/>
        </w:rPr>
        <w:t>-</w:t>
      </w:r>
      <w:proofErr w:type="gramEnd"/>
      <w:r w:rsidR="00883982" w:rsidRPr="006658F1">
        <w:rPr>
          <w:color w:val="595959" w:themeColor="text1" w:themeTint="A6"/>
          <w:szCs w:val="24"/>
          <w:lang w:eastAsia="lt-LT"/>
        </w:rPr>
        <w:t xml:space="preserve"> </w:t>
      </w:r>
      <w:r w:rsidR="00CC3202" w:rsidRPr="006658F1">
        <w:rPr>
          <w:color w:val="595959" w:themeColor="text1" w:themeTint="A6"/>
          <w:szCs w:val="24"/>
          <w:lang w:eastAsia="lt-LT"/>
        </w:rPr>
        <w:t xml:space="preserve">Kultūros ministerijos </w:t>
      </w:r>
      <w:r w:rsidR="00952BF9" w:rsidRPr="006658F1">
        <w:rPr>
          <w:color w:val="595959" w:themeColor="text1" w:themeTint="A6"/>
          <w:szCs w:val="24"/>
          <w:lang w:eastAsia="lt-LT"/>
        </w:rPr>
        <w:t>(</w:t>
      </w:r>
      <w:r>
        <w:rPr>
          <w:color w:val="595959" w:themeColor="text1" w:themeTint="A6"/>
          <w:szCs w:val="24"/>
          <w:lang w:eastAsia="lt-LT"/>
        </w:rPr>
        <w:t>2</w:t>
      </w:r>
      <w:r w:rsidR="00952BF9" w:rsidRPr="006658F1">
        <w:rPr>
          <w:color w:val="595959" w:themeColor="text1" w:themeTint="A6"/>
          <w:szCs w:val="24"/>
          <w:lang w:eastAsia="lt-LT"/>
        </w:rPr>
        <w:t>7 proc.) ir Energetikos ministerijos (</w:t>
      </w:r>
      <w:r>
        <w:rPr>
          <w:color w:val="595959" w:themeColor="text1" w:themeTint="A6"/>
          <w:szCs w:val="24"/>
          <w:lang w:eastAsia="lt-LT"/>
        </w:rPr>
        <w:t>30</w:t>
      </w:r>
      <w:r w:rsidRPr="006658F1">
        <w:rPr>
          <w:color w:val="595959" w:themeColor="text1" w:themeTint="A6"/>
          <w:szCs w:val="24"/>
          <w:lang w:eastAsia="lt-LT"/>
        </w:rPr>
        <w:t xml:space="preserve"> </w:t>
      </w:r>
      <w:r w:rsidR="00952BF9" w:rsidRPr="006658F1">
        <w:rPr>
          <w:color w:val="595959" w:themeColor="text1" w:themeTint="A6"/>
          <w:szCs w:val="24"/>
          <w:lang w:eastAsia="lt-LT"/>
        </w:rPr>
        <w:t xml:space="preserve">proc.) </w:t>
      </w:r>
      <w:r w:rsidR="00CC3202" w:rsidRPr="006658F1">
        <w:rPr>
          <w:color w:val="595959" w:themeColor="text1" w:themeTint="A6"/>
          <w:szCs w:val="24"/>
          <w:lang w:eastAsia="lt-LT"/>
        </w:rPr>
        <w:t xml:space="preserve">administruojamose priemonėse </w:t>
      </w:r>
      <w:r w:rsidR="00883982" w:rsidRPr="006658F1">
        <w:rPr>
          <w:color w:val="595959" w:themeColor="text1" w:themeTint="A6"/>
          <w:szCs w:val="24"/>
          <w:lang w:eastAsia="lt-LT"/>
        </w:rPr>
        <w:t>(4 grafikas).</w:t>
      </w:r>
    </w:p>
    <w:p w:rsidR="00214BE0" w:rsidRPr="006658F1" w:rsidRDefault="00214BE0" w:rsidP="002D177D">
      <w:pPr>
        <w:rPr>
          <w:color w:val="595959" w:themeColor="text1" w:themeTint="A6"/>
          <w:szCs w:val="24"/>
          <w:lang w:eastAsia="lt-LT"/>
        </w:rPr>
      </w:pPr>
    </w:p>
    <w:p w:rsidR="00885603" w:rsidRPr="006658F1" w:rsidRDefault="00D427C5" w:rsidP="00885603">
      <w:pPr>
        <w:pStyle w:val="Antrat"/>
        <w:keepNext/>
        <w:spacing w:after="0"/>
        <w:jc w:val="center"/>
        <w:rPr>
          <w:rFonts w:ascii="Times New Roman" w:hAnsi="Times New Roman"/>
          <w:noProof/>
          <w:color w:val="365F91" w:themeColor="accent1" w:themeShade="BF"/>
          <w:sz w:val="24"/>
          <w:szCs w:val="24"/>
        </w:rPr>
      </w:pPr>
      <w:r w:rsidRPr="006658F1">
        <w:rPr>
          <w:rFonts w:ascii="Times New Roman" w:hAnsi="Times New Roman"/>
          <w:noProof/>
          <w:color w:val="365F91" w:themeColor="accent1" w:themeShade="BF"/>
          <w:sz w:val="24"/>
          <w:szCs w:val="24"/>
        </w:rPr>
        <w:t>4</w:t>
      </w:r>
      <w:r w:rsidR="00885603" w:rsidRPr="006658F1">
        <w:rPr>
          <w:rFonts w:ascii="Times New Roman" w:hAnsi="Times New Roman"/>
          <w:noProof/>
          <w:color w:val="365F91" w:themeColor="accent1" w:themeShade="BF"/>
          <w:sz w:val="24"/>
          <w:szCs w:val="24"/>
        </w:rPr>
        <w:t xml:space="preserve"> grafikas. Išmokėjimai 202</w:t>
      </w:r>
      <w:r w:rsidR="00C30998" w:rsidRPr="006658F1">
        <w:rPr>
          <w:rFonts w:ascii="Times New Roman" w:hAnsi="Times New Roman"/>
          <w:noProof/>
          <w:color w:val="365F91" w:themeColor="accent1" w:themeShade="BF"/>
          <w:sz w:val="24"/>
          <w:szCs w:val="24"/>
        </w:rPr>
        <w:t>1</w:t>
      </w:r>
      <w:r w:rsidR="00885603" w:rsidRPr="006658F1">
        <w:rPr>
          <w:rFonts w:ascii="Times New Roman" w:hAnsi="Times New Roman"/>
          <w:noProof/>
          <w:color w:val="365F91" w:themeColor="accent1" w:themeShade="BF"/>
          <w:sz w:val="24"/>
          <w:szCs w:val="24"/>
        </w:rPr>
        <w:t xml:space="preserve"> metais (mln. eurų</w:t>
      </w:r>
      <w:r w:rsidR="00214BE0" w:rsidRPr="006658F1">
        <w:rPr>
          <w:rFonts w:ascii="Times New Roman" w:hAnsi="Times New Roman"/>
          <w:noProof/>
          <w:color w:val="365F91" w:themeColor="accent1" w:themeShade="BF"/>
          <w:sz w:val="24"/>
          <w:szCs w:val="24"/>
        </w:rPr>
        <w:t>, proc.</w:t>
      </w:r>
      <w:r w:rsidR="00885603" w:rsidRPr="006658F1">
        <w:rPr>
          <w:rFonts w:ascii="Times New Roman" w:hAnsi="Times New Roman"/>
          <w:noProof/>
          <w:color w:val="365F91" w:themeColor="accent1" w:themeShade="BF"/>
          <w:sz w:val="24"/>
          <w:szCs w:val="24"/>
        </w:rPr>
        <w:t>)</w:t>
      </w:r>
    </w:p>
    <w:p w:rsidR="00885603" w:rsidRPr="006658F1" w:rsidRDefault="00885603" w:rsidP="00885603">
      <w:pPr>
        <w:rPr>
          <w:szCs w:val="24"/>
        </w:rPr>
      </w:pPr>
    </w:p>
    <w:p w:rsidR="00974DE6" w:rsidRPr="006658F1" w:rsidRDefault="00F608C1" w:rsidP="00974DE6">
      <w:pPr>
        <w:jc w:val="center"/>
        <w:rPr>
          <w:color w:val="595959" w:themeColor="text1" w:themeTint="A6"/>
          <w:szCs w:val="24"/>
          <w:lang w:eastAsia="lt-LT"/>
        </w:rPr>
      </w:pPr>
      <w:r>
        <w:rPr>
          <w:noProof/>
          <w:lang w:eastAsia="lt-LT"/>
        </w:rPr>
        <w:drawing>
          <wp:inline distT="0" distB="0" distL="0" distR="0" wp14:anchorId="1EFFEEA6" wp14:editId="5B730CC7">
            <wp:extent cx="4648200" cy="3095625"/>
            <wp:effectExtent l="0" t="0" r="19050" b="9525"/>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5603" w:rsidRPr="006658F1" w:rsidRDefault="00885603" w:rsidP="00885603">
      <w:pPr>
        <w:pStyle w:val="Antrat"/>
        <w:keepNext/>
        <w:spacing w:after="0"/>
        <w:jc w:val="center"/>
        <w:rPr>
          <w:rFonts w:ascii="Times New Roman" w:hAnsi="Times New Roman"/>
          <w:b w:val="0"/>
          <w:color w:val="7F7F7F" w:themeColor="text1" w:themeTint="80"/>
          <w:sz w:val="24"/>
          <w:szCs w:val="24"/>
          <w:lang w:eastAsia="lt-LT"/>
        </w:rPr>
      </w:pPr>
      <w:r w:rsidRPr="006658F1">
        <w:rPr>
          <w:rFonts w:ascii="Times New Roman" w:hAnsi="Times New Roman"/>
          <w:b w:val="0"/>
          <w:color w:val="7F7F7F" w:themeColor="text1" w:themeTint="80"/>
          <w:sz w:val="24"/>
          <w:szCs w:val="24"/>
          <w:lang w:eastAsia="lt-LT"/>
        </w:rPr>
        <w:t>Šaltinis: 2014–2020 metų Europos Sąjungos struktūrinių fondų posistemis (SFMIS2014).</w:t>
      </w:r>
    </w:p>
    <w:p w:rsidR="002D177D" w:rsidRDefault="002D177D" w:rsidP="001B5960">
      <w:pPr>
        <w:pStyle w:val="tekstas"/>
        <w:ind w:firstLine="0"/>
        <w:rPr>
          <w:rFonts w:ascii="Times New Roman" w:hAnsi="Times New Roman"/>
          <w:color w:val="595959" w:themeColor="text1" w:themeTint="A6"/>
          <w:highlight w:val="yellow"/>
          <w:lang w:eastAsia="lt-LT"/>
        </w:rPr>
      </w:pPr>
    </w:p>
    <w:p w:rsidR="00395268" w:rsidRPr="00B70BE9" w:rsidRDefault="00395268" w:rsidP="00EA5146">
      <w:pPr>
        <w:pStyle w:val="Antrat1"/>
        <w:ind w:left="426"/>
        <w:rPr>
          <w:rFonts w:ascii="Times New Roman" w:hAnsi="Times New Roman" w:cs="Times New Roman"/>
          <w:sz w:val="24"/>
        </w:rPr>
      </w:pPr>
      <w:bookmarkStart w:id="8" w:name="_Toc86414508"/>
      <w:r w:rsidRPr="00B70BE9">
        <w:rPr>
          <w:rFonts w:ascii="Times New Roman" w:hAnsi="Times New Roman" w:cs="Times New Roman"/>
          <w:sz w:val="24"/>
        </w:rPr>
        <w:t xml:space="preserve">Veiksmų programos įgyvendinimo </w:t>
      </w:r>
      <w:r>
        <w:rPr>
          <w:rFonts w:ascii="Times New Roman" w:hAnsi="Times New Roman" w:cs="Times New Roman"/>
          <w:sz w:val="24"/>
        </w:rPr>
        <w:t xml:space="preserve">rizikų </w:t>
      </w:r>
      <w:r w:rsidRPr="00B70BE9">
        <w:rPr>
          <w:rFonts w:ascii="Times New Roman" w:hAnsi="Times New Roman" w:cs="Times New Roman"/>
          <w:sz w:val="24"/>
        </w:rPr>
        <w:t>apžvalga</w:t>
      </w:r>
      <w:bookmarkEnd w:id="8"/>
    </w:p>
    <w:p w:rsidR="00395268" w:rsidRDefault="00395268" w:rsidP="001B5960">
      <w:pPr>
        <w:pStyle w:val="tekstas"/>
        <w:ind w:firstLine="0"/>
        <w:rPr>
          <w:rFonts w:ascii="Times New Roman" w:hAnsi="Times New Roman"/>
          <w:color w:val="595959" w:themeColor="text1" w:themeTint="A6"/>
          <w:highlight w:val="yellow"/>
          <w:lang w:eastAsia="lt-LT"/>
        </w:rPr>
      </w:pPr>
    </w:p>
    <w:p w:rsidR="001B42EE" w:rsidRDefault="000625C2"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Ataskaitinio laikotarpio pabaigoje, iki investavimo termino pabaigos likus tik dvejiems metams, bendra projektų vykdytojams dar neišmokėta suma sudaro 2,3 mlrd. eurų ES lėšų. Daugiausia neišmokėtų lėšų yra Ekonomikos ir inovacijų ministerijos (507 mln. eurų), Susisiekimo ministerijos (422 mln. eurų) ir Aplinkos ministerijos (305 mln. eurų) administruojamose priemonėse. Taip pat, nemaža dalis lėšų dar neinvestuota Energetikos ministerijos (270 mln. eurų) ir Švietimo, mokslo ir sporto ministerijos (263 mln. eurų) administruojamose priemonėse.</w:t>
      </w:r>
    </w:p>
    <w:p w:rsidR="000625C2" w:rsidRPr="000625C2" w:rsidRDefault="002955A9"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Pažymėtina</w:t>
      </w:r>
      <w:r w:rsidR="007A3501">
        <w:rPr>
          <w:rFonts w:ascii="Times New Roman" w:hAnsi="Times New Roman"/>
          <w:color w:val="595959" w:themeColor="text1" w:themeTint="A6"/>
          <w:lang w:eastAsia="lt-LT"/>
        </w:rPr>
        <w:t xml:space="preserve">, kad </w:t>
      </w:r>
      <w:r>
        <w:rPr>
          <w:rFonts w:ascii="Times New Roman" w:hAnsi="Times New Roman"/>
          <w:color w:val="595959" w:themeColor="text1" w:themeTint="A6"/>
          <w:lang w:eastAsia="lt-LT"/>
        </w:rPr>
        <w:t>lyginant su praėjusiais metais ES lėšų investavimas lėtėja. Per š. m. tris ketvirčius investuota 110 mln. eurų mažiau nei pernai per tą patį laikotarpį</w:t>
      </w:r>
      <w:r w:rsidR="007A3501">
        <w:rPr>
          <w:rFonts w:ascii="Times New Roman" w:hAnsi="Times New Roman"/>
          <w:color w:val="595959" w:themeColor="text1" w:themeTint="A6"/>
          <w:lang w:eastAsia="lt-LT"/>
        </w:rPr>
        <w:t>.</w:t>
      </w:r>
      <w:r>
        <w:rPr>
          <w:rFonts w:ascii="Times New Roman" w:hAnsi="Times New Roman"/>
          <w:color w:val="595959" w:themeColor="text1" w:themeTint="A6"/>
          <w:lang w:eastAsia="lt-LT"/>
        </w:rPr>
        <w:t xml:space="preserve"> Investicijų spartos mažėjimas kelia riziką nespėti projektų užbaigti ir Lietuvai skirtų ES lėšų investuoti laiku, t.y. iki 2023 m. pabaigos.</w:t>
      </w:r>
    </w:p>
    <w:p w:rsidR="008B3780" w:rsidRDefault="00BD665B"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Šiuo metu </w:t>
      </w:r>
      <w:r w:rsidRPr="00BD665B">
        <w:rPr>
          <w:rFonts w:ascii="Times New Roman" w:hAnsi="Times New Roman"/>
          <w:color w:val="595959" w:themeColor="text1" w:themeTint="A6"/>
          <w:lang w:eastAsia="lt-LT"/>
        </w:rPr>
        <w:t>pagrindinės identifikuojamos projektų įgyvendinimo rizik</w:t>
      </w:r>
      <w:r w:rsidR="008B3780">
        <w:rPr>
          <w:rFonts w:ascii="Times New Roman" w:hAnsi="Times New Roman"/>
          <w:color w:val="595959" w:themeColor="text1" w:themeTint="A6"/>
          <w:lang w:eastAsia="lt-LT"/>
        </w:rPr>
        <w:t>ų priežastys</w:t>
      </w:r>
      <w:r>
        <w:rPr>
          <w:rFonts w:ascii="Times New Roman" w:hAnsi="Times New Roman"/>
          <w:color w:val="595959" w:themeColor="text1" w:themeTint="A6"/>
          <w:lang w:eastAsia="lt-LT"/>
        </w:rPr>
        <w:t xml:space="preserve"> yra</w:t>
      </w:r>
      <w:r w:rsidR="008B3780">
        <w:rPr>
          <w:rFonts w:ascii="Times New Roman" w:hAnsi="Times New Roman"/>
          <w:color w:val="595959" w:themeColor="text1" w:themeTint="A6"/>
          <w:lang w:eastAsia="lt-LT"/>
        </w:rPr>
        <w:t>:</w:t>
      </w:r>
    </w:p>
    <w:p w:rsidR="008B3780" w:rsidRDefault="008B3780"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lastRenderedPageBreak/>
        <w:t>1)</w:t>
      </w:r>
      <w:r w:rsidR="00BD665B">
        <w:rPr>
          <w:rFonts w:ascii="Times New Roman" w:hAnsi="Times New Roman"/>
          <w:color w:val="595959" w:themeColor="text1" w:themeTint="A6"/>
          <w:lang w:eastAsia="lt-LT"/>
        </w:rPr>
        <w:t xml:space="preserve"> </w:t>
      </w:r>
      <w:proofErr w:type="spellStart"/>
      <w:r w:rsidR="00F8060E">
        <w:rPr>
          <w:rFonts w:ascii="Times New Roman" w:hAnsi="Times New Roman"/>
          <w:color w:val="595959" w:themeColor="text1" w:themeTint="A6"/>
          <w:lang w:eastAsia="lt-LT"/>
        </w:rPr>
        <w:t>Covid-19</w:t>
      </w:r>
      <w:proofErr w:type="spellEnd"/>
      <w:r w:rsidR="00F8060E">
        <w:rPr>
          <w:rFonts w:ascii="Times New Roman" w:hAnsi="Times New Roman"/>
          <w:color w:val="595959" w:themeColor="text1" w:themeTint="A6"/>
          <w:lang w:eastAsia="lt-LT"/>
        </w:rPr>
        <w:t xml:space="preserve"> pandemija</w:t>
      </w:r>
      <w:r>
        <w:rPr>
          <w:rFonts w:ascii="Times New Roman" w:hAnsi="Times New Roman"/>
          <w:color w:val="595959" w:themeColor="text1" w:themeTint="A6"/>
          <w:lang w:eastAsia="lt-LT"/>
        </w:rPr>
        <w:t xml:space="preserve"> (ypač strigo „minkštosios“ veiklos 2020 m. ir 2021 m. pirmą pusmetį dėl karantino apribojimų; sveikatos apsaugos įstaigose, kurios vykdė projektus, prioritetas buvo teikiamas pandemijos valdymui, o ne projektų vykdymui; dėl sutrikusių tiekimo grandinių vėlavo </w:t>
      </w:r>
      <w:r w:rsidR="00FD3F80">
        <w:rPr>
          <w:rFonts w:ascii="Times New Roman" w:hAnsi="Times New Roman"/>
          <w:color w:val="595959" w:themeColor="text1" w:themeTint="A6"/>
          <w:lang w:eastAsia="lt-LT"/>
        </w:rPr>
        <w:t xml:space="preserve">įsigytos </w:t>
      </w:r>
      <w:r>
        <w:rPr>
          <w:rFonts w:ascii="Times New Roman" w:hAnsi="Times New Roman"/>
          <w:color w:val="595959" w:themeColor="text1" w:themeTint="A6"/>
          <w:lang w:eastAsia="lt-LT"/>
        </w:rPr>
        <w:t>įrangos</w:t>
      </w:r>
      <w:r w:rsidR="00FD3F80">
        <w:rPr>
          <w:rFonts w:ascii="Times New Roman" w:hAnsi="Times New Roman"/>
          <w:color w:val="595959" w:themeColor="text1" w:themeTint="A6"/>
          <w:lang w:eastAsia="lt-LT"/>
        </w:rPr>
        <w:t xml:space="preserve"> pristatymas);</w:t>
      </w:r>
    </w:p>
    <w:p w:rsidR="00FD3F80" w:rsidRDefault="008B3780"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2)</w:t>
      </w:r>
      <w:r w:rsidR="00F8060E">
        <w:rPr>
          <w:rFonts w:ascii="Times New Roman" w:hAnsi="Times New Roman"/>
          <w:color w:val="595959" w:themeColor="text1" w:themeTint="A6"/>
          <w:lang w:eastAsia="lt-LT"/>
        </w:rPr>
        <w:t xml:space="preserve"> </w:t>
      </w:r>
      <w:r w:rsidR="00FD3F80">
        <w:rPr>
          <w:rFonts w:ascii="Times New Roman" w:hAnsi="Times New Roman"/>
          <w:color w:val="595959" w:themeColor="text1" w:themeTint="A6"/>
          <w:lang w:eastAsia="lt-LT"/>
        </w:rPr>
        <w:t xml:space="preserve">medžiagų, statybos darbų ir nekilnojamojo turto kainų kilimas dėl </w:t>
      </w:r>
      <w:proofErr w:type="spellStart"/>
      <w:r w:rsidR="00FD3F80">
        <w:rPr>
          <w:rFonts w:ascii="Times New Roman" w:hAnsi="Times New Roman"/>
          <w:color w:val="595959" w:themeColor="text1" w:themeTint="A6"/>
          <w:lang w:eastAsia="lt-LT"/>
        </w:rPr>
        <w:t>pokarantininio</w:t>
      </w:r>
      <w:proofErr w:type="spellEnd"/>
      <w:r w:rsidR="00FD3F80">
        <w:rPr>
          <w:rFonts w:ascii="Times New Roman" w:hAnsi="Times New Roman"/>
          <w:color w:val="595959" w:themeColor="text1" w:themeTint="A6"/>
          <w:lang w:eastAsia="lt-LT"/>
        </w:rPr>
        <w:t xml:space="preserve"> rinkų atsigavimo ir pasiūlos trūkumo (projektų vykdytojai nebeįperka suplanuoto nekilnojamojo turto ar statybų, o ministerijos turi ribotas galimybes skirti papildomų lėšų, todėl nutraukiamos pirkimų procedūros, perplanuojamos projektų įgyvendinimo alternatyvos);</w:t>
      </w:r>
    </w:p>
    <w:p w:rsidR="00FD3F80" w:rsidRDefault="00FD3F80"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3) bendruomenių pasipriešinimas (pavyzdžiui, vaikų ir neįgalių asmenų </w:t>
      </w:r>
      <w:proofErr w:type="spellStart"/>
      <w:r>
        <w:rPr>
          <w:rFonts w:ascii="Times New Roman" w:hAnsi="Times New Roman"/>
          <w:color w:val="595959" w:themeColor="text1" w:themeTint="A6"/>
          <w:lang w:eastAsia="lt-LT"/>
        </w:rPr>
        <w:t>deinstitucionalizacijos</w:t>
      </w:r>
      <w:proofErr w:type="spellEnd"/>
      <w:r>
        <w:rPr>
          <w:rFonts w:ascii="Times New Roman" w:hAnsi="Times New Roman"/>
          <w:color w:val="595959" w:themeColor="text1" w:themeTint="A6"/>
          <w:lang w:eastAsia="lt-LT"/>
        </w:rPr>
        <w:t xml:space="preserve"> reformos prasidėjo periodo viduryje ir 2020</w:t>
      </w:r>
      <w:proofErr w:type="gramStart"/>
      <w:r>
        <w:rPr>
          <w:rFonts w:ascii="Times New Roman" w:hAnsi="Times New Roman"/>
          <w:color w:val="595959" w:themeColor="text1" w:themeTint="A6"/>
          <w:lang w:eastAsia="lt-LT"/>
        </w:rPr>
        <w:t>-</w:t>
      </w:r>
      <w:proofErr w:type="gramEnd"/>
      <w:r>
        <w:rPr>
          <w:rFonts w:ascii="Times New Roman" w:hAnsi="Times New Roman"/>
          <w:color w:val="595959" w:themeColor="text1" w:themeTint="A6"/>
          <w:lang w:eastAsia="lt-LT"/>
        </w:rPr>
        <w:t>2021 metais buvo priimami sprendimai dėl reikalingų būstų pirkimo ar statybos</w:t>
      </w:r>
      <w:r w:rsidR="004309E2">
        <w:rPr>
          <w:rFonts w:ascii="Times New Roman" w:hAnsi="Times New Roman"/>
          <w:color w:val="595959" w:themeColor="text1" w:themeTint="A6"/>
          <w:lang w:eastAsia="lt-LT"/>
        </w:rPr>
        <w:t xml:space="preserve"> vietovėse, kur tam stipriai priešinosi bendruomenės</w:t>
      </w:r>
      <w:r w:rsidR="00B70BE9">
        <w:rPr>
          <w:rFonts w:ascii="Times New Roman" w:hAnsi="Times New Roman"/>
          <w:color w:val="595959" w:themeColor="text1" w:themeTint="A6"/>
          <w:lang w:eastAsia="lt-LT"/>
        </w:rPr>
        <w:t>, visuomenės pasipriešinimas dėl projekte reikiamo medžių kirtimo</w:t>
      </w:r>
      <w:r w:rsidR="004309E2">
        <w:rPr>
          <w:rFonts w:ascii="Times New Roman" w:hAnsi="Times New Roman"/>
          <w:color w:val="595959" w:themeColor="text1" w:themeTint="A6"/>
          <w:lang w:eastAsia="lt-LT"/>
        </w:rPr>
        <w:t>);</w:t>
      </w:r>
    </w:p>
    <w:p w:rsidR="00243796" w:rsidRDefault="00FD3F80"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4) </w:t>
      </w:r>
      <w:r w:rsidR="00BD665B" w:rsidRPr="00BD665B">
        <w:rPr>
          <w:rFonts w:ascii="Times New Roman" w:hAnsi="Times New Roman"/>
          <w:color w:val="595959" w:themeColor="text1" w:themeTint="A6"/>
          <w:lang w:eastAsia="lt-LT"/>
        </w:rPr>
        <w:t>užsitęsusios viešųjų pirkimų procedūros</w:t>
      </w:r>
      <w:r w:rsidR="00F8060E">
        <w:rPr>
          <w:rFonts w:ascii="Times New Roman" w:hAnsi="Times New Roman"/>
          <w:color w:val="595959" w:themeColor="text1" w:themeTint="A6"/>
          <w:lang w:eastAsia="lt-LT"/>
        </w:rPr>
        <w:t>,</w:t>
      </w:r>
      <w:r>
        <w:rPr>
          <w:rFonts w:ascii="Times New Roman" w:hAnsi="Times New Roman"/>
          <w:color w:val="595959" w:themeColor="text1" w:themeTint="A6"/>
          <w:lang w:eastAsia="lt-LT"/>
        </w:rPr>
        <w:t xml:space="preserve"> teisminiai ginčai, </w:t>
      </w:r>
      <w:r w:rsidR="004309E2">
        <w:rPr>
          <w:rFonts w:ascii="Times New Roman" w:hAnsi="Times New Roman"/>
          <w:color w:val="595959" w:themeColor="text1" w:themeTint="A6"/>
          <w:lang w:eastAsia="lt-LT"/>
        </w:rPr>
        <w:t xml:space="preserve">ekspertų trūkumas rinkose, </w:t>
      </w:r>
      <w:r>
        <w:rPr>
          <w:rFonts w:ascii="Times New Roman" w:hAnsi="Times New Roman"/>
          <w:color w:val="595959" w:themeColor="text1" w:themeTint="A6"/>
          <w:lang w:eastAsia="lt-LT"/>
        </w:rPr>
        <w:t>dėl kurių vėluoja projektų veiklų įgyvendinimas</w:t>
      </w:r>
      <w:r w:rsidR="004309E2">
        <w:rPr>
          <w:rFonts w:ascii="Times New Roman" w:hAnsi="Times New Roman"/>
          <w:color w:val="595959" w:themeColor="text1" w:themeTint="A6"/>
          <w:lang w:eastAsia="lt-LT"/>
        </w:rPr>
        <w:t>;</w:t>
      </w:r>
    </w:p>
    <w:p w:rsidR="004309E2" w:rsidRDefault="004309E2"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5) ministerijų įsitraukimas į strateginio planavimo reformą (plėtros programų rengimas) ir keleto naujų finansavimo šaltinių paraiškų ar planų rengimą (</w:t>
      </w:r>
      <w:proofErr w:type="spellStart"/>
      <w:r>
        <w:rPr>
          <w:rFonts w:ascii="Times New Roman" w:hAnsi="Times New Roman"/>
          <w:color w:val="595959" w:themeColor="text1" w:themeTint="A6"/>
          <w:lang w:eastAsia="lt-LT"/>
        </w:rPr>
        <w:t>React</w:t>
      </w:r>
      <w:proofErr w:type="gramStart"/>
      <w:r>
        <w:rPr>
          <w:rFonts w:ascii="Times New Roman" w:hAnsi="Times New Roman"/>
          <w:color w:val="595959" w:themeColor="text1" w:themeTint="A6"/>
          <w:lang w:eastAsia="lt-LT"/>
        </w:rPr>
        <w:t>-</w:t>
      </w:r>
      <w:proofErr w:type="gramEnd"/>
      <w:r>
        <w:rPr>
          <w:rFonts w:ascii="Times New Roman" w:hAnsi="Times New Roman"/>
          <w:color w:val="595959" w:themeColor="text1" w:themeTint="A6"/>
          <w:lang w:eastAsia="lt-LT"/>
        </w:rPr>
        <w:t>EU</w:t>
      </w:r>
      <w:proofErr w:type="spellEnd"/>
      <w:r>
        <w:rPr>
          <w:rFonts w:ascii="Times New Roman" w:hAnsi="Times New Roman"/>
          <w:color w:val="595959" w:themeColor="text1" w:themeTint="A6"/>
          <w:lang w:eastAsia="lt-LT"/>
        </w:rPr>
        <w:t xml:space="preserve"> instrumento, 2021-</w:t>
      </w:r>
      <w:r w:rsidR="00B70BE9">
        <w:rPr>
          <w:rFonts w:ascii="Times New Roman" w:hAnsi="Times New Roman"/>
          <w:color w:val="595959" w:themeColor="text1" w:themeTint="A6"/>
          <w:lang w:eastAsia="lt-LT"/>
        </w:rPr>
        <w:t>20</w:t>
      </w:r>
      <w:r>
        <w:rPr>
          <w:rFonts w:ascii="Times New Roman" w:hAnsi="Times New Roman"/>
          <w:color w:val="595959" w:themeColor="text1" w:themeTint="A6"/>
          <w:lang w:eastAsia="lt-LT"/>
        </w:rPr>
        <w:t xml:space="preserve">27 m. investicijų programos, Ekonomikos gaivinimo ir atsparumo didinimo plano „Naujos kartos Lietuva“) 2020-2021 metais neleido ministerijoms greitai reaguoti į kintančias 2014-2020 m. ES fondų veiksmų programos įgyvendinimo aplinkybes, taip pat laiku pradėti įgyvendinti </w:t>
      </w:r>
      <w:proofErr w:type="spellStart"/>
      <w:r>
        <w:rPr>
          <w:rFonts w:ascii="Times New Roman" w:hAnsi="Times New Roman"/>
          <w:color w:val="595959" w:themeColor="text1" w:themeTint="A6"/>
          <w:lang w:eastAsia="lt-LT"/>
        </w:rPr>
        <w:t>React-EU</w:t>
      </w:r>
      <w:proofErr w:type="spellEnd"/>
      <w:r>
        <w:rPr>
          <w:rFonts w:ascii="Times New Roman" w:hAnsi="Times New Roman"/>
          <w:color w:val="595959" w:themeColor="text1" w:themeTint="A6"/>
          <w:lang w:eastAsia="lt-LT"/>
        </w:rPr>
        <w:t xml:space="preserve"> priemones.</w:t>
      </w:r>
    </w:p>
    <w:p w:rsidR="00FA6FA7" w:rsidRDefault="00FA6FA7"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Vertinant projektų sutartis sudarytas iki 2020 m. pradžios:</w:t>
      </w:r>
    </w:p>
    <w:p w:rsidR="001B42EE" w:rsidRDefault="00FA6FA7" w:rsidP="00B70BE9">
      <w:pPr>
        <w:pStyle w:val="tekstas"/>
        <w:numPr>
          <w:ilvl w:val="1"/>
          <w:numId w:val="51"/>
        </w:numPr>
        <w:tabs>
          <w:tab w:val="left" w:pos="426"/>
        </w:tabs>
        <w:ind w:left="0"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621 projekte (vertė 662,7 mln. eurų ES lėšų) investicijos </w:t>
      </w:r>
      <w:r w:rsidR="00914A01">
        <w:rPr>
          <w:rFonts w:ascii="Times New Roman" w:hAnsi="Times New Roman"/>
          <w:color w:val="595959" w:themeColor="text1" w:themeTint="A6"/>
          <w:lang w:eastAsia="lt-LT"/>
        </w:rPr>
        <w:t>mažesnės nei</w:t>
      </w:r>
      <w:r>
        <w:rPr>
          <w:rFonts w:ascii="Times New Roman" w:hAnsi="Times New Roman"/>
          <w:color w:val="595959" w:themeColor="text1" w:themeTint="A6"/>
          <w:lang w:eastAsia="lt-LT"/>
        </w:rPr>
        <w:t xml:space="preserve"> 30 proc. (investuota 81,4 mln. eurų);</w:t>
      </w:r>
    </w:p>
    <w:p w:rsidR="00FA6FA7" w:rsidRDefault="00FA6FA7" w:rsidP="00B70BE9">
      <w:pPr>
        <w:pStyle w:val="tekstas"/>
        <w:numPr>
          <w:ilvl w:val="0"/>
          <w:numId w:val="48"/>
        </w:numPr>
        <w:ind w:left="709"/>
        <w:rPr>
          <w:rFonts w:ascii="Times New Roman" w:hAnsi="Times New Roman"/>
          <w:color w:val="595959" w:themeColor="text1" w:themeTint="A6"/>
          <w:lang w:eastAsia="lt-LT"/>
        </w:rPr>
      </w:pPr>
      <w:r>
        <w:rPr>
          <w:rFonts w:ascii="Times New Roman" w:hAnsi="Times New Roman"/>
          <w:color w:val="595959" w:themeColor="text1" w:themeTint="A6"/>
          <w:lang w:eastAsia="lt-LT"/>
        </w:rPr>
        <w:t>iš jų 258 projektuose (vertė 326 mln. eurų ES lėšų) investuota mažiau nei 10 proc.;</w:t>
      </w:r>
    </w:p>
    <w:p w:rsidR="00A33218" w:rsidRDefault="00FA6FA7" w:rsidP="00B70BE9">
      <w:pPr>
        <w:pStyle w:val="tekstas"/>
        <w:numPr>
          <w:ilvl w:val="0"/>
          <w:numId w:val="48"/>
        </w:numPr>
        <w:ind w:left="709"/>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iš jų </w:t>
      </w:r>
      <w:r w:rsidR="00A33218">
        <w:rPr>
          <w:rFonts w:ascii="Times New Roman" w:hAnsi="Times New Roman"/>
          <w:color w:val="595959" w:themeColor="text1" w:themeTint="A6"/>
          <w:lang w:eastAsia="lt-LT"/>
        </w:rPr>
        <w:t>93</w:t>
      </w:r>
      <w:r>
        <w:rPr>
          <w:rFonts w:ascii="Times New Roman" w:hAnsi="Times New Roman"/>
          <w:color w:val="595959" w:themeColor="text1" w:themeTint="A6"/>
          <w:lang w:eastAsia="lt-LT"/>
        </w:rPr>
        <w:t xml:space="preserve"> projektuose (vertė 112 mln. eurų ES lėšų) investicijos nepradėtos</w:t>
      </w:r>
      <w:r w:rsidR="00A33218">
        <w:rPr>
          <w:rFonts w:ascii="Times New Roman" w:hAnsi="Times New Roman"/>
          <w:color w:val="595959" w:themeColor="text1" w:themeTint="A6"/>
          <w:lang w:eastAsia="lt-LT"/>
        </w:rPr>
        <w:t xml:space="preserve"> arba nesiekia 1 proc.</w:t>
      </w:r>
    </w:p>
    <w:p w:rsidR="00A33218" w:rsidRDefault="00A33218"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Vertinant projektų sutartis sudarytas </w:t>
      </w:r>
      <w:r w:rsidR="001847E7">
        <w:rPr>
          <w:rFonts w:ascii="Times New Roman" w:hAnsi="Times New Roman"/>
          <w:color w:val="595959" w:themeColor="text1" w:themeTint="A6"/>
          <w:lang w:eastAsia="lt-LT"/>
        </w:rPr>
        <w:t>per 2020 m.</w:t>
      </w:r>
      <w:r>
        <w:rPr>
          <w:rFonts w:ascii="Times New Roman" w:hAnsi="Times New Roman"/>
          <w:color w:val="595959" w:themeColor="text1" w:themeTint="A6"/>
          <w:lang w:eastAsia="lt-LT"/>
        </w:rPr>
        <w:t>:</w:t>
      </w:r>
    </w:p>
    <w:p w:rsidR="00A33218" w:rsidRDefault="001847E7" w:rsidP="00B70BE9">
      <w:pPr>
        <w:pStyle w:val="tekstas"/>
        <w:numPr>
          <w:ilvl w:val="0"/>
          <w:numId w:val="49"/>
        </w:numPr>
        <w:tabs>
          <w:tab w:val="left" w:pos="426"/>
        </w:tabs>
        <w:ind w:left="0" w:hanging="12"/>
        <w:rPr>
          <w:rFonts w:ascii="Times New Roman" w:hAnsi="Times New Roman"/>
          <w:color w:val="595959" w:themeColor="text1" w:themeTint="A6"/>
          <w:lang w:eastAsia="lt-LT"/>
        </w:rPr>
      </w:pPr>
      <w:r>
        <w:rPr>
          <w:rFonts w:ascii="Times New Roman" w:hAnsi="Times New Roman"/>
          <w:color w:val="595959" w:themeColor="text1" w:themeTint="A6"/>
          <w:lang w:eastAsia="lt-LT"/>
        </w:rPr>
        <w:t>907</w:t>
      </w:r>
      <w:r w:rsidR="00A33218">
        <w:rPr>
          <w:rFonts w:ascii="Times New Roman" w:hAnsi="Times New Roman"/>
          <w:color w:val="595959" w:themeColor="text1" w:themeTint="A6"/>
          <w:lang w:eastAsia="lt-LT"/>
        </w:rPr>
        <w:t xml:space="preserve"> projektuose (vertė </w:t>
      </w:r>
      <w:r>
        <w:rPr>
          <w:rFonts w:ascii="Times New Roman" w:hAnsi="Times New Roman"/>
          <w:color w:val="595959" w:themeColor="text1" w:themeTint="A6"/>
          <w:lang w:eastAsia="lt-LT"/>
        </w:rPr>
        <w:t>466</w:t>
      </w:r>
      <w:r w:rsidR="00A33218">
        <w:rPr>
          <w:rFonts w:ascii="Times New Roman" w:hAnsi="Times New Roman"/>
          <w:color w:val="595959" w:themeColor="text1" w:themeTint="A6"/>
          <w:lang w:eastAsia="lt-LT"/>
        </w:rPr>
        <w:t xml:space="preserve"> mln. eurų ES lėšų) investicijos mažesnės nei 10 proc. (investuota 1</w:t>
      </w:r>
      <w:r>
        <w:rPr>
          <w:rFonts w:ascii="Times New Roman" w:hAnsi="Times New Roman"/>
          <w:color w:val="595959" w:themeColor="text1" w:themeTint="A6"/>
          <w:lang w:eastAsia="lt-LT"/>
        </w:rPr>
        <w:t>1</w:t>
      </w:r>
      <w:r w:rsidR="00A33218">
        <w:rPr>
          <w:rFonts w:ascii="Times New Roman" w:hAnsi="Times New Roman"/>
          <w:color w:val="595959" w:themeColor="text1" w:themeTint="A6"/>
          <w:lang w:eastAsia="lt-LT"/>
        </w:rPr>
        <w:t>,</w:t>
      </w:r>
      <w:r>
        <w:rPr>
          <w:rFonts w:ascii="Times New Roman" w:hAnsi="Times New Roman"/>
          <w:color w:val="595959" w:themeColor="text1" w:themeTint="A6"/>
          <w:lang w:eastAsia="lt-LT"/>
        </w:rPr>
        <w:t>3</w:t>
      </w:r>
      <w:r w:rsidR="00A33218">
        <w:rPr>
          <w:rFonts w:ascii="Times New Roman" w:hAnsi="Times New Roman"/>
          <w:color w:val="595959" w:themeColor="text1" w:themeTint="A6"/>
          <w:lang w:eastAsia="lt-LT"/>
        </w:rPr>
        <w:t xml:space="preserve"> mln. eurų);</w:t>
      </w:r>
    </w:p>
    <w:p w:rsidR="00A33218" w:rsidRPr="00A33218" w:rsidRDefault="00A33218" w:rsidP="00B70BE9">
      <w:pPr>
        <w:pStyle w:val="tekstas"/>
        <w:numPr>
          <w:ilvl w:val="0"/>
          <w:numId w:val="47"/>
        </w:numPr>
        <w:ind w:left="709"/>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iš jų </w:t>
      </w:r>
      <w:r w:rsidR="001847E7">
        <w:rPr>
          <w:rFonts w:ascii="Times New Roman" w:hAnsi="Times New Roman"/>
          <w:color w:val="595959" w:themeColor="text1" w:themeTint="A6"/>
          <w:lang w:eastAsia="lt-LT"/>
        </w:rPr>
        <w:t>663</w:t>
      </w:r>
      <w:r>
        <w:rPr>
          <w:rFonts w:ascii="Times New Roman" w:hAnsi="Times New Roman"/>
          <w:color w:val="595959" w:themeColor="text1" w:themeTint="A6"/>
          <w:lang w:eastAsia="lt-LT"/>
        </w:rPr>
        <w:t xml:space="preserve"> projektuose (vertė </w:t>
      </w:r>
      <w:r w:rsidR="001847E7">
        <w:rPr>
          <w:rFonts w:ascii="Times New Roman" w:hAnsi="Times New Roman"/>
          <w:color w:val="595959" w:themeColor="text1" w:themeTint="A6"/>
          <w:lang w:eastAsia="lt-LT"/>
        </w:rPr>
        <w:t>220</w:t>
      </w:r>
      <w:r>
        <w:rPr>
          <w:rFonts w:ascii="Times New Roman" w:hAnsi="Times New Roman"/>
          <w:color w:val="595959" w:themeColor="text1" w:themeTint="A6"/>
          <w:lang w:eastAsia="lt-LT"/>
        </w:rPr>
        <w:t xml:space="preserve"> mln. eurų ES lėšų) investicijos nepradėtos</w:t>
      </w:r>
      <w:r w:rsidRPr="00A33218">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arba nesiekia 1 proc.</w:t>
      </w:r>
    </w:p>
    <w:p w:rsidR="0029531E" w:rsidRDefault="003E0C9E" w:rsidP="00B70BE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Detalesnė </w:t>
      </w:r>
      <w:r w:rsidRPr="003E0C9E">
        <w:rPr>
          <w:rFonts w:ascii="Times New Roman" w:hAnsi="Times New Roman"/>
          <w:color w:val="595959" w:themeColor="text1" w:themeTint="A6"/>
          <w:lang w:eastAsia="lt-LT"/>
        </w:rPr>
        <w:t>didesnės vertės projektų</w:t>
      </w:r>
      <w:r>
        <w:rPr>
          <w:rFonts w:ascii="Times New Roman" w:hAnsi="Times New Roman"/>
          <w:color w:val="595959" w:themeColor="text1" w:themeTint="A6"/>
          <w:lang w:eastAsia="lt-LT"/>
        </w:rPr>
        <w:t>,</w:t>
      </w:r>
      <w:r w:rsidRPr="003E0C9E">
        <w:rPr>
          <w:rFonts w:ascii="Times New Roman" w:hAnsi="Times New Roman"/>
          <w:color w:val="595959" w:themeColor="text1" w:themeTint="A6"/>
          <w:lang w:eastAsia="lt-LT"/>
        </w:rPr>
        <w:t xml:space="preserve"> kurių nepakankama pažanga gali kelti riziką </w:t>
      </w:r>
      <w:r>
        <w:rPr>
          <w:rFonts w:ascii="Times New Roman" w:hAnsi="Times New Roman"/>
          <w:color w:val="595959" w:themeColor="text1" w:themeTint="A6"/>
          <w:lang w:eastAsia="lt-LT"/>
        </w:rPr>
        <w:t xml:space="preserve">projektų </w:t>
      </w:r>
      <w:r w:rsidRPr="003E0C9E">
        <w:rPr>
          <w:rFonts w:ascii="Times New Roman" w:hAnsi="Times New Roman"/>
          <w:color w:val="595959" w:themeColor="text1" w:themeTint="A6"/>
          <w:lang w:eastAsia="lt-LT"/>
        </w:rPr>
        <w:t>investicijoms</w:t>
      </w:r>
      <w:r w:rsidR="009E407E">
        <w:rPr>
          <w:rFonts w:ascii="Times New Roman" w:hAnsi="Times New Roman"/>
          <w:color w:val="595959" w:themeColor="text1" w:themeTint="A6"/>
          <w:lang w:eastAsia="lt-LT"/>
        </w:rPr>
        <w:t xml:space="preserve">, </w:t>
      </w:r>
      <w:r w:rsidR="009E407E" w:rsidRPr="003E0C9E">
        <w:rPr>
          <w:rFonts w:ascii="Times New Roman" w:hAnsi="Times New Roman"/>
          <w:color w:val="595959" w:themeColor="text1" w:themeTint="A6"/>
          <w:lang w:eastAsia="lt-LT"/>
        </w:rPr>
        <w:t xml:space="preserve">būklės informacija </w:t>
      </w:r>
      <w:r w:rsidR="009E407E">
        <w:rPr>
          <w:rFonts w:ascii="Times New Roman" w:hAnsi="Times New Roman"/>
          <w:color w:val="595959" w:themeColor="text1" w:themeTint="A6"/>
          <w:lang w:eastAsia="lt-LT"/>
        </w:rPr>
        <w:t>ir priemonės, kuriose yra daugiausia mažą pažangą turinčių projektų, pateikiami</w:t>
      </w:r>
      <w:r w:rsidR="0029531E">
        <w:rPr>
          <w:rFonts w:ascii="Times New Roman" w:hAnsi="Times New Roman"/>
          <w:color w:val="595959" w:themeColor="text1" w:themeTint="A6"/>
          <w:lang w:eastAsia="lt-LT"/>
        </w:rPr>
        <w:t xml:space="preserve"> ataskaitos priede.</w:t>
      </w:r>
    </w:p>
    <w:p w:rsidR="0029531E" w:rsidRDefault="0029531E" w:rsidP="00B70BE9">
      <w:pPr>
        <w:pStyle w:val="tekstas"/>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1B42EE" w:rsidRPr="006658F1" w:rsidTr="001B42EE">
        <w:tc>
          <w:tcPr>
            <w:tcW w:w="9638" w:type="dxa"/>
            <w:tcBorders>
              <w:top w:val="nil"/>
              <w:left w:val="nil"/>
              <w:bottom w:val="nil"/>
              <w:right w:val="nil"/>
            </w:tcBorders>
            <w:shd w:val="clear" w:color="auto" w:fill="D9D9D9" w:themeFill="background1" w:themeFillShade="D9"/>
          </w:tcPr>
          <w:p w:rsidR="001B42EE" w:rsidRPr="006658F1" w:rsidRDefault="001B42EE" w:rsidP="001B42EE">
            <w:pPr>
              <w:jc w:val="both"/>
              <w:rPr>
                <w:b/>
                <w:color w:val="365F91" w:themeColor="accent1" w:themeShade="BF"/>
                <w:szCs w:val="24"/>
              </w:rPr>
            </w:pPr>
            <w:r w:rsidRPr="006658F1">
              <w:rPr>
                <w:b/>
                <w:color w:val="365F91" w:themeColor="accent1" w:themeShade="BF"/>
                <w:szCs w:val="24"/>
              </w:rPr>
              <w:t xml:space="preserve">Siūlymas </w:t>
            </w:r>
            <w:r>
              <w:rPr>
                <w:b/>
                <w:color w:val="365F91" w:themeColor="accent1" w:themeShade="BF"/>
                <w:szCs w:val="24"/>
              </w:rPr>
              <w:t>ministerijoms</w:t>
            </w:r>
            <w:r w:rsidRPr="006658F1">
              <w:rPr>
                <w:b/>
                <w:color w:val="365F91" w:themeColor="accent1" w:themeShade="BF"/>
                <w:szCs w:val="24"/>
              </w:rPr>
              <w:t>:</w:t>
            </w:r>
          </w:p>
          <w:p w:rsidR="001B42EE" w:rsidRPr="006658F1" w:rsidRDefault="001B42EE" w:rsidP="00EA5146">
            <w:pPr>
              <w:jc w:val="both"/>
              <w:rPr>
                <w:color w:val="365F91" w:themeColor="accent1" w:themeShade="BF"/>
                <w:szCs w:val="24"/>
              </w:rPr>
            </w:pPr>
            <w:r w:rsidRPr="006658F1">
              <w:rPr>
                <w:color w:val="365F91" w:themeColor="accent1" w:themeShade="BF"/>
                <w:szCs w:val="24"/>
              </w:rPr>
              <w:t xml:space="preserve">- iki 2021 m. </w:t>
            </w:r>
            <w:r w:rsidR="00EA5146">
              <w:rPr>
                <w:color w:val="365F91" w:themeColor="accent1" w:themeShade="BF"/>
                <w:szCs w:val="24"/>
              </w:rPr>
              <w:t>gruodžio 15</w:t>
            </w:r>
            <w:r w:rsidRPr="006658F1">
              <w:rPr>
                <w:color w:val="365F91" w:themeColor="accent1" w:themeShade="BF"/>
                <w:szCs w:val="24"/>
              </w:rPr>
              <w:t xml:space="preserve"> d.</w:t>
            </w:r>
            <w:r w:rsidR="00BD204F">
              <w:rPr>
                <w:color w:val="365F91" w:themeColor="accent1" w:themeShade="BF"/>
                <w:szCs w:val="24"/>
              </w:rPr>
              <w:t xml:space="preserve"> kartu su įgyvendinančiomis institucijomis</w:t>
            </w:r>
            <w:r>
              <w:rPr>
                <w:color w:val="365F91" w:themeColor="accent1" w:themeShade="BF"/>
                <w:szCs w:val="24"/>
              </w:rPr>
              <w:t xml:space="preserve"> iš</w:t>
            </w:r>
            <w:r w:rsidR="001313C9">
              <w:rPr>
                <w:color w:val="365F91" w:themeColor="accent1" w:themeShade="BF"/>
                <w:szCs w:val="24"/>
              </w:rPr>
              <w:t>analizuoti</w:t>
            </w:r>
            <w:r>
              <w:rPr>
                <w:color w:val="365F91" w:themeColor="accent1" w:themeShade="BF"/>
                <w:szCs w:val="24"/>
              </w:rPr>
              <w:t xml:space="preserve"> projektų įgyvendinimo vėlavimo priežastis ir informuoti Finansų ministeriją</w:t>
            </w:r>
            <w:r w:rsidR="008B3780">
              <w:rPr>
                <w:color w:val="365F91" w:themeColor="accent1" w:themeShade="BF"/>
                <w:szCs w:val="24"/>
              </w:rPr>
              <w:t>,</w:t>
            </w:r>
            <w:r>
              <w:rPr>
                <w:color w:val="365F91" w:themeColor="accent1" w:themeShade="BF"/>
                <w:szCs w:val="24"/>
              </w:rPr>
              <w:t xml:space="preserve"> kokių priemonių </w:t>
            </w:r>
            <w:r w:rsidR="001313C9">
              <w:rPr>
                <w:color w:val="365F91" w:themeColor="accent1" w:themeShade="BF"/>
                <w:szCs w:val="24"/>
              </w:rPr>
              <w:t>bus imtasi,</w:t>
            </w:r>
            <w:r>
              <w:rPr>
                <w:color w:val="365F91" w:themeColor="accent1" w:themeShade="BF"/>
                <w:szCs w:val="24"/>
              </w:rPr>
              <w:t xml:space="preserve"> siekiant užtikrinti, kad projektai būtų baigti iki 20</w:t>
            </w:r>
            <w:r w:rsidR="00BD204F">
              <w:rPr>
                <w:color w:val="365F91" w:themeColor="accent1" w:themeShade="BF"/>
                <w:szCs w:val="24"/>
              </w:rPr>
              <w:t>23</w:t>
            </w:r>
            <w:r>
              <w:rPr>
                <w:color w:val="365F91" w:themeColor="accent1" w:themeShade="BF"/>
                <w:szCs w:val="24"/>
              </w:rPr>
              <w:t xml:space="preserve"> m. spalio</w:t>
            </w:r>
            <w:r w:rsidR="009721A8">
              <w:rPr>
                <w:color w:val="365F91" w:themeColor="accent1" w:themeShade="BF"/>
                <w:szCs w:val="24"/>
              </w:rPr>
              <w:t xml:space="preserve"> 1 d.</w:t>
            </w:r>
            <w:r w:rsidR="001313C9">
              <w:rPr>
                <w:color w:val="365F91" w:themeColor="accent1" w:themeShade="BF"/>
                <w:szCs w:val="24"/>
              </w:rPr>
              <w:t xml:space="preserve"> Nesant realių galimybių suvaldyti konkrečių projektų rizikas, išnagrinėti galimybes nutraukti sutartis ir perskirstyti lėšas papildomo finansavimo stokojantiems projektams.</w:t>
            </w:r>
          </w:p>
        </w:tc>
      </w:tr>
    </w:tbl>
    <w:p w:rsidR="001B42EE" w:rsidRDefault="001B42EE" w:rsidP="001B5960">
      <w:pPr>
        <w:pStyle w:val="tekstas"/>
        <w:ind w:firstLine="0"/>
        <w:rPr>
          <w:rFonts w:ascii="Times New Roman" w:hAnsi="Times New Roman"/>
          <w:color w:val="595959" w:themeColor="text1" w:themeTint="A6"/>
          <w:lang w:eastAsia="lt-LT"/>
        </w:rPr>
      </w:pPr>
    </w:p>
    <w:p w:rsidR="00B53049" w:rsidRDefault="00B53049" w:rsidP="001B5960">
      <w:pPr>
        <w:pStyle w:val="tekstas"/>
        <w:ind w:firstLine="0"/>
        <w:rPr>
          <w:rFonts w:ascii="Times New Roman" w:hAnsi="Times New Roman"/>
          <w:color w:val="595959" w:themeColor="text1" w:themeTint="A6"/>
          <w:lang w:eastAsia="lt-LT"/>
        </w:rPr>
      </w:pPr>
    </w:p>
    <w:p w:rsidR="00B53049" w:rsidRDefault="00B53049" w:rsidP="001B5960">
      <w:pPr>
        <w:pStyle w:val="tekstas"/>
        <w:ind w:firstLine="0"/>
        <w:rPr>
          <w:rFonts w:ascii="Times New Roman" w:hAnsi="Times New Roman"/>
          <w:color w:val="595959" w:themeColor="text1" w:themeTint="A6"/>
          <w:lang w:eastAsia="lt-LT"/>
        </w:rPr>
      </w:pPr>
    </w:p>
    <w:p w:rsidR="00B53049" w:rsidRPr="000625C2" w:rsidRDefault="00B53049" w:rsidP="001B5960">
      <w:pPr>
        <w:pStyle w:val="tekstas"/>
        <w:ind w:firstLine="0"/>
        <w:rPr>
          <w:rFonts w:ascii="Times New Roman" w:hAnsi="Times New Roman"/>
          <w:color w:val="595959" w:themeColor="text1" w:themeTint="A6"/>
          <w:lang w:eastAsia="lt-LT"/>
        </w:rPr>
      </w:pPr>
    </w:p>
    <w:p w:rsidR="00866D60" w:rsidRPr="006658F1" w:rsidRDefault="00C86895" w:rsidP="00533966">
      <w:pPr>
        <w:pStyle w:val="Antrat1"/>
        <w:spacing w:before="0" w:after="0"/>
        <w:ind w:left="426"/>
        <w:rPr>
          <w:rFonts w:ascii="Times New Roman" w:hAnsi="Times New Roman" w:cs="Times New Roman"/>
          <w:sz w:val="24"/>
        </w:rPr>
      </w:pPr>
      <w:bookmarkStart w:id="9" w:name="_Toc508106024"/>
      <w:bookmarkStart w:id="10" w:name="_Toc86414509"/>
      <w:bookmarkEnd w:id="0"/>
      <w:bookmarkEnd w:id="6"/>
      <w:bookmarkEnd w:id="7"/>
      <w:r w:rsidRPr="006658F1">
        <w:rPr>
          <w:rFonts w:ascii="Times New Roman" w:hAnsi="Times New Roman" w:cs="Times New Roman"/>
          <w:sz w:val="24"/>
        </w:rPr>
        <w:t>Situacijos sektoriuose analizė</w:t>
      </w:r>
      <w:bookmarkEnd w:id="9"/>
      <w:r w:rsidR="00042FE6" w:rsidRPr="006658F1">
        <w:rPr>
          <w:rFonts w:ascii="Times New Roman" w:hAnsi="Times New Roman" w:cs="Times New Roman"/>
          <w:sz w:val="24"/>
        </w:rPr>
        <w:t xml:space="preserve"> ir siūlymai</w:t>
      </w:r>
      <w:bookmarkEnd w:id="10"/>
    </w:p>
    <w:p w:rsidR="00D9197D" w:rsidRPr="006658F1" w:rsidRDefault="00D9197D" w:rsidP="00367F59">
      <w:pPr>
        <w:pStyle w:val="tekstas"/>
        <w:ind w:firstLine="0"/>
        <w:rPr>
          <w:rFonts w:ascii="Times New Roman" w:hAnsi="Times New Roman"/>
          <w:color w:val="595959" w:themeColor="text1" w:themeTint="A6"/>
          <w:lang w:eastAsia="lt-LT"/>
        </w:rPr>
      </w:pPr>
    </w:p>
    <w:p w:rsidR="00780AF7" w:rsidRPr="006658F1" w:rsidRDefault="00BD665B" w:rsidP="00780AF7">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Š</w:t>
      </w:r>
      <w:r w:rsidR="00780AF7" w:rsidRPr="006658F1">
        <w:rPr>
          <w:rFonts w:ascii="Times New Roman" w:hAnsi="Times New Roman"/>
          <w:color w:val="595959" w:themeColor="text1" w:themeTint="A6"/>
          <w:lang w:eastAsia="lt-LT"/>
        </w:rPr>
        <w:t>ioje ataskaitos dalyje trumpai apžvelgiami kiekvieno sektoriaus reikšminiai pasiekimai, pagrindiniai iššūkiai ir esminiai spręstini klausimai.</w:t>
      </w:r>
    </w:p>
    <w:p w:rsidR="00780AF7" w:rsidRPr="006658F1" w:rsidRDefault="00780AF7" w:rsidP="00780AF7">
      <w:pPr>
        <w:pStyle w:val="tekstas"/>
        <w:rPr>
          <w:rFonts w:ascii="Times New Roman" w:hAnsi="Times New Roman"/>
          <w:color w:val="595959" w:themeColor="text1" w:themeTint="A6"/>
          <w:lang w:eastAsia="lt-LT"/>
        </w:rPr>
      </w:pPr>
    </w:p>
    <w:p w:rsidR="00CD7B8E" w:rsidRPr="006658F1" w:rsidRDefault="00CD7B8E" w:rsidP="00E24240">
      <w:pPr>
        <w:keepNext/>
        <w:keepLines/>
        <w:jc w:val="both"/>
        <w:outlineLvl w:val="1"/>
        <w:rPr>
          <w:rFonts w:eastAsiaTheme="majorEastAsia"/>
          <w:b/>
          <w:bCs/>
          <w:color w:val="595959" w:themeColor="text1" w:themeTint="A6"/>
          <w:szCs w:val="24"/>
          <w:lang w:eastAsia="lt-LT"/>
        </w:rPr>
      </w:pPr>
      <w:bookmarkStart w:id="11" w:name="_Toc86414510"/>
      <w:r w:rsidRPr="006658F1">
        <w:rPr>
          <w:rFonts w:eastAsiaTheme="majorEastAsia"/>
          <w:b/>
          <w:bCs/>
          <w:color w:val="595959" w:themeColor="text1" w:themeTint="A6"/>
          <w:szCs w:val="24"/>
          <w:lang w:eastAsia="lt-LT"/>
        </w:rPr>
        <w:lastRenderedPageBreak/>
        <w:t>1 prioritetas. Mokslinių tyrimų, eksperimentinės plėtros ir inovacijų skatinimas</w:t>
      </w:r>
      <w:bookmarkEnd w:id="11"/>
    </w:p>
    <w:p w:rsidR="00952BF9" w:rsidRPr="006658F1" w:rsidRDefault="00952BF9" w:rsidP="008D585D">
      <w:pPr>
        <w:jc w:val="both"/>
        <w:rPr>
          <w:color w:val="595959" w:themeColor="text1" w:themeTint="A6"/>
          <w:szCs w:val="24"/>
          <w:lang w:eastAsia="lt-LT"/>
        </w:rPr>
      </w:pPr>
    </w:p>
    <w:p w:rsidR="008D585D" w:rsidRPr="006658F1" w:rsidRDefault="00D14048" w:rsidP="008D585D">
      <w:pPr>
        <w:jc w:val="both"/>
        <w:rPr>
          <w:color w:val="595959" w:themeColor="text1" w:themeTint="A6"/>
          <w:szCs w:val="24"/>
          <w:lang w:eastAsia="lt-LT"/>
        </w:rPr>
      </w:pPr>
      <w:r>
        <w:rPr>
          <w:noProof/>
          <w:lang w:eastAsia="lt-LT"/>
        </w:rPr>
        <w:drawing>
          <wp:inline distT="0" distB="0" distL="0" distR="0" wp14:anchorId="6CA464A5" wp14:editId="79B5F38A">
            <wp:extent cx="6120130" cy="1145709"/>
            <wp:effectExtent l="0" t="0" r="13970" b="16510"/>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585D" w:rsidRPr="006658F1" w:rsidRDefault="008D585D" w:rsidP="008D585D">
      <w:pPr>
        <w:jc w:val="both"/>
        <w:rPr>
          <w:color w:val="595959" w:themeColor="text1" w:themeTint="A6"/>
          <w:szCs w:val="24"/>
          <w:lang w:eastAsia="lt-LT"/>
        </w:rPr>
      </w:pPr>
    </w:p>
    <w:p w:rsidR="008E08A4" w:rsidRPr="006658F1" w:rsidRDefault="00DE0DA1" w:rsidP="00DE0DA1">
      <w:pPr>
        <w:ind w:firstLine="426"/>
        <w:jc w:val="both"/>
        <w:rPr>
          <w:color w:val="595959" w:themeColor="text1" w:themeTint="A6"/>
          <w:szCs w:val="24"/>
          <w:lang w:eastAsia="lt-LT"/>
        </w:rPr>
      </w:pPr>
      <w:r w:rsidRPr="006658F1">
        <w:rPr>
          <w:color w:val="595959" w:themeColor="text1" w:themeTint="A6"/>
          <w:szCs w:val="24"/>
          <w:lang w:eastAsia="lt-LT"/>
        </w:rPr>
        <w:t>Švietimo, mokslo ir sporto ministerijos sritie</w:t>
      </w:r>
      <w:r w:rsidR="00E02A50" w:rsidRPr="006658F1">
        <w:rPr>
          <w:color w:val="595959" w:themeColor="text1" w:themeTint="A6"/>
          <w:szCs w:val="24"/>
          <w:lang w:eastAsia="lt-LT"/>
        </w:rPr>
        <w:t>s</w:t>
      </w:r>
      <w:r w:rsidRPr="006658F1">
        <w:rPr>
          <w:color w:val="595959" w:themeColor="text1" w:themeTint="A6"/>
          <w:szCs w:val="24"/>
          <w:lang w:eastAsia="lt-LT"/>
        </w:rPr>
        <w:t xml:space="preserve"> investicijų atsilikimą nuo Veiksmų programos vidurkio didžia dalimi nulemia nepakankamas investavimo tempas įgyvendinant infrastruktūros projektus, nes </w:t>
      </w:r>
      <w:r w:rsidR="003A3C70">
        <w:rPr>
          <w:color w:val="595959" w:themeColor="text1" w:themeTint="A6"/>
          <w:szCs w:val="24"/>
          <w:lang w:eastAsia="lt-LT"/>
        </w:rPr>
        <w:t>7</w:t>
      </w:r>
      <w:r w:rsidRPr="006658F1">
        <w:rPr>
          <w:color w:val="595959" w:themeColor="text1" w:themeTint="A6"/>
          <w:szCs w:val="24"/>
          <w:lang w:eastAsia="lt-LT"/>
        </w:rPr>
        <w:t xml:space="preserve"> projektai (suplanuota </w:t>
      </w:r>
      <w:r w:rsidR="003A3C70">
        <w:rPr>
          <w:color w:val="595959" w:themeColor="text1" w:themeTint="A6"/>
          <w:szCs w:val="24"/>
          <w:lang w:eastAsia="lt-LT"/>
        </w:rPr>
        <w:t>66,9</w:t>
      </w:r>
      <w:r w:rsidRPr="006658F1">
        <w:rPr>
          <w:color w:val="595959" w:themeColor="text1" w:themeTint="A6"/>
          <w:szCs w:val="24"/>
          <w:lang w:eastAsia="lt-LT"/>
        </w:rPr>
        <w:t xml:space="preserve"> mln. eurų investicijų) yra investavę mažiau kaip 10 proc. suplanuotų lėšų. Lėtas infrastruktūros projektų įgyvendinimas, ypač didelės vertės </w:t>
      </w:r>
      <w:r w:rsidR="008E08A4" w:rsidRPr="006658F1">
        <w:rPr>
          <w:color w:val="595959" w:themeColor="text1" w:themeTint="A6"/>
          <w:szCs w:val="24"/>
          <w:lang w:eastAsia="lt-LT"/>
        </w:rPr>
        <w:t>projekt</w:t>
      </w:r>
      <w:r w:rsidR="006E01E9">
        <w:rPr>
          <w:color w:val="595959" w:themeColor="text1" w:themeTint="A6"/>
          <w:szCs w:val="24"/>
          <w:lang w:eastAsia="lt-LT"/>
        </w:rPr>
        <w:t>ų</w:t>
      </w:r>
      <w:r w:rsidR="008E08A4" w:rsidRPr="006658F1">
        <w:rPr>
          <w:color w:val="595959" w:themeColor="text1" w:themeTint="A6"/>
          <w:szCs w:val="24"/>
          <w:lang w:eastAsia="lt-LT"/>
        </w:rPr>
        <w:t xml:space="preserve"> </w:t>
      </w:r>
      <w:r w:rsidRPr="006658F1">
        <w:rPr>
          <w:color w:val="595959" w:themeColor="text1" w:themeTint="A6"/>
          <w:szCs w:val="24"/>
          <w:lang w:eastAsia="lt-LT"/>
        </w:rPr>
        <w:t>,,Vilniaus universiteto Medicinos fakulteto Mokslo centro sukūrimas“ (33,16 mln. eurų)</w:t>
      </w:r>
      <w:r w:rsidR="00706BB7" w:rsidRPr="006658F1">
        <w:rPr>
          <w:color w:val="595959" w:themeColor="text1" w:themeTint="A6"/>
          <w:szCs w:val="24"/>
          <w:lang w:eastAsia="lt-LT"/>
        </w:rPr>
        <w:t>,</w:t>
      </w:r>
      <w:r w:rsidRPr="006658F1">
        <w:rPr>
          <w:color w:val="595959" w:themeColor="text1" w:themeTint="A6"/>
          <w:szCs w:val="24"/>
          <w:lang w:eastAsia="lt-LT"/>
        </w:rPr>
        <w:t xml:space="preserve"> </w:t>
      </w:r>
      <w:r w:rsidR="006E01E9">
        <w:rPr>
          <w:color w:val="595959" w:themeColor="text1" w:themeTint="A6"/>
          <w:szCs w:val="24"/>
          <w:lang w:eastAsia="lt-LT"/>
        </w:rPr>
        <w:t>,,</w:t>
      </w:r>
      <w:r w:rsidR="006E01E9" w:rsidRPr="006E01E9">
        <w:rPr>
          <w:color w:val="595959" w:themeColor="text1" w:themeTint="A6"/>
          <w:szCs w:val="24"/>
          <w:lang w:eastAsia="lt-LT"/>
        </w:rPr>
        <w:t>Mokslo ir inovacijų sklaidos centro Kaune sukūrimas</w:t>
      </w:r>
      <w:r w:rsidR="006E01E9">
        <w:rPr>
          <w:color w:val="595959" w:themeColor="text1" w:themeTint="A6"/>
          <w:szCs w:val="24"/>
          <w:lang w:eastAsia="lt-LT"/>
        </w:rPr>
        <w:t xml:space="preserve"> (Mokslo sala) (18,19 mln. eurų)</w:t>
      </w:r>
      <w:r w:rsidR="00253EDB">
        <w:rPr>
          <w:color w:val="595959" w:themeColor="text1" w:themeTint="A6"/>
          <w:szCs w:val="24"/>
          <w:lang w:eastAsia="lt-LT"/>
        </w:rPr>
        <w:t xml:space="preserve">, </w:t>
      </w:r>
      <w:r w:rsidR="006E01E9">
        <w:rPr>
          <w:color w:val="595959" w:themeColor="text1" w:themeTint="A6"/>
          <w:szCs w:val="24"/>
          <w:lang w:eastAsia="lt-LT"/>
        </w:rPr>
        <w:t>didina</w:t>
      </w:r>
      <w:r w:rsidR="00253EDB">
        <w:rPr>
          <w:color w:val="595959" w:themeColor="text1" w:themeTint="A6"/>
          <w:szCs w:val="24"/>
          <w:lang w:eastAsia="lt-LT"/>
        </w:rPr>
        <w:t xml:space="preserve"> rizik</w:t>
      </w:r>
      <w:r w:rsidR="006E01E9">
        <w:rPr>
          <w:color w:val="595959" w:themeColor="text1" w:themeTint="A6"/>
          <w:szCs w:val="24"/>
          <w:lang w:eastAsia="lt-LT"/>
        </w:rPr>
        <w:t>ą</w:t>
      </w:r>
      <w:r w:rsidR="00253EDB">
        <w:rPr>
          <w:color w:val="595959" w:themeColor="text1" w:themeTint="A6"/>
          <w:szCs w:val="24"/>
          <w:lang w:eastAsia="lt-LT"/>
        </w:rPr>
        <w:t xml:space="preserve"> </w:t>
      </w:r>
      <w:r w:rsidR="008E08A4" w:rsidRPr="006658F1">
        <w:rPr>
          <w:color w:val="595959" w:themeColor="text1" w:themeTint="A6"/>
          <w:szCs w:val="24"/>
          <w:lang w:eastAsia="lt-LT"/>
        </w:rPr>
        <w:t xml:space="preserve">neužbaigti </w:t>
      </w:r>
      <w:r w:rsidR="00417646" w:rsidRPr="006658F1">
        <w:rPr>
          <w:color w:val="595959" w:themeColor="text1" w:themeTint="A6"/>
          <w:szCs w:val="24"/>
          <w:lang w:eastAsia="lt-LT"/>
        </w:rPr>
        <w:t xml:space="preserve">MTEP infrastruktūros projektų </w:t>
      </w:r>
      <w:r w:rsidR="008E08A4" w:rsidRPr="006658F1">
        <w:rPr>
          <w:color w:val="595959" w:themeColor="text1" w:themeTint="A6"/>
          <w:szCs w:val="24"/>
          <w:lang w:eastAsia="lt-LT"/>
        </w:rPr>
        <w:t xml:space="preserve">laiku, t.y. iki 2023 m. spalio 1 d. </w:t>
      </w:r>
    </w:p>
    <w:p w:rsidR="008E08A4" w:rsidRPr="006658F1" w:rsidRDefault="008E08A4" w:rsidP="00DE0DA1">
      <w:pPr>
        <w:ind w:firstLine="426"/>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E08A4" w:rsidRPr="006658F1" w:rsidTr="00EC0F24">
        <w:tc>
          <w:tcPr>
            <w:tcW w:w="9638" w:type="dxa"/>
            <w:tcBorders>
              <w:top w:val="nil"/>
              <w:left w:val="nil"/>
              <w:bottom w:val="nil"/>
              <w:right w:val="nil"/>
            </w:tcBorders>
            <w:shd w:val="clear" w:color="auto" w:fill="D9D9D9" w:themeFill="background1" w:themeFillShade="D9"/>
          </w:tcPr>
          <w:p w:rsidR="008E08A4" w:rsidRPr="006658F1" w:rsidRDefault="008E08A4" w:rsidP="00EC0F24">
            <w:pPr>
              <w:jc w:val="both"/>
              <w:rPr>
                <w:b/>
                <w:color w:val="365F91" w:themeColor="accent1" w:themeShade="BF"/>
                <w:szCs w:val="24"/>
              </w:rPr>
            </w:pPr>
            <w:r w:rsidRPr="006658F1">
              <w:rPr>
                <w:b/>
                <w:color w:val="365F91" w:themeColor="accent1" w:themeShade="BF"/>
                <w:szCs w:val="24"/>
              </w:rPr>
              <w:t>Siūlymas Švietimo mokslo ir sporto</w:t>
            </w:r>
            <w:r w:rsidRPr="006658F1">
              <w:rPr>
                <w:szCs w:val="24"/>
              </w:rPr>
              <w:t xml:space="preserve"> </w:t>
            </w:r>
            <w:r w:rsidRPr="006658F1">
              <w:rPr>
                <w:b/>
                <w:color w:val="365F91" w:themeColor="accent1" w:themeShade="BF"/>
                <w:szCs w:val="24"/>
              </w:rPr>
              <w:t>ministerijai:</w:t>
            </w:r>
          </w:p>
          <w:p w:rsidR="008E08A4" w:rsidRPr="006658F1" w:rsidRDefault="00922679" w:rsidP="00EA5146">
            <w:pPr>
              <w:jc w:val="both"/>
              <w:rPr>
                <w:color w:val="365F91" w:themeColor="accent1" w:themeShade="BF"/>
                <w:szCs w:val="24"/>
              </w:rPr>
            </w:pPr>
            <w:r w:rsidRPr="006658F1">
              <w:rPr>
                <w:color w:val="365F91" w:themeColor="accent1" w:themeShade="BF"/>
                <w:szCs w:val="24"/>
              </w:rPr>
              <w:t xml:space="preserve">- iki 2021 m. </w:t>
            </w:r>
            <w:r w:rsidR="00EA5146">
              <w:rPr>
                <w:color w:val="365F91" w:themeColor="accent1" w:themeShade="BF"/>
                <w:szCs w:val="24"/>
              </w:rPr>
              <w:t>gruodžio</w:t>
            </w:r>
            <w:r w:rsidR="00C33AE0">
              <w:rPr>
                <w:color w:val="365F91" w:themeColor="accent1" w:themeShade="BF"/>
                <w:szCs w:val="24"/>
              </w:rPr>
              <w:t xml:space="preserve"> 15</w:t>
            </w:r>
            <w:r w:rsidRPr="006658F1">
              <w:rPr>
                <w:color w:val="365F91" w:themeColor="accent1" w:themeShade="BF"/>
                <w:szCs w:val="24"/>
              </w:rPr>
              <w:t xml:space="preserve"> d bendradarbiaujant su Centrine projektų valdymo agentūra pagal MTEP infrastruktūros projektų įgyvendinimo ir projektų finansinių srautų grafikus įvertinti </w:t>
            </w:r>
            <w:r w:rsidR="00995D8A" w:rsidRPr="006658F1">
              <w:rPr>
                <w:color w:val="365F91" w:themeColor="accent1" w:themeShade="BF"/>
                <w:szCs w:val="24"/>
              </w:rPr>
              <w:t xml:space="preserve">visų </w:t>
            </w:r>
            <w:r w:rsidRPr="006658F1">
              <w:rPr>
                <w:color w:val="365F91" w:themeColor="accent1" w:themeShade="BF"/>
                <w:szCs w:val="24"/>
              </w:rPr>
              <w:t>projektų įgyvendinimo rizikas ir</w:t>
            </w:r>
            <w:r w:rsidR="004B6F98">
              <w:rPr>
                <w:color w:val="365F91" w:themeColor="accent1" w:themeShade="BF"/>
                <w:szCs w:val="24"/>
              </w:rPr>
              <w:t>,</w:t>
            </w:r>
            <w:r w:rsidRPr="006658F1">
              <w:rPr>
                <w:color w:val="365F91" w:themeColor="accent1" w:themeShade="BF"/>
                <w:szCs w:val="24"/>
              </w:rPr>
              <w:t xml:space="preserve"> nustačius ženklų projektų vėlavimą</w:t>
            </w:r>
            <w:r w:rsidR="004B6F98">
              <w:rPr>
                <w:color w:val="365F91" w:themeColor="accent1" w:themeShade="BF"/>
                <w:szCs w:val="24"/>
              </w:rPr>
              <w:t xml:space="preserve"> </w:t>
            </w:r>
            <w:r w:rsidRPr="006658F1">
              <w:rPr>
                <w:color w:val="365F91" w:themeColor="accent1" w:themeShade="BF"/>
                <w:szCs w:val="24"/>
              </w:rPr>
              <w:t xml:space="preserve">pateikti pasiūlymus dėl </w:t>
            </w:r>
            <w:r w:rsidR="000606D5">
              <w:rPr>
                <w:color w:val="365F91" w:themeColor="accent1" w:themeShade="BF"/>
                <w:szCs w:val="24"/>
              </w:rPr>
              <w:t>lėšų nepanaudojimo rizikos valdymo.</w:t>
            </w:r>
          </w:p>
        </w:tc>
      </w:tr>
    </w:tbl>
    <w:p w:rsidR="00922679" w:rsidRPr="006658F1" w:rsidRDefault="00922679" w:rsidP="00DE0DA1">
      <w:pPr>
        <w:ind w:firstLine="426"/>
        <w:jc w:val="both"/>
        <w:rPr>
          <w:color w:val="595959" w:themeColor="text1" w:themeTint="A6"/>
          <w:szCs w:val="24"/>
          <w:lang w:eastAsia="lt-LT"/>
        </w:rPr>
      </w:pPr>
    </w:p>
    <w:p w:rsidR="00CE2856" w:rsidRDefault="00DE0DA1" w:rsidP="00DE0DA1">
      <w:pPr>
        <w:ind w:firstLine="426"/>
        <w:jc w:val="both"/>
        <w:rPr>
          <w:color w:val="595959" w:themeColor="text1" w:themeTint="A6"/>
          <w:szCs w:val="24"/>
          <w:lang w:eastAsia="lt-LT"/>
        </w:rPr>
      </w:pPr>
      <w:r w:rsidRPr="006658F1">
        <w:rPr>
          <w:color w:val="595959" w:themeColor="text1" w:themeTint="A6"/>
          <w:szCs w:val="24"/>
          <w:lang w:eastAsia="lt-LT"/>
        </w:rPr>
        <w:t>Ekonomikos ir inovacijų ministerijai priėmus sprendimą neskirti finansavimo projektams pagal priemonę „</w:t>
      </w:r>
      <w:proofErr w:type="spellStart"/>
      <w:r w:rsidRPr="006658F1">
        <w:rPr>
          <w:color w:val="595959" w:themeColor="text1" w:themeTint="A6"/>
          <w:szCs w:val="24"/>
          <w:lang w:eastAsia="lt-LT"/>
        </w:rPr>
        <w:t>Smart</w:t>
      </w:r>
      <w:proofErr w:type="spellEnd"/>
      <w:r w:rsidRPr="006658F1">
        <w:rPr>
          <w:color w:val="595959" w:themeColor="text1" w:themeTint="A6"/>
          <w:szCs w:val="24"/>
          <w:lang w:eastAsia="lt-LT"/>
        </w:rPr>
        <w:t xml:space="preserve"> FDI“ ir 20 mln. eurų perskirsčius priemonei „</w:t>
      </w:r>
      <w:proofErr w:type="spellStart"/>
      <w:r w:rsidRPr="006658F1">
        <w:rPr>
          <w:color w:val="595959" w:themeColor="text1" w:themeTint="A6"/>
          <w:szCs w:val="24"/>
          <w:lang w:eastAsia="lt-LT"/>
        </w:rPr>
        <w:t>SmartInvest</w:t>
      </w:r>
      <w:proofErr w:type="spellEnd"/>
      <w:r w:rsidRPr="006658F1">
        <w:rPr>
          <w:color w:val="595959" w:themeColor="text1" w:themeTint="A6"/>
          <w:szCs w:val="24"/>
          <w:lang w:eastAsia="lt-LT"/>
        </w:rPr>
        <w:t xml:space="preserve"> LT+“</w:t>
      </w:r>
      <w:r w:rsidR="00CE2856">
        <w:rPr>
          <w:color w:val="595959" w:themeColor="text1" w:themeTint="A6"/>
          <w:szCs w:val="24"/>
          <w:lang w:eastAsia="lt-LT"/>
        </w:rPr>
        <w:t xml:space="preserve"> ir iki 2021 m. spalio 27 d.</w:t>
      </w:r>
      <w:r w:rsidR="00AD3392">
        <w:rPr>
          <w:color w:val="595959" w:themeColor="text1" w:themeTint="A6"/>
          <w:szCs w:val="24"/>
          <w:lang w:eastAsia="lt-LT"/>
        </w:rPr>
        <w:t xml:space="preserve"> paskelbus kvietimą teikti paraiškas</w:t>
      </w:r>
      <w:r w:rsidR="00CE2856">
        <w:rPr>
          <w:color w:val="595959" w:themeColor="text1" w:themeTint="A6"/>
          <w:szCs w:val="24"/>
          <w:lang w:eastAsia="lt-LT"/>
        </w:rPr>
        <w:t xml:space="preserve"> bei įvertinus tai, kad projektų </w:t>
      </w:r>
      <w:r w:rsidR="007E7D7C">
        <w:rPr>
          <w:color w:val="595959" w:themeColor="text1" w:themeTint="A6"/>
          <w:szCs w:val="24"/>
          <w:lang w:eastAsia="lt-LT"/>
        </w:rPr>
        <w:t>sutarčių sudarymas</w:t>
      </w:r>
      <w:r w:rsidR="00CE2856">
        <w:rPr>
          <w:color w:val="595959" w:themeColor="text1" w:themeTint="A6"/>
          <w:szCs w:val="24"/>
          <w:lang w:eastAsia="lt-LT"/>
        </w:rPr>
        <w:t xml:space="preserve"> </w:t>
      </w:r>
      <w:r w:rsidR="006E76FF">
        <w:rPr>
          <w:color w:val="595959" w:themeColor="text1" w:themeTint="A6"/>
          <w:szCs w:val="24"/>
          <w:lang w:eastAsia="lt-LT"/>
        </w:rPr>
        <w:t>persik</w:t>
      </w:r>
      <w:r w:rsidR="00CE2856">
        <w:rPr>
          <w:color w:val="595959" w:themeColor="text1" w:themeTint="A6"/>
          <w:szCs w:val="24"/>
          <w:lang w:eastAsia="lt-LT"/>
        </w:rPr>
        <w:t>els</w:t>
      </w:r>
      <w:r w:rsidR="006E76FF">
        <w:rPr>
          <w:color w:val="595959" w:themeColor="text1" w:themeTint="A6"/>
          <w:szCs w:val="24"/>
          <w:lang w:eastAsia="lt-LT"/>
        </w:rPr>
        <w:t xml:space="preserve"> į 2022 m. I </w:t>
      </w:r>
      <w:proofErr w:type="spellStart"/>
      <w:r w:rsidR="006E76FF">
        <w:rPr>
          <w:color w:val="595959" w:themeColor="text1" w:themeTint="A6"/>
          <w:szCs w:val="24"/>
          <w:lang w:eastAsia="lt-LT"/>
        </w:rPr>
        <w:t>ketv</w:t>
      </w:r>
      <w:proofErr w:type="spellEnd"/>
      <w:r w:rsidR="006E76FF">
        <w:rPr>
          <w:color w:val="595959" w:themeColor="text1" w:themeTint="A6"/>
          <w:szCs w:val="24"/>
          <w:lang w:eastAsia="lt-LT"/>
        </w:rPr>
        <w:t>.</w:t>
      </w:r>
      <w:r w:rsidR="007E7D7C">
        <w:rPr>
          <w:color w:val="595959" w:themeColor="text1" w:themeTint="A6"/>
          <w:szCs w:val="24"/>
          <w:lang w:eastAsia="lt-LT"/>
        </w:rPr>
        <w:t xml:space="preserve">, atsiranda rizika dėl </w:t>
      </w:r>
      <w:r w:rsidR="00AE19A5">
        <w:rPr>
          <w:color w:val="595959" w:themeColor="text1" w:themeTint="A6"/>
          <w:szCs w:val="24"/>
          <w:lang w:eastAsia="lt-LT"/>
        </w:rPr>
        <w:t xml:space="preserve">dalies </w:t>
      </w:r>
      <w:r w:rsidR="00CE2856">
        <w:rPr>
          <w:color w:val="595959" w:themeColor="text1" w:themeTint="A6"/>
          <w:szCs w:val="24"/>
          <w:lang w:eastAsia="lt-LT"/>
        </w:rPr>
        <w:t xml:space="preserve">projektų </w:t>
      </w:r>
      <w:r w:rsidR="00AE19A5">
        <w:rPr>
          <w:color w:val="595959" w:themeColor="text1" w:themeTint="A6"/>
          <w:szCs w:val="24"/>
          <w:lang w:eastAsia="lt-LT"/>
        </w:rPr>
        <w:t>(</w:t>
      </w:r>
      <w:r w:rsidR="003D3119">
        <w:rPr>
          <w:color w:val="595959" w:themeColor="text1" w:themeTint="A6"/>
          <w:szCs w:val="24"/>
          <w:lang w:eastAsia="lt-LT"/>
        </w:rPr>
        <w:t xml:space="preserve">projektų </w:t>
      </w:r>
      <w:r w:rsidR="00AE19A5">
        <w:rPr>
          <w:color w:val="595959" w:themeColor="text1" w:themeTint="A6"/>
          <w:szCs w:val="24"/>
          <w:lang w:eastAsia="lt-LT"/>
        </w:rPr>
        <w:t>trukmė nuo 12 iki 18 mėn.)</w:t>
      </w:r>
      <w:r w:rsidR="00AE19A5" w:rsidRPr="00CE2856">
        <w:t xml:space="preserve"> </w:t>
      </w:r>
      <w:r w:rsidR="003D3119">
        <w:rPr>
          <w:color w:val="595959" w:themeColor="text1" w:themeTint="A6"/>
          <w:szCs w:val="24"/>
          <w:lang w:eastAsia="lt-LT"/>
        </w:rPr>
        <w:t>neįgyvendinimo</w:t>
      </w:r>
      <w:r w:rsidR="00CE2856" w:rsidRPr="00CE2856">
        <w:t xml:space="preserve"> </w:t>
      </w:r>
      <w:r w:rsidR="00CE2856" w:rsidRPr="00CE2856">
        <w:rPr>
          <w:color w:val="595959" w:themeColor="text1" w:themeTint="A6"/>
          <w:szCs w:val="24"/>
          <w:lang w:eastAsia="lt-LT"/>
        </w:rPr>
        <w:t>iki 2023 m. spalio 1 d.</w:t>
      </w:r>
      <w:r w:rsidR="00CE2856">
        <w:rPr>
          <w:color w:val="595959" w:themeColor="text1" w:themeTint="A6"/>
          <w:szCs w:val="24"/>
          <w:lang w:eastAsia="lt-LT"/>
        </w:rPr>
        <w:t xml:space="preserve"> Atsižvelgiant į tai </w:t>
      </w:r>
      <w:r w:rsidR="00DC29F0">
        <w:rPr>
          <w:color w:val="595959" w:themeColor="text1" w:themeTint="A6"/>
          <w:szCs w:val="24"/>
          <w:lang w:eastAsia="lt-LT"/>
        </w:rPr>
        <w:t>LVPA</w:t>
      </w:r>
      <w:r w:rsidR="00CE2856">
        <w:rPr>
          <w:color w:val="595959" w:themeColor="text1" w:themeTint="A6"/>
          <w:szCs w:val="24"/>
          <w:lang w:eastAsia="lt-LT"/>
        </w:rPr>
        <w:t xml:space="preserve"> turi</w:t>
      </w:r>
      <w:r w:rsidR="006E76FF">
        <w:rPr>
          <w:color w:val="595959" w:themeColor="text1" w:themeTint="A6"/>
          <w:szCs w:val="24"/>
          <w:lang w:eastAsia="lt-LT"/>
        </w:rPr>
        <w:t xml:space="preserve"> užtikrinti sklandų projektų</w:t>
      </w:r>
      <w:r w:rsidR="00A4379F">
        <w:rPr>
          <w:color w:val="595959" w:themeColor="text1" w:themeTint="A6"/>
          <w:szCs w:val="24"/>
          <w:lang w:eastAsia="lt-LT"/>
        </w:rPr>
        <w:t xml:space="preserve"> vertinimo procesą ir sudaryti </w:t>
      </w:r>
      <w:r w:rsidR="00A15B75">
        <w:rPr>
          <w:color w:val="595959" w:themeColor="text1" w:themeTint="A6"/>
          <w:szCs w:val="24"/>
          <w:lang w:eastAsia="lt-LT"/>
        </w:rPr>
        <w:t>projektų sutartis per kuo trumpesnį laiką</w:t>
      </w:r>
      <w:r w:rsidR="00CE2856">
        <w:rPr>
          <w:color w:val="595959" w:themeColor="text1" w:themeTint="A6"/>
          <w:szCs w:val="24"/>
          <w:lang w:eastAsia="lt-LT"/>
        </w:rPr>
        <w:t>.</w:t>
      </w:r>
    </w:p>
    <w:p w:rsidR="00DE0DA1" w:rsidRPr="006658F1" w:rsidRDefault="00DE0DA1" w:rsidP="00DE0DA1">
      <w:pPr>
        <w:ind w:firstLine="426"/>
        <w:jc w:val="both"/>
        <w:rPr>
          <w:color w:val="595959" w:themeColor="text1" w:themeTint="A6"/>
          <w:szCs w:val="24"/>
          <w:lang w:eastAsia="lt-LT"/>
        </w:rPr>
      </w:pPr>
    </w:p>
    <w:p w:rsidR="008E08A4" w:rsidRPr="006658F1" w:rsidRDefault="008E08A4" w:rsidP="008E08A4">
      <w:pPr>
        <w:framePr w:hSpace="180" w:wrap="around" w:vAnchor="text" w:hAnchor="margin" w:y="15"/>
        <w:jc w:val="both"/>
        <w:rPr>
          <w:color w:val="365F91" w:themeColor="accent1" w:themeShade="BF"/>
          <w:szCs w:val="24"/>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D585D" w:rsidRPr="006658F1" w:rsidTr="00EC0F24">
        <w:tc>
          <w:tcPr>
            <w:tcW w:w="9638" w:type="dxa"/>
            <w:tcBorders>
              <w:top w:val="nil"/>
              <w:left w:val="nil"/>
              <w:bottom w:val="nil"/>
              <w:right w:val="nil"/>
            </w:tcBorders>
            <w:shd w:val="clear" w:color="auto" w:fill="D9D9D9" w:themeFill="background1" w:themeFillShade="D9"/>
          </w:tcPr>
          <w:p w:rsidR="00922679" w:rsidRPr="006658F1" w:rsidRDefault="00922679" w:rsidP="00922679">
            <w:pPr>
              <w:pStyle w:val="tekstas"/>
              <w:ind w:firstLine="0"/>
              <w:rPr>
                <w:rFonts w:ascii="Times New Roman" w:hAnsi="Times New Roman"/>
                <w:b/>
                <w:color w:val="365F91" w:themeColor="accent1" w:themeShade="BF"/>
                <w:lang w:eastAsia="lt-LT"/>
              </w:rPr>
            </w:pPr>
            <w:r w:rsidRPr="006658F1">
              <w:rPr>
                <w:rFonts w:ascii="Times New Roman" w:hAnsi="Times New Roman"/>
                <w:b/>
                <w:color w:val="365F91" w:themeColor="accent1" w:themeShade="BF"/>
                <w:lang w:eastAsia="lt-LT"/>
              </w:rPr>
              <w:t>Siūlymas Ekonomikos ir inovacijų ministerijai:</w:t>
            </w:r>
          </w:p>
          <w:p w:rsidR="008E08A4" w:rsidRPr="006658F1" w:rsidRDefault="00CE2856" w:rsidP="00EA5146">
            <w:pPr>
              <w:pStyle w:val="tekstas"/>
              <w:ind w:firstLine="0"/>
              <w:rPr>
                <w:rFonts w:ascii="Times New Roman" w:hAnsi="Times New Roman"/>
                <w:color w:val="365F91" w:themeColor="accent1" w:themeShade="BF"/>
                <w:lang w:eastAsia="lt-LT"/>
              </w:rPr>
            </w:pPr>
            <w:r>
              <w:rPr>
                <w:rFonts w:ascii="Times New Roman" w:hAnsi="Times New Roman"/>
                <w:color w:val="365F91" w:themeColor="accent1" w:themeShade="BF"/>
                <w:lang w:eastAsia="lt-LT"/>
              </w:rPr>
              <w:t xml:space="preserve">- </w:t>
            </w:r>
            <w:r w:rsidR="008F097D">
              <w:rPr>
                <w:rFonts w:ascii="Times New Roman" w:hAnsi="Times New Roman"/>
                <w:color w:val="365F91" w:themeColor="accent1" w:themeShade="BF"/>
                <w:lang w:eastAsia="lt-LT"/>
              </w:rPr>
              <w:t xml:space="preserve">iki </w:t>
            </w:r>
            <w:r w:rsidR="00922679" w:rsidRPr="006658F1">
              <w:rPr>
                <w:rFonts w:ascii="Times New Roman" w:hAnsi="Times New Roman"/>
                <w:color w:val="365F91" w:themeColor="accent1" w:themeShade="BF"/>
                <w:lang w:eastAsia="lt-LT"/>
              </w:rPr>
              <w:t xml:space="preserve">2021 m. </w:t>
            </w:r>
            <w:r w:rsidR="00CF5420">
              <w:rPr>
                <w:rFonts w:ascii="Times New Roman" w:hAnsi="Times New Roman"/>
                <w:color w:val="365F91" w:themeColor="accent1" w:themeShade="BF"/>
                <w:lang w:eastAsia="lt-LT"/>
              </w:rPr>
              <w:t>gruodžio</w:t>
            </w:r>
            <w:r w:rsidR="00A6545A" w:rsidRPr="006658F1">
              <w:rPr>
                <w:rFonts w:ascii="Times New Roman" w:hAnsi="Times New Roman"/>
                <w:color w:val="365F91" w:themeColor="accent1" w:themeShade="BF"/>
                <w:lang w:eastAsia="lt-LT"/>
              </w:rPr>
              <w:t xml:space="preserve"> </w:t>
            </w:r>
            <w:r w:rsidR="00253EDB">
              <w:rPr>
                <w:rFonts w:ascii="Times New Roman" w:hAnsi="Times New Roman"/>
                <w:color w:val="365F91" w:themeColor="accent1" w:themeShade="BF"/>
                <w:lang w:eastAsia="lt-LT"/>
              </w:rPr>
              <w:t>mėn.</w:t>
            </w:r>
            <w:r w:rsidR="008F097D">
              <w:rPr>
                <w:rFonts w:ascii="Times New Roman" w:hAnsi="Times New Roman"/>
                <w:color w:val="365F91" w:themeColor="accent1" w:themeShade="BF"/>
                <w:lang w:eastAsia="lt-LT"/>
              </w:rPr>
              <w:t xml:space="preserve"> 17 d.</w:t>
            </w:r>
            <w:r w:rsidR="00922679" w:rsidRPr="006658F1">
              <w:rPr>
                <w:rFonts w:ascii="Times New Roman" w:hAnsi="Times New Roman"/>
                <w:color w:val="365F91" w:themeColor="accent1" w:themeShade="BF"/>
                <w:lang w:eastAsia="lt-LT"/>
              </w:rPr>
              <w:t xml:space="preserve"> </w:t>
            </w:r>
            <w:r w:rsidR="008F097D">
              <w:rPr>
                <w:rFonts w:ascii="Times New Roman" w:hAnsi="Times New Roman"/>
                <w:color w:val="365F91" w:themeColor="accent1" w:themeShade="BF"/>
                <w:lang w:eastAsia="lt-LT"/>
              </w:rPr>
              <w:t>pa</w:t>
            </w:r>
            <w:r w:rsidR="00922679" w:rsidRPr="006658F1">
              <w:rPr>
                <w:rFonts w:ascii="Times New Roman" w:hAnsi="Times New Roman"/>
                <w:color w:val="365F91" w:themeColor="accent1" w:themeShade="BF"/>
                <w:lang w:eastAsia="lt-LT"/>
              </w:rPr>
              <w:t xml:space="preserve">teikti </w:t>
            </w:r>
            <w:r w:rsidR="005C5A9B" w:rsidRPr="006658F1">
              <w:rPr>
                <w:rFonts w:ascii="Times New Roman" w:hAnsi="Times New Roman"/>
                <w:color w:val="365F91" w:themeColor="accent1" w:themeShade="BF"/>
                <w:lang w:eastAsia="lt-LT"/>
              </w:rPr>
              <w:t xml:space="preserve">Finansų ministerijai </w:t>
            </w:r>
            <w:r w:rsidR="00922679" w:rsidRPr="006658F1">
              <w:rPr>
                <w:rFonts w:ascii="Times New Roman" w:hAnsi="Times New Roman"/>
                <w:color w:val="365F91" w:themeColor="accent1" w:themeShade="BF"/>
                <w:lang w:eastAsia="lt-LT"/>
              </w:rPr>
              <w:t xml:space="preserve">informaciją apie priemonės </w:t>
            </w:r>
            <w:r w:rsidR="00253EDB" w:rsidRPr="00253EDB">
              <w:rPr>
                <w:rFonts w:ascii="Times New Roman" w:hAnsi="Times New Roman"/>
                <w:color w:val="365F91" w:themeColor="accent1" w:themeShade="BF"/>
                <w:lang w:eastAsia="lt-LT"/>
              </w:rPr>
              <w:t>„</w:t>
            </w:r>
            <w:proofErr w:type="spellStart"/>
            <w:r w:rsidR="00253EDB" w:rsidRPr="00253EDB">
              <w:rPr>
                <w:rFonts w:ascii="Times New Roman" w:hAnsi="Times New Roman"/>
                <w:color w:val="365F91" w:themeColor="accent1" w:themeShade="BF"/>
                <w:lang w:eastAsia="lt-LT"/>
              </w:rPr>
              <w:t>SmartInvest</w:t>
            </w:r>
            <w:proofErr w:type="spellEnd"/>
            <w:r w:rsidR="00253EDB" w:rsidRPr="00253EDB">
              <w:rPr>
                <w:rFonts w:ascii="Times New Roman" w:hAnsi="Times New Roman"/>
                <w:color w:val="365F91" w:themeColor="accent1" w:themeShade="BF"/>
                <w:lang w:eastAsia="lt-LT"/>
              </w:rPr>
              <w:t xml:space="preserve"> LT+“ </w:t>
            </w:r>
            <w:r w:rsidR="00995D8A" w:rsidRPr="006658F1">
              <w:rPr>
                <w:rFonts w:ascii="Times New Roman" w:hAnsi="Times New Roman"/>
                <w:color w:val="365F91" w:themeColor="accent1" w:themeShade="BF"/>
                <w:lang w:eastAsia="lt-LT"/>
              </w:rPr>
              <w:t>paraiškų vertinimo</w:t>
            </w:r>
            <w:r w:rsidR="00922679" w:rsidRPr="006658F1">
              <w:rPr>
                <w:rFonts w:ascii="Times New Roman" w:hAnsi="Times New Roman"/>
                <w:color w:val="365F91" w:themeColor="accent1" w:themeShade="BF"/>
                <w:lang w:eastAsia="lt-LT"/>
              </w:rPr>
              <w:t xml:space="preserve"> eigą</w:t>
            </w:r>
            <w:r w:rsidR="00067DEC" w:rsidRPr="006658F1">
              <w:rPr>
                <w:rFonts w:ascii="Times New Roman" w:hAnsi="Times New Roman"/>
                <w:color w:val="365F91" w:themeColor="accent1" w:themeShade="BF"/>
                <w:lang w:eastAsia="lt-LT"/>
              </w:rPr>
              <w:t>.</w:t>
            </w:r>
          </w:p>
        </w:tc>
      </w:tr>
    </w:tbl>
    <w:p w:rsidR="00AF6EBD" w:rsidRDefault="00AF6EBD" w:rsidP="001D73A7">
      <w:pPr>
        <w:pStyle w:val="tekstas"/>
        <w:ind w:firstLine="0"/>
        <w:rPr>
          <w:rFonts w:ascii="Times New Roman" w:hAnsi="Times New Roman"/>
          <w:color w:val="595959" w:themeColor="text1" w:themeTint="A6"/>
          <w:lang w:eastAsia="lt-LT"/>
        </w:rPr>
      </w:pPr>
    </w:p>
    <w:p w:rsidR="000305AE" w:rsidRPr="006658F1" w:rsidRDefault="000305AE" w:rsidP="0077692B">
      <w:pPr>
        <w:keepNext/>
        <w:keepLines/>
        <w:jc w:val="both"/>
        <w:outlineLvl w:val="1"/>
        <w:rPr>
          <w:rFonts w:eastAsiaTheme="majorEastAsia"/>
          <w:b/>
          <w:bCs/>
          <w:color w:val="595959" w:themeColor="text1" w:themeTint="A6"/>
          <w:szCs w:val="24"/>
          <w:lang w:eastAsia="lt-LT"/>
        </w:rPr>
      </w:pPr>
      <w:bookmarkStart w:id="12" w:name="_Toc512504078"/>
      <w:bookmarkStart w:id="13" w:name="_Toc10104953"/>
      <w:bookmarkStart w:id="14" w:name="_Toc86414511"/>
      <w:r w:rsidRPr="006658F1">
        <w:rPr>
          <w:rFonts w:eastAsiaTheme="majorEastAsia"/>
          <w:b/>
          <w:bCs/>
          <w:color w:val="595959" w:themeColor="text1" w:themeTint="A6"/>
          <w:szCs w:val="24"/>
          <w:lang w:eastAsia="lt-LT"/>
        </w:rPr>
        <w:t>2 prioritetas. Informacinės visuomenės skatinimas</w:t>
      </w:r>
      <w:bookmarkEnd w:id="12"/>
      <w:bookmarkEnd w:id="13"/>
      <w:bookmarkEnd w:id="14"/>
    </w:p>
    <w:p w:rsidR="00927906" w:rsidRPr="006658F1" w:rsidRDefault="00927906" w:rsidP="00927906">
      <w:pPr>
        <w:jc w:val="both"/>
        <w:rPr>
          <w:color w:val="595959" w:themeColor="text1" w:themeTint="A6"/>
          <w:szCs w:val="24"/>
          <w:lang w:eastAsia="lt-LT"/>
        </w:rPr>
      </w:pPr>
    </w:p>
    <w:p w:rsidR="008D585D" w:rsidRPr="006658F1" w:rsidRDefault="00D117B3" w:rsidP="00927906">
      <w:pPr>
        <w:jc w:val="both"/>
        <w:rPr>
          <w:color w:val="595959" w:themeColor="text1" w:themeTint="A6"/>
          <w:szCs w:val="24"/>
          <w:lang w:eastAsia="lt-LT"/>
        </w:rPr>
      </w:pPr>
      <w:r>
        <w:rPr>
          <w:noProof/>
          <w:lang w:eastAsia="lt-LT"/>
        </w:rPr>
        <w:drawing>
          <wp:inline distT="0" distB="0" distL="0" distR="0" wp14:anchorId="5002EF62" wp14:editId="1BA67552">
            <wp:extent cx="6120130" cy="681488"/>
            <wp:effectExtent l="0" t="0" r="13970" b="23495"/>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D585D" w:rsidRPr="006658F1" w:rsidRDefault="008D585D" w:rsidP="00927906">
      <w:pPr>
        <w:jc w:val="both"/>
        <w:rPr>
          <w:color w:val="595959" w:themeColor="text1" w:themeTint="A6"/>
          <w:szCs w:val="24"/>
          <w:lang w:eastAsia="lt-LT"/>
        </w:rPr>
      </w:pPr>
    </w:p>
    <w:p w:rsidR="00F16E3C" w:rsidRPr="00EC166F" w:rsidRDefault="009E7673" w:rsidP="00F16E3C">
      <w:pPr>
        <w:ind w:firstLine="426"/>
        <w:jc w:val="both"/>
        <w:rPr>
          <w:color w:val="595959" w:themeColor="text1" w:themeTint="A6"/>
          <w:szCs w:val="24"/>
          <w:lang w:eastAsia="lt-LT"/>
        </w:rPr>
      </w:pPr>
      <w:r w:rsidRPr="006658F1">
        <w:rPr>
          <w:color w:val="595959" w:themeColor="text1" w:themeTint="A6"/>
          <w:szCs w:val="24"/>
          <w:lang w:eastAsia="lt-LT"/>
        </w:rPr>
        <w:t>Šiame prioritete Susisiekimo ministerijai numatyt</w:t>
      </w:r>
      <w:r w:rsidR="00F16E3C">
        <w:rPr>
          <w:color w:val="595959" w:themeColor="text1" w:themeTint="A6"/>
          <w:szCs w:val="24"/>
          <w:lang w:eastAsia="lt-LT"/>
        </w:rPr>
        <w:t>as</w:t>
      </w:r>
      <w:r w:rsidRPr="006658F1">
        <w:rPr>
          <w:color w:val="595959" w:themeColor="text1" w:themeTint="A6"/>
          <w:szCs w:val="24"/>
          <w:lang w:eastAsia="lt-LT"/>
        </w:rPr>
        <w:t xml:space="preserve"> 4 mln. eurų ES lėšų </w:t>
      </w:r>
      <w:proofErr w:type="spellStart"/>
      <w:r w:rsidRPr="006658F1">
        <w:rPr>
          <w:color w:val="595959" w:themeColor="text1" w:themeTint="A6"/>
          <w:szCs w:val="24"/>
          <w:lang w:eastAsia="lt-LT"/>
        </w:rPr>
        <w:t>virškontraktavim</w:t>
      </w:r>
      <w:r w:rsidR="00F16E3C">
        <w:rPr>
          <w:color w:val="595959" w:themeColor="text1" w:themeTint="A6"/>
          <w:szCs w:val="24"/>
          <w:lang w:eastAsia="lt-LT"/>
        </w:rPr>
        <w:t>as</w:t>
      </w:r>
      <w:proofErr w:type="spellEnd"/>
      <w:r w:rsidRPr="006658F1">
        <w:rPr>
          <w:color w:val="595959" w:themeColor="text1" w:themeTint="A6"/>
          <w:szCs w:val="24"/>
          <w:lang w:eastAsia="lt-LT"/>
        </w:rPr>
        <w:t xml:space="preserve"> panaudot</w:t>
      </w:r>
      <w:r w:rsidR="00F16E3C">
        <w:rPr>
          <w:color w:val="595959" w:themeColor="text1" w:themeTint="A6"/>
          <w:szCs w:val="24"/>
          <w:lang w:eastAsia="lt-LT"/>
        </w:rPr>
        <w:t>as</w:t>
      </w:r>
      <w:r w:rsidRPr="006658F1">
        <w:rPr>
          <w:color w:val="595959" w:themeColor="text1" w:themeTint="A6"/>
          <w:szCs w:val="24"/>
          <w:lang w:eastAsia="lt-LT"/>
        </w:rPr>
        <w:t xml:space="preserve"> papildomam finansavimui (</w:t>
      </w:r>
      <w:r w:rsidR="00F16E3C">
        <w:rPr>
          <w:color w:val="595959" w:themeColor="text1" w:themeTint="A6"/>
          <w:szCs w:val="24"/>
          <w:lang w:eastAsia="lt-LT"/>
        </w:rPr>
        <w:t>spalio 1 d. pakeista projekto sutartis)</w:t>
      </w:r>
      <w:r w:rsidRPr="006658F1">
        <w:rPr>
          <w:color w:val="595959" w:themeColor="text1" w:themeTint="A6"/>
          <w:szCs w:val="24"/>
          <w:lang w:eastAsia="lt-LT"/>
        </w:rPr>
        <w:t xml:space="preserve"> perkeliamų į valstybinį duomenų centrą įstaigų duomenų migravimui </w:t>
      </w:r>
      <w:r w:rsidR="000606D5">
        <w:rPr>
          <w:color w:val="595959" w:themeColor="text1" w:themeTint="A6"/>
          <w:szCs w:val="24"/>
          <w:lang w:eastAsia="lt-LT"/>
        </w:rPr>
        <w:t>kuriant v</w:t>
      </w:r>
      <w:r w:rsidRPr="006658F1">
        <w:rPr>
          <w:color w:val="595959" w:themeColor="text1" w:themeTint="A6"/>
          <w:szCs w:val="24"/>
          <w:lang w:eastAsia="lt-LT"/>
        </w:rPr>
        <w:t xml:space="preserve">alstybės </w:t>
      </w:r>
      <w:proofErr w:type="spellStart"/>
      <w:r w:rsidRPr="006658F1">
        <w:rPr>
          <w:color w:val="595959" w:themeColor="text1" w:themeTint="A6"/>
          <w:szCs w:val="24"/>
          <w:lang w:eastAsia="lt-LT"/>
        </w:rPr>
        <w:t>debesijos</w:t>
      </w:r>
      <w:proofErr w:type="spellEnd"/>
      <w:r w:rsidRPr="006658F1">
        <w:rPr>
          <w:color w:val="595959" w:themeColor="text1" w:themeTint="A6"/>
          <w:szCs w:val="24"/>
          <w:lang w:eastAsia="lt-LT"/>
        </w:rPr>
        <w:t xml:space="preserve"> paslaugų teikimo infrastruktūr</w:t>
      </w:r>
      <w:r w:rsidR="000606D5">
        <w:rPr>
          <w:color w:val="595959" w:themeColor="text1" w:themeTint="A6"/>
          <w:szCs w:val="24"/>
          <w:lang w:eastAsia="lt-LT"/>
        </w:rPr>
        <w:t>ą</w:t>
      </w:r>
      <w:r w:rsidRPr="006658F1">
        <w:rPr>
          <w:color w:val="595959" w:themeColor="text1" w:themeTint="A6"/>
          <w:szCs w:val="24"/>
          <w:lang w:eastAsia="lt-LT"/>
        </w:rPr>
        <w:t>. Tam, kad valstybės institucijų IT infrastruktūra, paslaugos ir procesai būtų valdomi centralizuotai, efektyviai ir saugiai, tolimesnis pilnos apimties valstybės informacinių išteklių konsolidavimas, įskaitant reikalingų duomenų centrų patalpų nuomą, planuojamas finansuoti plano „Naujos kartos Lietuva“ reformos „Valstybės informacinių technologijų valdymo pertvarka“ lėšomis.</w:t>
      </w:r>
      <w:r w:rsidR="00EC166F">
        <w:rPr>
          <w:color w:val="595959" w:themeColor="text1" w:themeTint="A6"/>
          <w:szCs w:val="24"/>
          <w:lang w:eastAsia="lt-LT"/>
        </w:rPr>
        <w:t xml:space="preserve"> </w:t>
      </w:r>
      <w:r w:rsidR="00F16E3C" w:rsidRPr="00EC166F">
        <w:rPr>
          <w:color w:val="595959" w:themeColor="text1" w:themeTint="A6"/>
          <w:szCs w:val="24"/>
          <w:lang w:eastAsia="lt-LT"/>
        </w:rPr>
        <w:t xml:space="preserve">Per </w:t>
      </w:r>
      <w:r w:rsidR="008077B8" w:rsidRPr="00EC166F">
        <w:rPr>
          <w:color w:val="595959" w:themeColor="text1" w:themeTint="A6"/>
          <w:szCs w:val="24"/>
          <w:lang w:eastAsia="lt-LT"/>
        </w:rPr>
        <w:t xml:space="preserve">II ir III ketvirčius </w:t>
      </w:r>
      <w:r w:rsidR="00EA0B27" w:rsidRPr="00EC166F">
        <w:rPr>
          <w:color w:val="595959" w:themeColor="text1" w:themeTint="A6"/>
          <w:szCs w:val="24"/>
          <w:lang w:eastAsia="lt-LT"/>
        </w:rPr>
        <w:t xml:space="preserve">visiškai </w:t>
      </w:r>
      <w:r w:rsidR="008077B8" w:rsidRPr="00EC166F">
        <w:rPr>
          <w:color w:val="595959" w:themeColor="text1" w:themeTint="A6"/>
          <w:szCs w:val="24"/>
          <w:lang w:eastAsia="lt-LT"/>
        </w:rPr>
        <w:t>baigti įgyvendinti 5</w:t>
      </w:r>
      <w:r w:rsidR="00F16E3C" w:rsidRPr="00EC166F">
        <w:rPr>
          <w:color w:val="595959" w:themeColor="text1" w:themeTint="A6"/>
          <w:szCs w:val="24"/>
          <w:lang w:eastAsia="lt-LT"/>
        </w:rPr>
        <w:t xml:space="preserve"> </w:t>
      </w:r>
      <w:r w:rsidR="00282F22" w:rsidRPr="00EC166F">
        <w:rPr>
          <w:color w:val="595959" w:themeColor="text1" w:themeTint="A6"/>
          <w:szCs w:val="24"/>
          <w:lang w:eastAsia="lt-LT"/>
        </w:rPr>
        <w:t>iš 36 įgyvendinamų</w:t>
      </w:r>
      <w:r w:rsidR="00D117B3" w:rsidRPr="00EC166F">
        <w:rPr>
          <w:color w:val="595959" w:themeColor="text1" w:themeTint="A6"/>
          <w:szCs w:val="24"/>
          <w:lang w:eastAsia="lt-LT"/>
        </w:rPr>
        <w:t xml:space="preserve"> projektų</w:t>
      </w:r>
      <w:r w:rsidR="00EA0B27" w:rsidRPr="00EC166F">
        <w:rPr>
          <w:color w:val="595959" w:themeColor="text1" w:themeTint="A6"/>
          <w:szCs w:val="24"/>
          <w:lang w:eastAsia="lt-LT"/>
        </w:rPr>
        <w:t>.</w:t>
      </w:r>
      <w:r w:rsidR="00F16E3C" w:rsidRPr="00EC166F">
        <w:rPr>
          <w:color w:val="595959" w:themeColor="text1" w:themeTint="A6"/>
          <w:szCs w:val="24"/>
          <w:lang w:eastAsia="lt-LT"/>
        </w:rPr>
        <w:t xml:space="preserve"> </w:t>
      </w:r>
      <w:r w:rsidR="00EA0B27" w:rsidRPr="00EC166F">
        <w:rPr>
          <w:color w:val="595959" w:themeColor="text1" w:themeTint="A6"/>
          <w:szCs w:val="24"/>
          <w:lang w:eastAsia="lt-LT"/>
        </w:rPr>
        <w:t xml:space="preserve">Dar 8 projektai </w:t>
      </w:r>
      <w:r w:rsidR="008B0E2A" w:rsidRPr="00EC166F">
        <w:rPr>
          <w:color w:val="595959" w:themeColor="text1" w:themeTint="A6"/>
          <w:szCs w:val="24"/>
          <w:lang w:eastAsia="lt-LT"/>
        </w:rPr>
        <w:t>priartėjo</w:t>
      </w:r>
      <w:r w:rsidR="00EA0B27" w:rsidRPr="00EC166F">
        <w:rPr>
          <w:color w:val="595959" w:themeColor="text1" w:themeTint="A6"/>
          <w:szCs w:val="24"/>
          <w:lang w:eastAsia="lt-LT"/>
        </w:rPr>
        <w:t xml:space="preserve"> prie pabaigos, įvykdytos jų patikros vietoje ir laukiama neatitikimų ištaisymo.</w:t>
      </w:r>
    </w:p>
    <w:p w:rsidR="004A7DE0" w:rsidRDefault="004A7DE0" w:rsidP="003628C1">
      <w:pPr>
        <w:jc w:val="both"/>
        <w:rPr>
          <w:color w:val="595959" w:themeColor="text1" w:themeTint="A6"/>
          <w:szCs w:val="24"/>
          <w:lang w:eastAsia="lt-LT"/>
        </w:rPr>
      </w:pPr>
    </w:p>
    <w:p w:rsidR="000305AE" w:rsidRPr="006658F1" w:rsidRDefault="000305AE" w:rsidP="0077692B">
      <w:pPr>
        <w:keepNext/>
        <w:keepLines/>
        <w:jc w:val="both"/>
        <w:outlineLvl w:val="1"/>
        <w:rPr>
          <w:rFonts w:eastAsiaTheme="majorEastAsia"/>
          <w:b/>
          <w:bCs/>
          <w:color w:val="595959" w:themeColor="text1" w:themeTint="A6"/>
          <w:szCs w:val="24"/>
          <w:lang w:eastAsia="lt-LT"/>
        </w:rPr>
      </w:pPr>
      <w:bookmarkStart w:id="15" w:name="_Toc10104954"/>
      <w:bookmarkStart w:id="16" w:name="_Toc86414512"/>
      <w:r w:rsidRPr="006658F1">
        <w:rPr>
          <w:rFonts w:eastAsiaTheme="majorEastAsia"/>
          <w:b/>
          <w:bCs/>
          <w:color w:val="595959" w:themeColor="text1" w:themeTint="A6"/>
          <w:szCs w:val="24"/>
          <w:lang w:eastAsia="lt-LT"/>
        </w:rPr>
        <w:lastRenderedPageBreak/>
        <w:t>3 prioritetas. Smulkiojo ir vidutinio verslo konkurencingumo skatinimas</w:t>
      </w:r>
      <w:bookmarkEnd w:id="15"/>
      <w:bookmarkEnd w:id="16"/>
    </w:p>
    <w:p w:rsidR="00151342" w:rsidRPr="006658F1" w:rsidRDefault="00151342" w:rsidP="001D73A7">
      <w:pPr>
        <w:pStyle w:val="tekstas"/>
        <w:ind w:firstLine="0"/>
        <w:rPr>
          <w:rFonts w:ascii="Times New Roman" w:hAnsi="Times New Roman"/>
          <w:color w:val="595959" w:themeColor="text1" w:themeTint="A6"/>
          <w:lang w:eastAsia="lt-LT"/>
        </w:rPr>
      </w:pPr>
      <w:bookmarkStart w:id="17" w:name="_Toc10104955"/>
    </w:p>
    <w:p w:rsidR="008D585D" w:rsidRPr="006658F1" w:rsidRDefault="00D117B3" w:rsidP="001D73A7">
      <w:pPr>
        <w:pStyle w:val="tekstas"/>
        <w:ind w:firstLine="0"/>
        <w:rPr>
          <w:rFonts w:ascii="Times New Roman" w:hAnsi="Times New Roman"/>
          <w:color w:val="595959" w:themeColor="text1" w:themeTint="A6"/>
          <w:lang w:eastAsia="lt-LT"/>
        </w:rPr>
      </w:pPr>
      <w:r>
        <w:rPr>
          <w:noProof/>
          <w:lang w:eastAsia="lt-LT"/>
        </w:rPr>
        <w:drawing>
          <wp:inline distT="0" distB="0" distL="0" distR="0" wp14:anchorId="7AAA26C2" wp14:editId="6C9DCE52">
            <wp:extent cx="6120130" cy="672646"/>
            <wp:effectExtent l="0" t="0" r="13970" b="13335"/>
            <wp:docPr id="28" name="Diagra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585D" w:rsidRPr="006658F1" w:rsidRDefault="008D585D" w:rsidP="001D73A7">
      <w:pPr>
        <w:pStyle w:val="tekstas"/>
        <w:ind w:firstLine="0"/>
        <w:rPr>
          <w:rFonts w:ascii="Times New Roman" w:hAnsi="Times New Roman"/>
          <w:color w:val="595959" w:themeColor="text1" w:themeTint="A6"/>
          <w:lang w:eastAsia="lt-LT"/>
        </w:rPr>
      </w:pPr>
    </w:p>
    <w:p w:rsidR="00FB3BC8" w:rsidRDefault="00FB3BC8" w:rsidP="00FB3BC8">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Ekonomikos ir inovacijų </w:t>
      </w:r>
      <w:r w:rsidR="00820DAD" w:rsidRPr="006658F1">
        <w:rPr>
          <w:rFonts w:ascii="Times New Roman" w:hAnsi="Times New Roman"/>
          <w:color w:val="595959" w:themeColor="text1" w:themeTint="A6"/>
          <w:lang w:eastAsia="lt-LT"/>
        </w:rPr>
        <w:t>ministerij</w:t>
      </w:r>
      <w:r w:rsidR="00820DAD">
        <w:rPr>
          <w:rFonts w:ascii="Times New Roman" w:hAnsi="Times New Roman"/>
          <w:color w:val="595959" w:themeColor="text1" w:themeTint="A6"/>
          <w:lang w:eastAsia="lt-LT"/>
        </w:rPr>
        <w:t>a</w:t>
      </w:r>
      <w:r w:rsidR="00820DAD"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3 prioritet</w:t>
      </w:r>
      <w:r w:rsidR="00820DAD">
        <w:rPr>
          <w:rFonts w:ascii="Times New Roman" w:hAnsi="Times New Roman"/>
          <w:color w:val="595959" w:themeColor="text1" w:themeTint="A6"/>
          <w:lang w:eastAsia="lt-LT"/>
        </w:rPr>
        <w:t xml:space="preserve">e </w:t>
      </w:r>
      <w:r w:rsidR="00820DAD" w:rsidRPr="006658F1">
        <w:rPr>
          <w:rFonts w:ascii="Times New Roman" w:hAnsi="Times New Roman"/>
          <w:color w:val="595959" w:themeColor="text1" w:themeTint="A6"/>
          <w:lang w:eastAsia="lt-LT"/>
        </w:rPr>
        <w:t>mažiausi</w:t>
      </w:r>
      <w:r w:rsidR="00820DAD">
        <w:rPr>
          <w:rFonts w:ascii="Times New Roman" w:hAnsi="Times New Roman"/>
          <w:color w:val="595959" w:themeColor="text1" w:themeTint="A6"/>
          <w:lang w:eastAsia="lt-LT"/>
        </w:rPr>
        <w:t>ai</w:t>
      </w:r>
      <w:r w:rsidR="00820DAD" w:rsidRPr="006658F1">
        <w:rPr>
          <w:rFonts w:ascii="Times New Roman" w:hAnsi="Times New Roman"/>
          <w:color w:val="595959" w:themeColor="text1" w:themeTint="A6"/>
          <w:lang w:eastAsia="lt-LT"/>
        </w:rPr>
        <w:t xml:space="preserve"> invest</w:t>
      </w:r>
      <w:r w:rsidR="00820DAD">
        <w:rPr>
          <w:rFonts w:ascii="Times New Roman" w:hAnsi="Times New Roman"/>
          <w:color w:val="595959" w:themeColor="text1" w:themeTint="A6"/>
          <w:lang w:eastAsia="lt-LT"/>
        </w:rPr>
        <w:t xml:space="preserve">avo </w:t>
      </w:r>
      <w:r w:rsidR="001822D2" w:rsidRPr="006658F1">
        <w:rPr>
          <w:rFonts w:ascii="Times New Roman" w:hAnsi="Times New Roman"/>
          <w:color w:val="595959" w:themeColor="text1" w:themeTint="A6"/>
          <w:lang w:eastAsia="lt-LT"/>
        </w:rPr>
        <w:t>priemonėse</w:t>
      </w:r>
      <w:r w:rsidRPr="006658F1">
        <w:rPr>
          <w:rFonts w:ascii="Times New Roman" w:hAnsi="Times New Roman"/>
          <w:color w:val="595959" w:themeColor="text1" w:themeTint="A6"/>
          <w:lang w:eastAsia="lt-LT"/>
        </w:rPr>
        <w:t xml:space="preserve"> „Pramonės skaitmeniniams LT“</w:t>
      </w:r>
      <w:r w:rsidR="00307586">
        <w:rPr>
          <w:rFonts w:ascii="Times New Roman" w:hAnsi="Times New Roman"/>
          <w:color w:val="595959" w:themeColor="text1" w:themeTint="A6"/>
          <w:lang w:eastAsia="lt-LT"/>
        </w:rPr>
        <w:t xml:space="preserve"> (34 proc.)</w:t>
      </w:r>
      <w:r w:rsidRPr="006658F1">
        <w:rPr>
          <w:rFonts w:ascii="Times New Roman" w:hAnsi="Times New Roman"/>
          <w:color w:val="595959" w:themeColor="text1" w:themeTint="A6"/>
          <w:lang w:eastAsia="lt-LT"/>
        </w:rPr>
        <w:t xml:space="preserve"> bei „</w:t>
      </w:r>
      <w:proofErr w:type="spellStart"/>
      <w:r w:rsidRPr="006658F1">
        <w:rPr>
          <w:rFonts w:ascii="Times New Roman" w:hAnsi="Times New Roman"/>
          <w:color w:val="595959" w:themeColor="text1" w:themeTint="A6"/>
          <w:lang w:eastAsia="lt-LT"/>
        </w:rPr>
        <w:t>Eco</w:t>
      </w:r>
      <w:proofErr w:type="spellEnd"/>
      <w:r w:rsidRPr="006658F1">
        <w:rPr>
          <w:rFonts w:ascii="Times New Roman" w:hAnsi="Times New Roman"/>
          <w:color w:val="595959" w:themeColor="text1" w:themeTint="A6"/>
          <w:lang w:eastAsia="lt-LT"/>
        </w:rPr>
        <w:t xml:space="preserve"> inovacijos LT+”</w:t>
      </w:r>
      <w:r w:rsidR="00307586">
        <w:rPr>
          <w:rFonts w:ascii="Times New Roman" w:hAnsi="Times New Roman"/>
          <w:color w:val="595959" w:themeColor="text1" w:themeTint="A6"/>
          <w:lang w:eastAsia="lt-LT"/>
        </w:rPr>
        <w:t xml:space="preserve"> (35 proc.)</w:t>
      </w:r>
      <w:r w:rsidRPr="006658F1">
        <w:rPr>
          <w:rFonts w:ascii="Times New Roman" w:hAnsi="Times New Roman"/>
          <w:color w:val="595959" w:themeColor="text1" w:themeTint="A6"/>
          <w:lang w:eastAsia="lt-LT"/>
        </w:rPr>
        <w:t xml:space="preserve">. </w:t>
      </w:r>
      <w:r w:rsidR="00D40674">
        <w:rPr>
          <w:rFonts w:ascii="Times New Roman" w:hAnsi="Times New Roman"/>
          <w:color w:val="595959" w:themeColor="text1" w:themeTint="A6"/>
          <w:lang w:eastAsia="lt-LT"/>
        </w:rPr>
        <w:t>P</w:t>
      </w:r>
      <w:r w:rsidR="00D40674" w:rsidRPr="006658F1">
        <w:rPr>
          <w:rFonts w:ascii="Times New Roman" w:hAnsi="Times New Roman"/>
          <w:color w:val="595959" w:themeColor="text1" w:themeTint="A6"/>
          <w:lang w:eastAsia="lt-LT"/>
        </w:rPr>
        <w:t>riemonės „Pramonės skaitmeniniams LT“</w:t>
      </w:r>
      <w:r w:rsidR="00D40674">
        <w:rPr>
          <w:rFonts w:ascii="Times New Roman" w:hAnsi="Times New Roman"/>
          <w:color w:val="595959" w:themeColor="text1" w:themeTint="A6"/>
          <w:lang w:eastAsia="lt-LT"/>
        </w:rPr>
        <w:t xml:space="preserve"> pirmosios projektų sutartys sudarytos tik 2019 m. ir </w:t>
      </w:r>
      <w:r w:rsidR="004E44A3">
        <w:rPr>
          <w:rFonts w:ascii="Times New Roman" w:hAnsi="Times New Roman"/>
          <w:color w:val="595959" w:themeColor="text1" w:themeTint="A6"/>
          <w:lang w:eastAsia="lt-LT"/>
        </w:rPr>
        <w:t xml:space="preserve">projektų </w:t>
      </w:r>
      <w:r w:rsidR="00D40674">
        <w:rPr>
          <w:rFonts w:ascii="Times New Roman" w:hAnsi="Times New Roman"/>
          <w:color w:val="595959" w:themeColor="text1" w:themeTint="A6"/>
          <w:lang w:eastAsia="lt-LT"/>
        </w:rPr>
        <w:t>įgyvendinimo terminai dar nėra pasibaigę, be to,</w:t>
      </w:r>
      <w:r w:rsidR="00D40674" w:rsidRPr="006658F1">
        <w:rPr>
          <w:rFonts w:ascii="Times New Roman" w:hAnsi="Times New Roman"/>
          <w:color w:val="595959" w:themeColor="text1" w:themeTint="A6"/>
          <w:lang w:eastAsia="lt-LT"/>
        </w:rPr>
        <w:t xml:space="preserve"> daugiau nei pusė </w:t>
      </w:r>
      <w:r w:rsidR="004E44A3">
        <w:rPr>
          <w:rFonts w:ascii="Times New Roman" w:hAnsi="Times New Roman"/>
          <w:color w:val="595959" w:themeColor="text1" w:themeTint="A6"/>
          <w:lang w:eastAsia="lt-LT"/>
        </w:rPr>
        <w:t xml:space="preserve">priemonės projektų </w:t>
      </w:r>
      <w:r w:rsidR="00D40674" w:rsidRPr="006658F1">
        <w:rPr>
          <w:rFonts w:ascii="Times New Roman" w:hAnsi="Times New Roman"/>
          <w:color w:val="595959" w:themeColor="text1" w:themeTint="A6"/>
          <w:lang w:eastAsia="lt-LT"/>
        </w:rPr>
        <w:t xml:space="preserve">sutarčių sudaryta tik 2020 m. </w:t>
      </w:r>
      <w:r w:rsidR="004E44A3">
        <w:rPr>
          <w:rFonts w:ascii="Times New Roman" w:hAnsi="Times New Roman"/>
          <w:color w:val="595959" w:themeColor="text1" w:themeTint="A6"/>
          <w:lang w:eastAsia="lt-LT"/>
        </w:rPr>
        <w:t xml:space="preserve">IV </w:t>
      </w:r>
      <w:proofErr w:type="spellStart"/>
      <w:r w:rsidR="004E44A3">
        <w:rPr>
          <w:rFonts w:ascii="Times New Roman" w:hAnsi="Times New Roman"/>
          <w:color w:val="595959" w:themeColor="text1" w:themeTint="A6"/>
          <w:lang w:eastAsia="lt-LT"/>
        </w:rPr>
        <w:t>ketv</w:t>
      </w:r>
      <w:proofErr w:type="spellEnd"/>
      <w:r w:rsidR="00D40674">
        <w:rPr>
          <w:rFonts w:ascii="Times New Roman" w:hAnsi="Times New Roman"/>
          <w:color w:val="595959" w:themeColor="text1" w:themeTint="A6"/>
          <w:lang w:eastAsia="lt-LT"/>
        </w:rPr>
        <w:t xml:space="preserve">.–2021 m. </w:t>
      </w:r>
      <w:r w:rsidR="004E44A3">
        <w:rPr>
          <w:rFonts w:ascii="Times New Roman" w:hAnsi="Times New Roman"/>
          <w:color w:val="595959" w:themeColor="text1" w:themeTint="A6"/>
          <w:lang w:eastAsia="lt-LT"/>
        </w:rPr>
        <w:t xml:space="preserve">I </w:t>
      </w:r>
      <w:proofErr w:type="spellStart"/>
      <w:r w:rsidR="004E44A3">
        <w:rPr>
          <w:rFonts w:ascii="Times New Roman" w:hAnsi="Times New Roman"/>
          <w:color w:val="595959" w:themeColor="text1" w:themeTint="A6"/>
          <w:lang w:eastAsia="lt-LT"/>
        </w:rPr>
        <w:t>ketv</w:t>
      </w:r>
      <w:proofErr w:type="spellEnd"/>
      <w:r w:rsidR="004E44A3">
        <w:rPr>
          <w:rFonts w:ascii="Times New Roman" w:hAnsi="Times New Roman"/>
          <w:color w:val="595959" w:themeColor="text1" w:themeTint="A6"/>
          <w:lang w:eastAsia="lt-LT"/>
        </w:rPr>
        <w:t>.</w:t>
      </w:r>
      <w:r w:rsidR="00A96478">
        <w:rPr>
          <w:rFonts w:ascii="Times New Roman" w:hAnsi="Times New Roman"/>
          <w:color w:val="595959" w:themeColor="text1" w:themeTint="A6"/>
          <w:lang w:eastAsia="lt-LT"/>
        </w:rPr>
        <w:t>, todėl rekomendacijos dėl priemonės spartinimo nėra teikiamos.</w:t>
      </w:r>
      <w:r w:rsidR="004E44A3">
        <w:rPr>
          <w:rFonts w:ascii="Times New Roman" w:hAnsi="Times New Roman"/>
          <w:color w:val="595959" w:themeColor="text1" w:themeTint="A6"/>
          <w:lang w:eastAsia="lt-LT"/>
        </w:rPr>
        <w:t xml:space="preserve"> P</w:t>
      </w:r>
      <w:r w:rsidRPr="006658F1">
        <w:rPr>
          <w:rFonts w:ascii="Times New Roman" w:hAnsi="Times New Roman"/>
          <w:color w:val="595959" w:themeColor="text1" w:themeTint="A6"/>
          <w:lang w:eastAsia="lt-LT"/>
        </w:rPr>
        <w:t>riemonės „</w:t>
      </w:r>
      <w:proofErr w:type="spellStart"/>
      <w:r w:rsidRPr="006658F1">
        <w:rPr>
          <w:rFonts w:ascii="Times New Roman" w:hAnsi="Times New Roman"/>
          <w:color w:val="595959" w:themeColor="text1" w:themeTint="A6"/>
          <w:lang w:eastAsia="lt-LT"/>
        </w:rPr>
        <w:t>Eco</w:t>
      </w:r>
      <w:proofErr w:type="spellEnd"/>
      <w:r w:rsidRPr="006658F1">
        <w:rPr>
          <w:rFonts w:ascii="Times New Roman" w:hAnsi="Times New Roman"/>
          <w:color w:val="595959" w:themeColor="text1" w:themeTint="A6"/>
          <w:lang w:eastAsia="lt-LT"/>
        </w:rPr>
        <w:t xml:space="preserve"> inovacijos LT+” </w:t>
      </w:r>
      <w:r w:rsidR="00F96F7E">
        <w:rPr>
          <w:rFonts w:ascii="Times New Roman" w:hAnsi="Times New Roman"/>
          <w:color w:val="595959" w:themeColor="text1" w:themeTint="A6"/>
          <w:lang w:eastAsia="lt-LT"/>
        </w:rPr>
        <w:t>II kvietimo</w:t>
      </w:r>
      <w:r w:rsidR="00EF61DD">
        <w:rPr>
          <w:rFonts w:ascii="Times New Roman" w:hAnsi="Times New Roman"/>
          <w:color w:val="595959" w:themeColor="text1" w:themeTint="A6"/>
          <w:lang w:eastAsia="lt-LT"/>
        </w:rPr>
        <w:t xml:space="preserve"> projektų sutartys sudarytos 2018 m.</w:t>
      </w:r>
      <w:r w:rsidR="00F96F7E">
        <w:rPr>
          <w:rFonts w:ascii="Times New Roman" w:hAnsi="Times New Roman"/>
          <w:color w:val="595959" w:themeColor="text1" w:themeTint="A6"/>
          <w:lang w:eastAsia="lt-LT"/>
        </w:rPr>
        <w:t xml:space="preserve"> vid.</w:t>
      </w:r>
      <w:r w:rsidR="00EF61DD">
        <w:rPr>
          <w:rFonts w:ascii="Times New Roman" w:hAnsi="Times New Roman"/>
          <w:color w:val="595959" w:themeColor="text1" w:themeTint="A6"/>
          <w:lang w:eastAsia="lt-LT"/>
        </w:rPr>
        <w:t xml:space="preserve"> </w:t>
      </w:r>
      <w:r w:rsidR="003A2615">
        <w:rPr>
          <w:rFonts w:ascii="Times New Roman" w:hAnsi="Times New Roman"/>
          <w:color w:val="595959" w:themeColor="text1" w:themeTint="A6"/>
          <w:lang w:eastAsia="lt-LT"/>
        </w:rPr>
        <w:t xml:space="preserve">ir </w:t>
      </w:r>
      <w:r w:rsidR="00755EA5">
        <w:rPr>
          <w:rFonts w:ascii="Times New Roman" w:hAnsi="Times New Roman"/>
          <w:color w:val="595959" w:themeColor="text1" w:themeTint="A6"/>
          <w:lang w:eastAsia="lt-LT"/>
        </w:rPr>
        <w:t xml:space="preserve">nedidelė </w:t>
      </w:r>
      <w:r w:rsidR="003A2615">
        <w:rPr>
          <w:rFonts w:ascii="Times New Roman" w:hAnsi="Times New Roman"/>
          <w:color w:val="595959" w:themeColor="text1" w:themeTint="A6"/>
          <w:lang w:eastAsia="lt-LT"/>
        </w:rPr>
        <w:t>dalis jų dar nėra įgyvendinta</w:t>
      </w:r>
      <w:r w:rsidR="00AE3285">
        <w:rPr>
          <w:rFonts w:ascii="Times New Roman" w:hAnsi="Times New Roman"/>
          <w:color w:val="595959" w:themeColor="text1" w:themeTint="A6"/>
          <w:lang w:eastAsia="lt-LT"/>
        </w:rPr>
        <w:t xml:space="preserve"> (</w:t>
      </w:r>
      <w:r w:rsidR="00F96F7E">
        <w:rPr>
          <w:rFonts w:ascii="Times New Roman" w:hAnsi="Times New Roman"/>
          <w:color w:val="595959" w:themeColor="text1" w:themeTint="A6"/>
          <w:lang w:eastAsia="lt-LT"/>
        </w:rPr>
        <w:t xml:space="preserve">kai </w:t>
      </w:r>
      <w:r w:rsidR="00AE3285">
        <w:rPr>
          <w:rFonts w:ascii="Times New Roman" w:hAnsi="Times New Roman"/>
          <w:color w:val="595959" w:themeColor="text1" w:themeTint="A6"/>
          <w:lang w:eastAsia="lt-LT"/>
        </w:rPr>
        <w:t>pagal projektų finansavimo sąlyg</w:t>
      </w:r>
      <w:r w:rsidR="00D852E8">
        <w:rPr>
          <w:rFonts w:ascii="Times New Roman" w:hAnsi="Times New Roman"/>
          <w:color w:val="595959" w:themeColor="text1" w:themeTint="A6"/>
          <w:lang w:eastAsia="lt-LT"/>
        </w:rPr>
        <w:t>as</w:t>
      </w:r>
      <w:r w:rsidR="00515AEB">
        <w:rPr>
          <w:rFonts w:ascii="Times New Roman" w:hAnsi="Times New Roman"/>
        </w:rPr>
        <w:t xml:space="preserve"> </w:t>
      </w:r>
      <w:r w:rsidR="00F96F7E" w:rsidRPr="00DA4016">
        <w:rPr>
          <w:rFonts w:ascii="Times New Roman" w:hAnsi="Times New Roman"/>
        </w:rPr>
        <w:t xml:space="preserve">projektų įgyvendinimo trukmė turi būti ne ilgesnė kaip </w:t>
      </w:r>
      <w:r w:rsidR="00F96F7E">
        <w:rPr>
          <w:rFonts w:ascii="Times New Roman" w:hAnsi="Times New Roman"/>
        </w:rPr>
        <w:t>36</w:t>
      </w:r>
      <w:r w:rsidR="00F96F7E" w:rsidRPr="00DA4016">
        <w:rPr>
          <w:rFonts w:ascii="Times New Roman" w:hAnsi="Times New Roman"/>
        </w:rPr>
        <w:t> mėnesiai</w:t>
      </w:r>
      <w:r w:rsidR="00820DAD">
        <w:rPr>
          <w:rFonts w:ascii="Times New Roman" w:hAnsi="Times New Roman"/>
        </w:rPr>
        <w:t>, su galimybe pagrįstais atvejais projektus pratęsti)</w:t>
      </w:r>
      <w:r w:rsidR="003A2615">
        <w:rPr>
          <w:rFonts w:ascii="Times New Roman" w:hAnsi="Times New Roman"/>
          <w:color w:val="595959" w:themeColor="text1" w:themeTint="A6"/>
          <w:lang w:eastAsia="lt-LT"/>
        </w:rPr>
        <w:t xml:space="preserve">, </w:t>
      </w:r>
      <w:r w:rsidR="00426DCD">
        <w:rPr>
          <w:rFonts w:ascii="Times New Roman" w:hAnsi="Times New Roman"/>
          <w:color w:val="595959" w:themeColor="text1" w:themeTint="A6"/>
          <w:lang w:eastAsia="lt-LT"/>
        </w:rPr>
        <w:t xml:space="preserve">nors </w:t>
      </w:r>
      <w:r w:rsidR="0042749F">
        <w:rPr>
          <w:rFonts w:ascii="Times New Roman" w:hAnsi="Times New Roman"/>
          <w:color w:val="595959" w:themeColor="text1" w:themeTint="A6"/>
          <w:lang w:eastAsia="lt-LT"/>
        </w:rPr>
        <w:t>paminėtina, kad</w:t>
      </w:r>
      <w:r w:rsidR="003A2615">
        <w:rPr>
          <w:rFonts w:ascii="Times New Roman" w:hAnsi="Times New Roman"/>
          <w:color w:val="595959" w:themeColor="text1" w:themeTint="A6"/>
          <w:lang w:eastAsia="lt-LT"/>
        </w:rPr>
        <w:t xml:space="preserve"> </w:t>
      </w:r>
      <w:r w:rsidR="004E44A3">
        <w:rPr>
          <w:rFonts w:ascii="Times New Roman" w:hAnsi="Times New Roman"/>
          <w:color w:val="595959" w:themeColor="text1" w:themeTint="A6"/>
          <w:lang w:eastAsia="lt-LT"/>
        </w:rPr>
        <w:t>apie 30</w:t>
      </w:r>
      <w:r w:rsidRPr="006658F1">
        <w:rPr>
          <w:rFonts w:ascii="Times New Roman" w:hAnsi="Times New Roman"/>
          <w:color w:val="595959" w:themeColor="text1" w:themeTint="A6"/>
          <w:lang w:eastAsia="lt-LT"/>
        </w:rPr>
        <w:t xml:space="preserve"> proc. sutarčių sudaryta </w:t>
      </w:r>
      <w:r w:rsidR="00755EA5">
        <w:rPr>
          <w:rFonts w:ascii="Times New Roman" w:hAnsi="Times New Roman"/>
          <w:color w:val="595959" w:themeColor="text1" w:themeTint="A6"/>
          <w:lang w:eastAsia="lt-LT"/>
        </w:rPr>
        <w:t xml:space="preserve">tik </w:t>
      </w:r>
      <w:r w:rsidRPr="006658F1">
        <w:rPr>
          <w:rFonts w:ascii="Times New Roman" w:hAnsi="Times New Roman"/>
          <w:color w:val="595959" w:themeColor="text1" w:themeTint="A6"/>
          <w:lang w:eastAsia="lt-LT"/>
        </w:rPr>
        <w:t xml:space="preserve">2020 m. IV </w:t>
      </w:r>
      <w:proofErr w:type="spellStart"/>
      <w:r w:rsidRPr="006658F1">
        <w:rPr>
          <w:rFonts w:ascii="Times New Roman" w:hAnsi="Times New Roman"/>
          <w:color w:val="595959" w:themeColor="text1" w:themeTint="A6"/>
          <w:lang w:eastAsia="lt-LT"/>
        </w:rPr>
        <w:t>ketv</w:t>
      </w:r>
      <w:proofErr w:type="spellEnd"/>
      <w:r w:rsidRPr="006658F1">
        <w:rPr>
          <w:rFonts w:ascii="Times New Roman" w:hAnsi="Times New Roman"/>
          <w:color w:val="595959" w:themeColor="text1" w:themeTint="A6"/>
          <w:lang w:eastAsia="lt-LT"/>
        </w:rPr>
        <w:t>.</w:t>
      </w:r>
      <w:r w:rsidR="004E44A3">
        <w:rPr>
          <w:rFonts w:ascii="Times New Roman" w:hAnsi="Times New Roman"/>
          <w:color w:val="595959" w:themeColor="text1" w:themeTint="A6"/>
          <w:lang w:eastAsia="lt-LT"/>
        </w:rPr>
        <w:t xml:space="preserve">–2021 m. I </w:t>
      </w:r>
      <w:proofErr w:type="spellStart"/>
      <w:r w:rsidR="004E44A3">
        <w:rPr>
          <w:rFonts w:ascii="Times New Roman" w:hAnsi="Times New Roman"/>
          <w:color w:val="595959" w:themeColor="text1" w:themeTint="A6"/>
          <w:lang w:eastAsia="lt-LT"/>
        </w:rPr>
        <w:t>ketv</w:t>
      </w:r>
      <w:proofErr w:type="spellEnd"/>
      <w:r w:rsidR="004E44A3">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w:t>
      </w:r>
      <w:r w:rsidR="00356AC0">
        <w:rPr>
          <w:rFonts w:ascii="Times New Roman" w:hAnsi="Times New Roman"/>
          <w:color w:val="595959" w:themeColor="text1" w:themeTint="A6"/>
          <w:lang w:eastAsia="lt-LT"/>
        </w:rPr>
        <w:t>Be to,</w:t>
      </w:r>
      <w:r w:rsidRPr="006658F1">
        <w:rPr>
          <w:rFonts w:ascii="Times New Roman" w:hAnsi="Times New Roman"/>
          <w:color w:val="595959" w:themeColor="text1" w:themeTint="A6"/>
          <w:lang w:eastAsia="lt-LT"/>
        </w:rPr>
        <w:t xml:space="preserve"> lėtesnius išmokėjimus </w:t>
      </w:r>
      <w:r w:rsidR="00FC301C">
        <w:rPr>
          <w:rFonts w:ascii="Times New Roman" w:hAnsi="Times New Roman"/>
          <w:color w:val="595959" w:themeColor="text1" w:themeTint="A6"/>
          <w:lang w:eastAsia="lt-LT"/>
        </w:rPr>
        <w:t xml:space="preserve">šiose </w:t>
      </w:r>
      <w:r w:rsidRPr="006658F1">
        <w:rPr>
          <w:rFonts w:ascii="Times New Roman" w:hAnsi="Times New Roman"/>
          <w:color w:val="595959" w:themeColor="text1" w:themeTint="A6"/>
          <w:lang w:eastAsia="lt-LT"/>
        </w:rPr>
        <w:t>priemonėse sąlygoja projektų specifika –</w:t>
      </w:r>
      <w:r w:rsidR="00FC301C">
        <w:rPr>
          <w:rFonts w:ascii="Times New Roman" w:hAnsi="Times New Roman"/>
          <w:color w:val="595959" w:themeColor="text1" w:themeTint="A6"/>
          <w:lang w:eastAsia="lt-LT"/>
        </w:rPr>
        <w:t xml:space="preserve">įprastai </w:t>
      </w:r>
      <w:r w:rsidR="000606D5">
        <w:rPr>
          <w:rFonts w:ascii="Times New Roman" w:hAnsi="Times New Roman"/>
          <w:color w:val="595959" w:themeColor="text1" w:themeTint="A6"/>
          <w:lang w:eastAsia="lt-LT"/>
        </w:rPr>
        <w:t xml:space="preserve">tokiuose verslo projektuose </w:t>
      </w:r>
      <w:r w:rsidRPr="006658F1">
        <w:rPr>
          <w:rFonts w:ascii="Times New Roman" w:hAnsi="Times New Roman"/>
          <w:color w:val="595959" w:themeColor="text1" w:themeTint="A6"/>
          <w:lang w:eastAsia="lt-LT"/>
        </w:rPr>
        <w:t xml:space="preserve">išlaidos patiriamos antraisiais projekto įgyvendinimo metais, kadangi prieš tai vykdomi pirkimai, gaminama specifinė projekto vykdytojų poreikiams pritaikyta gamybinė įranga. </w:t>
      </w:r>
      <w:r w:rsidR="00515AEB">
        <w:rPr>
          <w:rFonts w:ascii="Times New Roman" w:hAnsi="Times New Roman"/>
          <w:color w:val="595959" w:themeColor="text1" w:themeTint="A6"/>
          <w:lang w:eastAsia="lt-LT"/>
        </w:rPr>
        <w:t xml:space="preserve">Investavimo spartai </w:t>
      </w:r>
      <w:r w:rsidR="00A96478">
        <w:rPr>
          <w:rFonts w:ascii="Times New Roman" w:hAnsi="Times New Roman"/>
          <w:color w:val="595959" w:themeColor="text1" w:themeTint="A6"/>
          <w:lang w:eastAsia="lt-LT"/>
        </w:rPr>
        <w:t>į</w:t>
      </w:r>
      <w:r w:rsidRPr="006658F1">
        <w:rPr>
          <w:rFonts w:ascii="Times New Roman" w:hAnsi="Times New Roman"/>
          <w:color w:val="595959" w:themeColor="text1" w:themeTint="A6"/>
          <w:lang w:eastAsia="lt-LT"/>
        </w:rPr>
        <w:t xml:space="preserve">takos turėjo </w:t>
      </w:r>
      <w:r w:rsidR="00356AC0">
        <w:rPr>
          <w:rFonts w:ascii="Times New Roman" w:hAnsi="Times New Roman"/>
          <w:color w:val="595959" w:themeColor="text1" w:themeTint="A6"/>
          <w:lang w:eastAsia="lt-LT"/>
        </w:rPr>
        <w:t xml:space="preserve">ir </w:t>
      </w:r>
      <w:r w:rsidRPr="006658F1">
        <w:rPr>
          <w:rFonts w:ascii="Times New Roman" w:hAnsi="Times New Roman"/>
          <w:color w:val="595959" w:themeColor="text1" w:themeTint="A6"/>
          <w:lang w:eastAsia="lt-LT"/>
        </w:rPr>
        <w:t xml:space="preserve">su </w:t>
      </w:r>
      <w:proofErr w:type="spellStart"/>
      <w:r w:rsidRPr="006658F1">
        <w:rPr>
          <w:rFonts w:ascii="Times New Roman" w:hAnsi="Times New Roman"/>
          <w:color w:val="595959" w:themeColor="text1" w:themeTint="A6"/>
          <w:lang w:eastAsia="lt-LT"/>
        </w:rPr>
        <w:t>Covid-19</w:t>
      </w:r>
      <w:proofErr w:type="spellEnd"/>
      <w:r w:rsidRPr="006658F1">
        <w:rPr>
          <w:rFonts w:ascii="Times New Roman" w:hAnsi="Times New Roman"/>
          <w:color w:val="595959" w:themeColor="text1" w:themeTint="A6"/>
          <w:lang w:eastAsia="lt-LT"/>
        </w:rPr>
        <w:t xml:space="preserve"> situacija susijusios aplinkybės, įrangos transportavimo ir diegimo Lietuvoje problemos, kai įranga įsigyjama iš užsienio šalių gamintojų.</w:t>
      </w:r>
    </w:p>
    <w:p w:rsidR="00166924" w:rsidRPr="006658F1" w:rsidRDefault="00FC301C" w:rsidP="00FB3BC8">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Pažymėtina, kad nors</w:t>
      </w:r>
      <w:r w:rsidR="00166924">
        <w:rPr>
          <w:rFonts w:ascii="Times New Roman" w:hAnsi="Times New Roman"/>
          <w:color w:val="595959" w:themeColor="text1" w:themeTint="A6"/>
          <w:lang w:eastAsia="lt-LT"/>
        </w:rPr>
        <w:t xml:space="preserve"> priemonės „</w:t>
      </w:r>
      <w:proofErr w:type="spellStart"/>
      <w:r w:rsidR="00166924">
        <w:rPr>
          <w:rFonts w:ascii="Times New Roman" w:hAnsi="Times New Roman"/>
          <w:color w:val="595959" w:themeColor="text1" w:themeTint="A6"/>
          <w:lang w:eastAsia="lt-LT"/>
        </w:rPr>
        <w:t>Expo</w:t>
      </w:r>
      <w:proofErr w:type="spellEnd"/>
      <w:r w:rsidR="00166924">
        <w:rPr>
          <w:rFonts w:ascii="Times New Roman" w:hAnsi="Times New Roman"/>
          <w:color w:val="595959" w:themeColor="text1" w:themeTint="A6"/>
          <w:lang w:eastAsia="lt-LT"/>
        </w:rPr>
        <w:t xml:space="preserve"> sertifikatas LT“ išmokėjimai nuo sudarytų sutarčių </w:t>
      </w:r>
      <w:r w:rsidR="00D64021">
        <w:rPr>
          <w:rFonts w:ascii="Times New Roman" w:hAnsi="Times New Roman"/>
          <w:color w:val="595959" w:themeColor="text1" w:themeTint="A6"/>
          <w:lang w:eastAsia="lt-LT"/>
        </w:rPr>
        <w:t xml:space="preserve">vertės </w:t>
      </w:r>
      <w:r w:rsidR="00166924">
        <w:rPr>
          <w:rFonts w:ascii="Times New Roman" w:hAnsi="Times New Roman"/>
          <w:color w:val="595959" w:themeColor="text1" w:themeTint="A6"/>
          <w:lang w:eastAsia="lt-LT"/>
        </w:rPr>
        <w:t>siekia 63 proc., tačiau dar yra lik</w:t>
      </w:r>
      <w:r w:rsidR="00D64021">
        <w:rPr>
          <w:rFonts w:ascii="Times New Roman" w:hAnsi="Times New Roman"/>
          <w:color w:val="595959" w:themeColor="text1" w:themeTint="A6"/>
          <w:lang w:eastAsia="lt-LT"/>
        </w:rPr>
        <w:t>usi</w:t>
      </w:r>
      <w:r w:rsidR="00166924">
        <w:rPr>
          <w:rFonts w:ascii="Times New Roman" w:hAnsi="Times New Roman"/>
          <w:color w:val="595959" w:themeColor="text1" w:themeTint="A6"/>
          <w:lang w:eastAsia="lt-LT"/>
        </w:rPr>
        <w:t xml:space="preserve"> neįgyvendinta dalis projektų, kurių </w:t>
      </w:r>
      <w:r w:rsidR="00B004E9">
        <w:rPr>
          <w:rFonts w:ascii="Times New Roman" w:hAnsi="Times New Roman"/>
          <w:color w:val="595959" w:themeColor="text1" w:themeTint="A6"/>
          <w:lang w:eastAsia="lt-LT"/>
        </w:rPr>
        <w:t xml:space="preserve">sutartys </w:t>
      </w:r>
      <w:r w:rsidR="00166924">
        <w:rPr>
          <w:rFonts w:ascii="Times New Roman" w:hAnsi="Times New Roman"/>
          <w:color w:val="595959" w:themeColor="text1" w:themeTint="A6"/>
          <w:lang w:eastAsia="lt-LT"/>
        </w:rPr>
        <w:t>sudarytos 2018 m. viduryje</w:t>
      </w:r>
      <w:r w:rsidR="00B004E9">
        <w:rPr>
          <w:rFonts w:ascii="Times New Roman" w:hAnsi="Times New Roman"/>
          <w:color w:val="595959" w:themeColor="text1" w:themeTint="A6"/>
          <w:lang w:eastAsia="lt-LT"/>
        </w:rPr>
        <w:t>–</w:t>
      </w:r>
      <w:r w:rsidR="00166924">
        <w:rPr>
          <w:rFonts w:ascii="Times New Roman" w:hAnsi="Times New Roman"/>
          <w:color w:val="595959" w:themeColor="text1" w:themeTint="A6"/>
          <w:lang w:eastAsia="lt-LT"/>
        </w:rPr>
        <w:t>pabaigoje</w:t>
      </w:r>
      <w:r w:rsidR="00515AEB">
        <w:rPr>
          <w:rFonts w:ascii="Times New Roman" w:hAnsi="Times New Roman"/>
          <w:color w:val="595959" w:themeColor="text1" w:themeTint="A6"/>
          <w:lang w:eastAsia="lt-LT"/>
        </w:rPr>
        <w:t xml:space="preserve"> (</w:t>
      </w:r>
      <w:r w:rsidR="000606D5">
        <w:rPr>
          <w:rFonts w:ascii="Times New Roman" w:hAnsi="Times New Roman"/>
          <w:color w:val="595959" w:themeColor="text1" w:themeTint="A6"/>
          <w:lang w:eastAsia="lt-LT"/>
        </w:rPr>
        <w:t xml:space="preserve">šių </w:t>
      </w:r>
      <w:r w:rsidR="00515AEB" w:rsidRPr="00DA4016">
        <w:rPr>
          <w:rFonts w:ascii="Times New Roman" w:hAnsi="Times New Roman"/>
        </w:rPr>
        <w:t xml:space="preserve">projektų įgyvendinimo trukmė turi būti ne ilgesnė kaip </w:t>
      </w:r>
      <w:r w:rsidR="00515AEB">
        <w:rPr>
          <w:rFonts w:ascii="Times New Roman" w:hAnsi="Times New Roman"/>
        </w:rPr>
        <w:t>24</w:t>
      </w:r>
      <w:r w:rsidR="00515AEB" w:rsidRPr="00DA4016">
        <w:rPr>
          <w:rFonts w:ascii="Times New Roman" w:hAnsi="Times New Roman"/>
        </w:rPr>
        <w:t> mėnesiai</w:t>
      </w:r>
      <w:r w:rsidR="00515AEB">
        <w:rPr>
          <w:rFonts w:ascii="Times New Roman" w:hAnsi="Times New Roman"/>
        </w:rPr>
        <w:t>, su galimybe pagrįstais atvejais projektus pratęsti)</w:t>
      </w:r>
      <w:r w:rsidR="00B004E9">
        <w:rPr>
          <w:rFonts w:ascii="Times New Roman" w:hAnsi="Times New Roman"/>
          <w:color w:val="595959" w:themeColor="text1" w:themeTint="A6"/>
          <w:lang w:eastAsia="lt-LT"/>
        </w:rPr>
        <w:t>.</w:t>
      </w:r>
      <w:r w:rsidR="00EF61DD">
        <w:rPr>
          <w:rFonts w:ascii="Times New Roman" w:hAnsi="Times New Roman"/>
          <w:color w:val="595959" w:themeColor="text1" w:themeTint="A6"/>
          <w:lang w:eastAsia="lt-LT"/>
        </w:rPr>
        <w:t xml:space="preserve"> </w:t>
      </w:r>
      <w:r w:rsidR="00873F1E">
        <w:rPr>
          <w:rFonts w:ascii="Times New Roman" w:hAnsi="Times New Roman"/>
          <w:color w:val="595959" w:themeColor="text1" w:themeTint="A6"/>
          <w:lang w:eastAsia="lt-LT"/>
        </w:rPr>
        <w:t>Priemonės v</w:t>
      </w:r>
      <w:r w:rsidR="00B004E9">
        <w:rPr>
          <w:rFonts w:ascii="Times New Roman" w:hAnsi="Times New Roman"/>
          <w:color w:val="595959" w:themeColor="text1" w:themeTint="A6"/>
          <w:lang w:eastAsia="lt-LT"/>
        </w:rPr>
        <w:t>eiklų</w:t>
      </w:r>
      <w:r w:rsidR="00B65931">
        <w:rPr>
          <w:rFonts w:ascii="Times New Roman" w:hAnsi="Times New Roman"/>
          <w:color w:val="595959" w:themeColor="text1" w:themeTint="A6"/>
          <w:lang w:eastAsia="lt-LT"/>
        </w:rPr>
        <w:t xml:space="preserve"> (įmonių planuojamų eksportuoti produktų sertifikavimo</w:t>
      </w:r>
      <w:r w:rsidR="00356AC0">
        <w:rPr>
          <w:rFonts w:ascii="Times New Roman" w:hAnsi="Times New Roman"/>
          <w:color w:val="595959" w:themeColor="text1" w:themeTint="A6"/>
          <w:lang w:eastAsia="lt-LT"/>
        </w:rPr>
        <w:t xml:space="preserve"> veiklų</w:t>
      </w:r>
      <w:r w:rsidR="00B65931">
        <w:rPr>
          <w:rFonts w:ascii="Times New Roman" w:hAnsi="Times New Roman"/>
          <w:color w:val="595959" w:themeColor="text1" w:themeTint="A6"/>
          <w:lang w:eastAsia="lt-LT"/>
        </w:rPr>
        <w:t>)</w:t>
      </w:r>
      <w:r w:rsidR="00873F1E">
        <w:rPr>
          <w:rFonts w:ascii="Times New Roman" w:hAnsi="Times New Roman"/>
          <w:color w:val="595959" w:themeColor="text1" w:themeTint="A6"/>
          <w:lang w:eastAsia="lt-LT"/>
        </w:rPr>
        <w:t xml:space="preserve"> įgyvendinimo sulėtėjimą lėmė </w:t>
      </w:r>
      <w:proofErr w:type="spellStart"/>
      <w:r w:rsidR="00873F1E" w:rsidRPr="006658F1">
        <w:rPr>
          <w:rFonts w:ascii="Times New Roman" w:hAnsi="Times New Roman"/>
          <w:color w:val="595959" w:themeColor="text1" w:themeTint="A6"/>
          <w:lang w:eastAsia="lt-LT"/>
        </w:rPr>
        <w:t>Covid-19</w:t>
      </w:r>
      <w:proofErr w:type="spellEnd"/>
      <w:r w:rsidR="00922F6D">
        <w:rPr>
          <w:rFonts w:ascii="Times New Roman" w:hAnsi="Times New Roman"/>
          <w:color w:val="595959" w:themeColor="text1" w:themeTint="A6"/>
          <w:lang w:eastAsia="lt-LT"/>
        </w:rPr>
        <w:t xml:space="preserve"> situacija</w:t>
      </w:r>
      <w:r w:rsidR="00B65931">
        <w:rPr>
          <w:rFonts w:ascii="Times New Roman" w:hAnsi="Times New Roman"/>
          <w:color w:val="595959" w:themeColor="text1" w:themeTint="A6"/>
          <w:lang w:eastAsia="lt-LT"/>
        </w:rPr>
        <w:t xml:space="preserve"> ir su ja susiję apribojimai</w:t>
      </w:r>
      <w:r w:rsidR="00D852E8">
        <w:rPr>
          <w:rFonts w:ascii="Times New Roman" w:hAnsi="Times New Roman"/>
          <w:color w:val="595959" w:themeColor="text1" w:themeTint="A6"/>
          <w:lang w:eastAsia="lt-LT"/>
        </w:rPr>
        <w:t>:</w:t>
      </w:r>
      <w:r w:rsidR="00FE3E4A">
        <w:rPr>
          <w:rFonts w:ascii="Times New Roman" w:hAnsi="Times New Roman"/>
          <w:color w:val="595959" w:themeColor="text1" w:themeTint="A6"/>
          <w:lang w:eastAsia="lt-LT"/>
        </w:rPr>
        <w:t xml:space="preserve"> </w:t>
      </w:r>
      <w:r w:rsidR="00FE3E4A" w:rsidRPr="00FE3E4A">
        <w:rPr>
          <w:rFonts w:ascii="Times New Roman" w:hAnsi="Times New Roman"/>
          <w:color w:val="595959" w:themeColor="text1" w:themeTint="A6"/>
          <w:lang w:eastAsia="lt-LT"/>
        </w:rPr>
        <w:t>sertifikuojančios institucijos yra kitose šalyse</w:t>
      </w:r>
      <w:r w:rsidR="00FE3E4A">
        <w:rPr>
          <w:rFonts w:ascii="Times New Roman" w:hAnsi="Times New Roman"/>
          <w:color w:val="595959" w:themeColor="text1" w:themeTint="A6"/>
          <w:lang w:eastAsia="lt-LT"/>
        </w:rPr>
        <w:t>,</w:t>
      </w:r>
      <w:r w:rsidR="00FE3E4A" w:rsidRPr="00FE3E4A">
        <w:rPr>
          <w:rFonts w:ascii="Times New Roman" w:hAnsi="Times New Roman"/>
          <w:color w:val="595959" w:themeColor="text1" w:themeTint="A6"/>
          <w:lang w:eastAsia="lt-LT"/>
        </w:rPr>
        <w:t xml:space="preserve"> todėl </w:t>
      </w:r>
      <w:r w:rsidR="00FE3E4A">
        <w:rPr>
          <w:rFonts w:ascii="Times New Roman" w:hAnsi="Times New Roman"/>
          <w:color w:val="595959" w:themeColor="text1" w:themeTint="A6"/>
          <w:lang w:eastAsia="lt-LT"/>
        </w:rPr>
        <w:t>jų specialistams buvo sudėtinga</w:t>
      </w:r>
      <w:r w:rsidR="00FE3E4A" w:rsidRPr="00FE3E4A">
        <w:rPr>
          <w:rFonts w:ascii="Times New Roman" w:hAnsi="Times New Roman"/>
          <w:color w:val="595959" w:themeColor="text1" w:themeTint="A6"/>
          <w:lang w:eastAsia="lt-LT"/>
        </w:rPr>
        <w:t xml:space="preserve"> atvykti į Lietuvą arba įmonių atstovams išvyksti į kitas šalis </w:t>
      </w:r>
      <w:r w:rsidR="00FE3E4A">
        <w:rPr>
          <w:rFonts w:ascii="Times New Roman" w:hAnsi="Times New Roman"/>
          <w:color w:val="595959" w:themeColor="text1" w:themeTint="A6"/>
          <w:lang w:eastAsia="lt-LT"/>
        </w:rPr>
        <w:t>ir (</w:t>
      </w:r>
      <w:r w:rsidR="00FE3E4A" w:rsidRPr="00FE3E4A">
        <w:rPr>
          <w:rFonts w:ascii="Times New Roman" w:hAnsi="Times New Roman"/>
          <w:color w:val="595959" w:themeColor="text1" w:themeTint="A6"/>
          <w:lang w:eastAsia="lt-LT"/>
        </w:rPr>
        <w:t>ar</w:t>
      </w:r>
      <w:r w:rsidR="00FE3E4A">
        <w:rPr>
          <w:rFonts w:ascii="Times New Roman" w:hAnsi="Times New Roman"/>
          <w:color w:val="595959" w:themeColor="text1" w:themeTint="A6"/>
          <w:lang w:eastAsia="lt-LT"/>
        </w:rPr>
        <w:t>)</w:t>
      </w:r>
      <w:r w:rsidR="00FE3E4A" w:rsidRPr="00FE3E4A">
        <w:rPr>
          <w:rFonts w:ascii="Times New Roman" w:hAnsi="Times New Roman"/>
          <w:color w:val="595959" w:themeColor="text1" w:themeTint="A6"/>
          <w:lang w:eastAsia="lt-LT"/>
        </w:rPr>
        <w:t xml:space="preserve"> pristatyti savo </w:t>
      </w:r>
      <w:r w:rsidR="009D7C31" w:rsidRPr="00FE3E4A">
        <w:rPr>
          <w:rFonts w:ascii="Times New Roman" w:hAnsi="Times New Roman"/>
          <w:color w:val="595959" w:themeColor="text1" w:themeTint="A6"/>
          <w:lang w:eastAsia="lt-LT"/>
        </w:rPr>
        <w:t>sertifikuojamus</w:t>
      </w:r>
      <w:r w:rsidR="00FE3E4A" w:rsidRPr="00FE3E4A">
        <w:rPr>
          <w:rFonts w:ascii="Times New Roman" w:hAnsi="Times New Roman"/>
          <w:color w:val="595959" w:themeColor="text1" w:themeTint="A6"/>
          <w:lang w:eastAsia="lt-LT"/>
        </w:rPr>
        <w:t xml:space="preserve"> gaminius</w:t>
      </w:r>
      <w:r w:rsidR="00873F1E">
        <w:rPr>
          <w:rFonts w:ascii="Times New Roman" w:hAnsi="Times New Roman"/>
          <w:color w:val="595959" w:themeColor="text1" w:themeTint="A6"/>
          <w:lang w:eastAsia="lt-LT"/>
        </w:rPr>
        <w:t>.</w:t>
      </w:r>
    </w:p>
    <w:p w:rsidR="00FB3BC8" w:rsidRPr="006658F1" w:rsidRDefault="00FB3BC8" w:rsidP="00FB3BC8">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Ekonomikos ir inovacijų ministerija kartu su LVPA, valdydamos rizikas, organizuoja susitikimus su probleminių projektų vykdytojais, kurių metu aptaria galimybes, kaip būtų galima spartinti investicijas.</w:t>
      </w: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755EA5" w:rsidRPr="006658F1" w:rsidTr="00755EA5">
        <w:tc>
          <w:tcPr>
            <w:tcW w:w="9638" w:type="dxa"/>
            <w:tcBorders>
              <w:top w:val="nil"/>
              <w:left w:val="nil"/>
              <w:bottom w:val="nil"/>
              <w:right w:val="nil"/>
            </w:tcBorders>
            <w:shd w:val="clear" w:color="auto" w:fill="D9D9D9" w:themeFill="background1" w:themeFillShade="D9"/>
          </w:tcPr>
          <w:p w:rsidR="00755EA5" w:rsidRPr="006658F1" w:rsidRDefault="00755EA5" w:rsidP="00755EA5">
            <w:pPr>
              <w:jc w:val="both"/>
              <w:rPr>
                <w:b/>
                <w:color w:val="365F91" w:themeColor="accent1" w:themeShade="BF"/>
                <w:szCs w:val="24"/>
              </w:rPr>
            </w:pPr>
            <w:r w:rsidRPr="006658F1">
              <w:rPr>
                <w:b/>
                <w:color w:val="365F91" w:themeColor="accent1" w:themeShade="BF"/>
                <w:szCs w:val="24"/>
              </w:rPr>
              <w:t xml:space="preserve">Siūlymas </w:t>
            </w:r>
            <w:r>
              <w:rPr>
                <w:b/>
                <w:color w:val="365F91" w:themeColor="accent1" w:themeShade="BF"/>
                <w:szCs w:val="24"/>
              </w:rPr>
              <w:t>Ekonomikos ir inovacijų</w:t>
            </w:r>
            <w:r w:rsidRPr="006658F1">
              <w:rPr>
                <w:color w:val="365F91" w:themeColor="accent1" w:themeShade="BF"/>
                <w:szCs w:val="24"/>
              </w:rPr>
              <w:t xml:space="preserve"> </w:t>
            </w:r>
            <w:r w:rsidRPr="006658F1">
              <w:rPr>
                <w:b/>
                <w:color w:val="365F91" w:themeColor="accent1" w:themeShade="BF"/>
                <w:szCs w:val="24"/>
              </w:rPr>
              <w:t>ministerijai:</w:t>
            </w:r>
          </w:p>
          <w:p w:rsidR="00755EA5" w:rsidRPr="006658F1" w:rsidRDefault="00E1104B" w:rsidP="002D3082">
            <w:pPr>
              <w:jc w:val="both"/>
              <w:rPr>
                <w:color w:val="365F91" w:themeColor="accent1" w:themeShade="BF"/>
                <w:szCs w:val="24"/>
              </w:rPr>
            </w:pPr>
            <w:r>
              <w:rPr>
                <w:color w:val="365F91" w:themeColor="accent1" w:themeShade="BF"/>
                <w:szCs w:val="24"/>
              </w:rPr>
              <w:t>-</w:t>
            </w:r>
            <w:r>
              <w:t xml:space="preserve"> </w:t>
            </w:r>
            <w:r w:rsidR="00260662" w:rsidRPr="00EC166F">
              <w:rPr>
                <w:color w:val="365F91" w:themeColor="accent1" w:themeShade="BF"/>
                <w:szCs w:val="24"/>
              </w:rPr>
              <w:t>kartu su LVPA</w:t>
            </w:r>
            <w:r w:rsidR="00260662">
              <w:t xml:space="preserve"> </w:t>
            </w:r>
            <w:r w:rsidRPr="000C1DD1">
              <w:rPr>
                <w:color w:val="365F91" w:themeColor="accent1" w:themeShade="BF"/>
                <w:szCs w:val="24"/>
              </w:rPr>
              <w:t xml:space="preserve">įvertinti </w:t>
            </w:r>
            <w:r w:rsidR="00865D70">
              <w:rPr>
                <w:color w:val="365F91" w:themeColor="accent1" w:themeShade="BF"/>
                <w:szCs w:val="24"/>
              </w:rPr>
              <w:t xml:space="preserve">jos administruojamų </w:t>
            </w:r>
            <w:r w:rsidR="004B3E93">
              <w:rPr>
                <w:color w:val="365F91" w:themeColor="accent1" w:themeShade="BF"/>
                <w:szCs w:val="24"/>
              </w:rPr>
              <w:t xml:space="preserve">prioriteto </w:t>
            </w:r>
            <w:r w:rsidRPr="000C1DD1">
              <w:rPr>
                <w:color w:val="365F91" w:themeColor="accent1" w:themeShade="BF"/>
                <w:szCs w:val="24"/>
              </w:rPr>
              <w:t>priemon</w:t>
            </w:r>
            <w:r>
              <w:rPr>
                <w:color w:val="365F91" w:themeColor="accent1" w:themeShade="BF"/>
                <w:szCs w:val="24"/>
              </w:rPr>
              <w:t xml:space="preserve">ių </w:t>
            </w:r>
            <w:r w:rsidRPr="000C1DD1">
              <w:rPr>
                <w:color w:val="365F91" w:themeColor="accent1" w:themeShade="BF"/>
                <w:szCs w:val="24"/>
              </w:rPr>
              <w:t>įgyvendinamuose projektuose</w:t>
            </w:r>
            <w:r w:rsidR="00260662">
              <w:rPr>
                <w:color w:val="365F91" w:themeColor="accent1" w:themeShade="BF"/>
                <w:szCs w:val="24"/>
              </w:rPr>
              <w:t xml:space="preserve"> (</w:t>
            </w:r>
            <w:r w:rsidR="00865D70">
              <w:rPr>
                <w:color w:val="365F91" w:themeColor="accent1" w:themeShade="BF"/>
                <w:szCs w:val="24"/>
              </w:rPr>
              <w:t xml:space="preserve">kurių </w:t>
            </w:r>
            <w:r w:rsidR="00850523">
              <w:rPr>
                <w:color w:val="365F91" w:themeColor="accent1" w:themeShade="BF"/>
                <w:szCs w:val="24"/>
              </w:rPr>
              <w:t xml:space="preserve">faktiniai </w:t>
            </w:r>
            <w:r w:rsidR="00865D70">
              <w:rPr>
                <w:color w:val="365F91" w:themeColor="accent1" w:themeShade="BF"/>
                <w:szCs w:val="24"/>
              </w:rPr>
              <w:t>įgyvendinimo terminai viršija projektų finansavimo sąlygų apraš</w:t>
            </w:r>
            <w:r w:rsidR="00850523">
              <w:rPr>
                <w:color w:val="365F91" w:themeColor="accent1" w:themeShade="BF"/>
                <w:szCs w:val="24"/>
              </w:rPr>
              <w:t>uose</w:t>
            </w:r>
            <w:r w:rsidR="00865D70">
              <w:rPr>
                <w:color w:val="365F91" w:themeColor="accent1" w:themeShade="BF"/>
                <w:szCs w:val="24"/>
              </w:rPr>
              <w:t xml:space="preserve"> numatytus maksimalius terminus</w:t>
            </w:r>
            <w:r w:rsidR="00260662">
              <w:rPr>
                <w:color w:val="595959" w:themeColor="text1" w:themeTint="A6"/>
                <w:lang w:eastAsia="lt-LT"/>
              </w:rPr>
              <w:t>)</w:t>
            </w:r>
            <w:r w:rsidRPr="000C1DD1">
              <w:rPr>
                <w:color w:val="365F91" w:themeColor="accent1" w:themeShade="BF"/>
                <w:szCs w:val="24"/>
              </w:rPr>
              <w:t xml:space="preserve"> galimą lėšų nepanaudojimą ir svarstyti galimybes </w:t>
            </w:r>
            <w:r w:rsidR="00260662">
              <w:rPr>
                <w:color w:val="365F91" w:themeColor="accent1" w:themeShade="BF"/>
                <w:szCs w:val="24"/>
              </w:rPr>
              <w:t xml:space="preserve">dėl </w:t>
            </w:r>
            <w:r w:rsidRPr="000C1DD1">
              <w:rPr>
                <w:color w:val="365F91" w:themeColor="accent1" w:themeShade="BF"/>
                <w:szCs w:val="24"/>
              </w:rPr>
              <w:t>investavimo temp</w:t>
            </w:r>
            <w:r w:rsidR="00F8617C">
              <w:rPr>
                <w:color w:val="365F91" w:themeColor="accent1" w:themeShade="BF"/>
                <w:szCs w:val="24"/>
              </w:rPr>
              <w:t>o</w:t>
            </w:r>
            <w:r w:rsidR="00260662">
              <w:rPr>
                <w:color w:val="365F91" w:themeColor="accent1" w:themeShade="BF"/>
                <w:szCs w:val="24"/>
              </w:rPr>
              <w:t xml:space="preserve"> spartinimo</w:t>
            </w:r>
            <w:r w:rsidR="00260662">
              <w:t xml:space="preserve"> </w:t>
            </w:r>
            <w:r w:rsidR="00260662" w:rsidRPr="00260662">
              <w:rPr>
                <w:color w:val="365F91" w:themeColor="accent1" w:themeShade="BF"/>
                <w:szCs w:val="24"/>
              </w:rPr>
              <w:t>ir (arba) sutarčių nutraukimo</w:t>
            </w:r>
            <w:r w:rsidR="00850523">
              <w:rPr>
                <w:color w:val="365F91" w:themeColor="accent1" w:themeShade="BF"/>
                <w:szCs w:val="24"/>
              </w:rPr>
              <w:t xml:space="preserve"> / baigimo esama apimtimi</w:t>
            </w:r>
            <w:r w:rsidR="00260662" w:rsidRPr="00260662">
              <w:rPr>
                <w:color w:val="365F91" w:themeColor="accent1" w:themeShade="BF"/>
                <w:szCs w:val="24"/>
              </w:rPr>
              <w:t xml:space="preserve"> bei sutaupytų lėšų perskirstymo</w:t>
            </w:r>
            <w:r w:rsidR="00D852E8">
              <w:rPr>
                <w:color w:val="365F91" w:themeColor="accent1" w:themeShade="BF"/>
                <w:szCs w:val="24"/>
              </w:rPr>
              <w:t xml:space="preserve"> ir iki </w:t>
            </w:r>
            <w:r w:rsidR="002D3082">
              <w:rPr>
                <w:color w:val="365F91" w:themeColor="accent1" w:themeShade="BF"/>
                <w:szCs w:val="24"/>
              </w:rPr>
              <w:t>2021 m. gruodžio</w:t>
            </w:r>
            <w:r w:rsidR="00D852E8">
              <w:rPr>
                <w:color w:val="365F91" w:themeColor="accent1" w:themeShade="BF"/>
                <w:szCs w:val="24"/>
              </w:rPr>
              <w:t xml:space="preserve"> </w:t>
            </w:r>
            <w:r w:rsidR="002D3082">
              <w:rPr>
                <w:color w:val="365F91" w:themeColor="accent1" w:themeShade="BF"/>
                <w:szCs w:val="24"/>
              </w:rPr>
              <w:t>23</w:t>
            </w:r>
            <w:r w:rsidR="00D852E8">
              <w:rPr>
                <w:color w:val="365F91" w:themeColor="accent1" w:themeShade="BF"/>
                <w:szCs w:val="24"/>
              </w:rPr>
              <w:t xml:space="preserve"> d. p</w:t>
            </w:r>
            <w:r w:rsidR="00CB556D">
              <w:rPr>
                <w:color w:val="365F91" w:themeColor="accent1" w:themeShade="BF"/>
                <w:szCs w:val="24"/>
              </w:rPr>
              <w:t xml:space="preserve">ateikti </w:t>
            </w:r>
            <w:r w:rsidR="007112EC">
              <w:rPr>
                <w:color w:val="365F91" w:themeColor="accent1" w:themeShade="BF"/>
                <w:szCs w:val="24"/>
              </w:rPr>
              <w:t>F</w:t>
            </w:r>
            <w:r w:rsidR="00CB556D">
              <w:rPr>
                <w:color w:val="365F91" w:themeColor="accent1" w:themeShade="BF"/>
                <w:szCs w:val="24"/>
              </w:rPr>
              <w:t>inansų ministerijai</w:t>
            </w:r>
            <w:r w:rsidR="007112EC">
              <w:rPr>
                <w:color w:val="365F91" w:themeColor="accent1" w:themeShade="BF"/>
                <w:szCs w:val="24"/>
              </w:rPr>
              <w:t xml:space="preserve"> informaciją apie priimtus sprendimus.</w:t>
            </w:r>
          </w:p>
        </w:tc>
      </w:tr>
    </w:tbl>
    <w:p w:rsidR="00755EA5" w:rsidRDefault="00755EA5"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Default="00F8617C" w:rsidP="001D73A7">
      <w:pPr>
        <w:pStyle w:val="tekstas"/>
        <w:ind w:firstLine="0"/>
        <w:rPr>
          <w:rFonts w:ascii="Times New Roman" w:hAnsi="Times New Roman"/>
          <w:color w:val="595959" w:themeColor="text1" w:themeTint="A6"/>
          <w:lang w:eastAsia="lt-LT"/>
        </w:rPr>
      </w:pPr>
    </w:p>
    <w:p w:rsidR="00F8617C" w:rsidRPr="006658F1" w:rsidRDefault="00F8617C" w:rsidP="001D73A7">
      <w:pPr>
        <w:pStyle w:val="tekstas"/>
        <w:ind w:firstLine="0"/>
        <w:rPr>
          <w:rFonts w:ascii="Times New Roman" w:hAnsi="Times New Roman"/>
          <w:color w:val="595959" w:themeColor="text1" w:themeTint="A6"/>
          <w:lang w:eastAsia="lt-LT"/>
        </w:rPr>
      </w:pPr>
    </w:p>
    <w:p w:rsidR="00DD3394" w:rsidRPr="006658F1" w:rsidRDefault="000305AE" w:rsidP="006B1184">
      <w:pPr>
        <w:keepNext/>
        <w:keepLines/>
        <w:jc w:val="both"/>
        <w:outlineLvl w:val="1"/>
        <w:rPr>
          <w:rFonts w:eastAsiaTheme="majorEastAsia"/>
          <w:b/>
          <w:bCs/>
          <w:color w:val="595959" w:themeColor="text1" w:themeTint="A6"/>
          <w:szCs w:val="24"/>
          <w:lang w:eastAsia="lt-LT"/>
        </w:rPr>
      </w:pPr>
      <w:bookmarkStart w:id="18" w:name="_Toc86414513"/>
      <w:r w:rsidRPr="006658F1">
        <w:rPr>
          <w:rFonts w:eastAsiaTheme="majorEastAsia"/>
          <w:b/>
          <w:bCs/>
          <w:color w:val="595959" w:themeColor="text1" w:themeTint="A6"/>
          <w:szCs w:val="24"/>
          <w:lang w:eastAsia="lt-LT"/>
        </w:rPr>
        <w:lastRenderedPageBreak/>
        <w:t>4 prioritetas. Energijos efektyvumo ir atsinaujinančių išteklių energijos gamybos ir naudojimo skatinimas</w:t>
      </w:r>
      <w:bookmarkEnd w:id="17"/>
      <w:bookmarkEnd w:id="18"/>
    </w:p>
    <w:p w:rsidR="001E0D87" w:rsidRPr="006658F1" w:rsidRDefault="001E0D87" w:rsidP="008D585D">
      <w:pPr>
        <w:jc w:val="both"/>
        <w:rPr>
          <w:color w:val="595959" w:themeColor="text1" w:themeTint="A6"/>
          <w:szCs w:val="24"/>
          <w:lang w:eastAsia="lt-LT"/>
        </w:rPr>
      </w:pPr>
      <w:bookmarkStart w:id="19" w:name="_Toc10104956"/>
    </w:p>
    <w:p w:rsidR="008D585D" w:rsidRPr="006658F1" w:rsidRDefault="00D117B3" w:rsidP="008D585D">
      <w:pPr>
        <w:jc w:val="both"/>
        <w:rPr>
          <w:color w:val="595959" w:themeColor="text1" w:themeTint="A6"/>
          <w:szCs w:val="24"/>
          <w:lang w:eastAsia="lt-LT"/>
        </w:rPr>
      </w:pPr>
      <w:r>
        <w:rPr>
          <w:noProof/>
          <w:lang w:eastAsia="lt-LT"/>
        </w:rPr>
        <w:drawing>
          <wp:inline distT="0" distB="0" distL="0" distR="0" wp14:anchorId="1274DD3D" wp14:editId="28581D1E">
            <wp:extent cx="6120130" cy="1961094"/>
            <wp:effectExtent l="0" t="0" r="13970" b="2032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585D" w:rsidRPr="006658F1" w:rsidRDefault="008D585D" w:rsidP="008D585D">
      <w:pPr>
        <w:jc w:val="both"/>
        <w:rPr>
          <w:color w:val="595959" w:themeColor="text1" w:themeTint="A6"/>
          <w:szCs w:val="24"/>
          <w:lang w:eastAsia="lt-LT"/>
        </w:rPr>
      </w:pPr>
    </w:p>
    <w:p w:rsidR="00FB3BC8" w:rsidRPr="006658F1" w:rsidRDefault="00E049BD" w:rsidP="00FB3BC8">
      <w:pPr>
        <w:ind w:firstLine="426"/>
        <w:jc w:val="both"/>
        <w:rPr>
          <w:color w:val="595959" w:themeColor="text1" w:themeTint="A6"/>
          <w:szCs w:val="24"/>
          <w:lang w:eastAsia="lt-LT"/>
        </w:rPr>
      </w:pPr>
      <w:r w:rsidRPr="006658F1">
        <w:rPr>
          <w:color w:val="595959" w:themeColor="text1" w:themeTint="A6"/>
          <w:szCs w:val="24"/>
          <w:lang w:eastAsia="lt-LT"/>
        </w:rPr>
        <w:t xml:space="preserve">Vėlesnis dalies projektų sutarčių sudarymas (suderinus su vadovaujančiąja institucija sutartys sudarytos 2021 m. I pusmetį) turėjo įtakos investicijoms </w:t>
      </w:r>
      <w:r w:rsidR="00FB3BC8" w:rsidRPr="006658F1">
        <w:rPr>
          <w:color w:val="595959" w:themeColor="text1" w:themeTint="A6"/>
          <w:szCs w:val="24"/>
          <w:lang w:eastAsia="lt-LT"/>
        </w:rPr>
        <w:t xml:space="preserve">Susisiekimo ministerijos administruojamose priemonėse diegiant darnaus </w:t>
      </w:r>
      <w:proofErr w:type="spellStart"/>
      <w:r w:rsidR="00FB3BC8" w:rsidRPr="006658F1">
        <w:rPr>
          <w:color w:val="595959" w:themeColor="text1" w:themeTint="A6"/>
          <w:szCs w:val="24"/>
          <w:lang w:eastAsia="lt-LT"/>
        </w:rPr>
        <w:t>judumo</w:t>
      </w:r>
      <w:proofErr w:type="spellEnd"/>
      <w:r w:rsidR="00FB3BC8" w:rsidRPr="006658F1">
        <w:rPr>
          <w:color w:val="595959" w:themeColor="text1" w:themeTint="A6"/>
          <w:szCs w:val="24"/>
          <w:lang w:eastAsia="lt-LT"/>
        </w:rPr>
        <w:t xml:space="preserve"> priemones (19 mln. eurų) bei plėtojant / rekonstruojant pėsčiųjų ir dviračių takus (10 mln. eurų</w:t>
      </w:r>
      <w:r w:rsidRPr="006658F1">
        <w:rPr>
          <w:color w:val="595959" w:themeColor="text1" w:themeTint="A6"/>
          <w:szCs w:val="24"/>
          <w:lang w:eastAsia="lt-LT"/>
        </w:rPr>
        <w:t>)</w:t>
      </w:r>
      <w:r w:rsidR="00E0764E" w:rsidRPr="006658F1">
        <w:rPr>
          <w:color w:val="595959" w:themeColor="text1" w:themeTint="A6"/>
          <w:szCs w:val="24"/>
          <w:lang w:eastAsia="lt-LT"/>
        </w:rPr>
        <w:t xml:space="preserve">, tačiau rizika </w:t>
      </w:r>
      <w:r w:rsidR="00A273DD" w:rsidRPr="006658F1">
        <w:rPr>
          <w:color w:val="595959" w:themeColor="text1" w:themeTint="A6"/>
          <w:szCs w:val="24"/>
          <w:lang w:eastAsia="lt-LT"/>
        </w:rPr>
        <w:t xml:space="preserve">nespėti </w:t>
      </w:r>
      <w:r w:rsidR="00E0764E" w:rsidRPr="006658F1">
        <w:rPr>
          <w:color w:val="595959" w:themeColor="text1" w:themeTint="A6"/>
          <w:szCs w:val="24"/>
          <w:lang w:eastAsia="lt-LT"/>
        </w:rPr>
        <w:t xml:space="preserve">laiku baigti įgyvendinti darnaus </w:t>
      </w:r>
      <w:proofErr w:type="spellStart"/>
      <w:r w:rsidR="00E0764E" w:rsidRPr="006658F1">
        <w:rPr>
          <w:color w:val="595959" w:themeColor="text1" w:themeTint="A6"/>
          <w:szCs w:val="24"/>
          <w:lang w:eastAsia="lt-LT"/>
        </w:rPr>
        <w:t>judumo</w:t>
      </w:r>
      <w:proofErr w:type="spellEnd"/>
      <w:r w:rsidR="00E0764E" w:rsidRPr="006658F1">
        <w:rPr>
          <w:color w:val="595959" w:themeColor="text1" w:themeTint="A6"/>
          <w:szCs w:val="24"/>
          <w:lang w:eastAsia="lt-LT"/>
        </w:rPr>
        <w:t xml:space="preserve"> </w:t>
      </w:r>
      <w:r w:rsidR="00A273DD" w:rsidRPr="006658F1">
        <w:rPr>
          <w:color w:val="595959" w:themeColor="text1" w:themeTint="A6"/>
          <w:szCs w:val="24"/>
          <w:lang w:eastAsia="lt-LT"/>
        </w:rPr>
        <w:t>projektų</w:t>
      </w:r>
      <w:r w:rsidR="00E0764E" w:rsidRPr="006658F1">
        <w:rPr>
          <w:color w:val="595959" w:themeColor="text1" w:themeTint="A6"/>
          <w:szCs w:val="24"/>
          <w:lang w:eastAsia="lt-LT"/>
        </w:rPr>
        <w:t xml:space="preserve"> yra minimali.</w:t>
      </w:r>
    </w:p>
    <w:p w:rsidR="00FB3BC8" w:rsidRPr="006658F1" w:rsidRDefault="00FB3BC8" w:rsidP="00FB3BC8">
      <w:pPr>
        <w:ind w:firstLine="426"/>
        <w:jc w:val="both"/>
        <w:rPr>
          <w:color w:val="595959" w:themeColor="text1" w:themeTint="A6"/>
          <w:szCs w:val="24"/>
          <w:lang w:eastAsia="lt-LT"/>
        </w:rPr>
      </w:pPr>
      <w:r w:rsidRPr="006658F1">
        <w:rPr>
          <w:color w:val="595959" w:themeColor="text1" w:themeTint="A6"/>
          <w:szCs w:val="24"/>
          <w:lang w:eastAsia="lt-LT"/>
        </w:rPr>
        <w:t>Energetikos ministerija sėkmingai tęsia tvaraus žaliosios energetikos namų ūkiuose modelio skatinimą</w:t>
      </w:r>
      <w:r w:rsidR="00836D95" w:rsidRPr="006658F1">
        <w:rPr>
          <w:color w:val="595959" w:themeColor="text1" w:themeTint="A6"/>
          <w:szCs w:val="24"/>
          <w:lang w:eastAsia="lt-LT"/>
        </w:rPr>
        <w:t xml:space="preserve"> (</w:t>
      </w:r>
      <w:proofErr w:type="spellStart"/>
      <w:r w:rsidR="00836D95" w:rsidRPr="006658F1">
        <w:rPr>
          <w:color w:val="595959" w:themeColor="text1" w:themeTint="A6"/>
          <w:szCs w:val="24"/>
          <w:lang w:eastAsia="lt-LT"/>
        </w:rPr>
        <w:t>SaF</w:t>
      </w:r>
      <w:proofErr w:type="spellEnd"/>
      <w:r w:rsidR="00836D95" w:rsidRPr="006658F1">
        <w:rPr>
          <w:color w:val="595959" w:themeColor="text1" w:themeTint="A6"/>
          <w:szCs w:val="24"/>
          <w:lang w:eastAsia="lt-LT"/>
        </w:rPr>
        <w:t>)</w:t>
      </w:r>
      <w:r w:rsidRPr="006658F1">
        <w:rPr>
          <w:color w:val="595959" w:themeColor="text1" w:themeTint="A6"/>
          <w:szCs w:val="24"/>
          <w:lang w:eastAsia="lt-LT"/>
        </w:rPr>
        <w:t xml:space="preserve">. Didelio susidomėjimo sulaukė 2021 m. kovo 31 d. už daugiau nei 21 mln. eurų paskelbti kvietimai gyventojams, įsirengti nedidelės galios (iki 10 kW) saulės elektrines arba jas įsigyti iš elektrinių parko, taip pat pasikeisti senus šildymo katilus: </w:t>
      </w:r>
      <w:r w:rsidR="00D931F2" w:rsidRPr="006658F1">
        <w:rPr>
          <w:color w:val="595959" w:themeColor="text1" w:themeTint="A6"/>
          <w:szCs w:val="24"/>
          <w:lang w:eastAsia="lt-LT"/>
        </w:rPr>
        <w:t xml:space="preserve">papildomai </w:t>
      </w:r>
      <w:r w:rsidRPr="006658F1">
        <w:rPr>
          <w:color w:val="595959" w:themeColor="text1" w:themeTint="A6"/>
          <w:szCs w:val="24"/>
          <w:lang w:eastAsia="lt-LT"/>
        </w:rPr>
        <w:t xml:space="preserve">3 tūkst. gyventojų mažins taršą pasikeisdami neefektyvius katilus, apie 5 tūkst. gyventojų įsirengs nedidelės galios saulės elektrines arba jas įsigys iš elektrinių parko. </w:t>
      </w:r>
      <w:r w:rsidR="00EA3C90" w:rsidRPr="00EA3C90">
        <w:rPr>
          <w:color w:val="595959" w:themeColor="text1" w:themeTint="A6"/>
          <w:szCs w:val="24"/>
          <w:lang w:eastAsia="lt-LT"/>
        </w:rPr>
        <w:t>2021 m. liepos 1 d. paskelbtas papildomas 3 mln. eurų kvietimas elektrinėms iš elektrinių parkų įsigyti</w:t>
      </w:r>
      <w:r w:rsidR="00EA3C90">
        <w:rPr>
          <w:color w:val="595959" w:themeColor="text1" w:themeTint="A6"/>
          <w:szCs w:val="24"/>
          <w:lang w:eastAsia="lt-LT"/>
        </w:rPr>
        <w:t xml:space="preserve"> sulaukė daugiau nei</w:t>
      </w:r>
      <w:r w:rsidR="00EA3C90" w:rsidRPr="00EA3C90">
        <w:rPr>
          <w:color w:val="595959" w:themeColor="text1" w:themeTint="A6"/>
          <w:szCs w:val="24"/>
          <w:lang w:eastAsia="lt-LT"/>
        </w:rPr>
        <w:t xml:space="preserve"> 1</w:t>
      </w:r>
      <w:r w:rsidR="00EA3C90">
        <w:rPr>
          <w:color w:val="595959" w:themeColor="text1" w:themeTint="A6"/>
          <w:szCs w:val="24"/>
          <w:lang w:eastAsia="lt-LT"/>
        </w:rPr>
        <w:t>,6 tūkst. gyventojų susidomėjimo</w:t>
      </w:r>
      <w:r w:rsidR="00EA3C90" w:rsidRPr="00EA3C90">
        <w:rPr>
          <w:color w:val="595959" w:themeColor="text1" w:themeTint="A6"/>
          <w:szCs w:val="24"/>
          <w:lang w:eastAsia="lt-LT"/>
        </w:rPr>
        <w:t xml:space="preserve">. </w:t>
      </w:r>
      <w:r w:rsidR="00E049BD" w:rsidRPr="006658F1">
        <w:rPr>
          <w:color w:val="595959" w:themeColor="text1" w:themeTint="A6"/>
          <w:szCs w:val="24"/>
          <w:lang w:eastAsia="lt-LT"/>
        </w:rPr>
        <w:t>Pa</w:t>
      </w:r>
      <w:r w:rsidRPr="006658F1">
        <w:rPr>
          <w:color w:val="595959" w:themeColor="text1" w:themeTint="A6"/>
          <w:szCs w:val="24"/>
          <w:lang w:eastAsia="lt-LT"/>
        </w:rPr>
        <w:t>žymėtina, kad gaminančių elektros vartotojų skaičius Lietuvoje jau perkopė 1</w:t>
      </w:r>
      <w:r w:rsidR="00EA3C90">
        <w:rPr>
          <w:color w:val="595959" w:themeColor="text1" w:themeTint="A6"/>
          <w:szCs w:val="24"/>
          <w:lang w:eastAsia="lt-LT"/>
        </w:rPr>
        <w:t>3</w:t>
      </w:r>
      <w:r w:rsidRPr="006658F1">
        <w:rPr>
          <w:color w:val="595959" w:themeColor="text1" w:themeTint="A6"/>
          <w:szCs w:val="24"/>
          <w:lang w:eastAsia="lt-LT"/>
        </w:rPr>
        <w:t xml:space="preserve"> tūkst., nuo 2019 m. į jų plėtrą investuota beveik 4</w:t>
      </w:r>
      <w:r w:rsidR="00EA3C90">
        <w:rPr>
          <w:color w:val="595959" w:themeColor="text1" w:themeTint="A6"/>
          <w:szCs w:val="24"/>
          <w:lang w:eastAsia="lt-LT"/>
        </w:rPr>
        <w:t>7,5</w:t>
      </w:r>
      <w:r w:rsidRPr="006658F1">
        <w:rPr>
          <w:color w:val="595959" w:themeColor="text1" w:themeTint="A6"/>
          <w:szCs w:val="24"/>
          <w:lang w:eastAsia="lt-LT"/>
        </w:rPr>
        <w:t xml:space="preserve"> mln. eurų</w:t>
      </w:r>
      <w:r w:rsidR="00EA3C90">
        <w:rPr>
          <w:color w:val="595959" w:themeColor="text1" w:themeTint="A6"/>
          <w:szCs w:val="24"/>
          <w:lang w:eastAsia="lt-LT"/>
        </w:rPr>
        <w:t xml:space="preserve"> ES lėšų</w:t>
      </w:r>
      <w:r w:rsidRPr="006658F1">
        <w:rPr>
          <w:color w:val="595959" w:themeColor="text1" w:themeTint="A6"/>
          <w:szCs w:val="24"/>
          <w:lang w:eastAsia="lt-LT"/>
        </w:rPr>
        <w:t>.</w:t>
      </w:r>
    </w:p>
    <w:p w:rsidR="00FB3BC8" w:rsidRDefault="00FB3BC8" w:rsidP="00FB3BC8">
      <w:pPr>
        <w:ind w:firstLine="426"/>
        <w:jc w:val="both"/>
        <w:rPr>
          <w:color w:val="595959" w:themeColor="text1" w:themeTint="A6"/>
          <w:szCs w:val="24"/>
          <w:lang w:eastAsia="lt-LT"/>
        </w:rPr>
      </w:pPr>
      <w:r w:rsidRPr="006658F1">
        <w:rPr>
          <w:color w:val="595959" w:themeColor="text1" w:themeTint="A6"/>
          <w:szCs w:val="24"/>
          <w:lang w:eastAsia="lt-LT"/>
        </w:rPr>
        <w:t>ERPF lėšomis finansuojamų valstybei nuosavybės teise priklausančių pastatų atnaujinimo ir gatvių apšvietimo modernizavimo priemonių nepakankamą investavimo spartą nulėmė lėtas ir komplikuotas planavimas bei įgyvendinimas</w:t>
      </w:r>
      <w:r w:rsidR="00E374E1" w:rsidRPr="00E374E1">
        <w:rPr>
          <w:color w:val="595959" w:themeColor="text1" w:themeTint="A6"/>
          <w:szCs w:val="24"/>
          <w:lang w:eastAsia="lt-LT"/>
        </w:rPr>
        <w:t>, taip pat pandemijos metu ženkliai išaugusių statybos rangos darbų kainos</w:t>
      </w:r>
      <w:r w:rsidRPr="006658F1">
        <w:rPr>
          <w:color w:val="595959" w:themeColor="text1" w:themeTint="A6"/>
          <w:szCs w:val="24"/>
          <w:lang w:eastAsia="lt-LT"/>
        </w:rPr>
        <w:t xml:space="preserve">. </w:t>
      </w:r>
      <w:r w:rsidR="00E620B6" w:rsidRPr="006658F1">
        <w:rPr>
          <w:color w:val="595959" w:themeColor="text1" w:themeTint="A6"/>
          <w:szCs w:val="24"/>
          <w:lang w:eastAsia="lt-LT"/>
        </w:rPr>
        <w:t xml:space="preserve">2020 m. I ketvirtį pagal pakeistas lankstesnes ir patrauklesnes priemonių įgyvendinimo sąlygas paskelbti kvietimai sulaukė didelio pareiškėjų susidomėjimo, pateiktų paraiškų prašoma finansuoti suma ženkliai viršijo kvietimų sumas, </w:t>
      </w:r>
      <w:r w:rsidR="007D79FF" w:rsidRPr="006658F1">
        <w:rPr>
          <w:color w:val="595959" w:themeColor="text1" w:themeTint="A6"/>
          <w:szCs w:val="24"/>
          <w:lang w:eastAsia="lt-LT"/>
        </w:rPr>
        <w:t xml:space="preserve">todėl </w:t>
      </w:r>
      <w:r w:rsidR="00E620B6" w:rsidRPr="006658F1">
        <w:rPr>
          <w:color w:val="595959" w:themeColor="text1" w:themeTint="A6"/>
          <w:szCs w:val="24"/>
          <w:lang w:eastAsia="lt-LT"/>
        </w:rPr>
        <w:t>rezerviniams projektams papildomai skirta 69,9 mln. eurų „</w:t>
      </w:r>
      <w:proofErr w:type="spellStart"/>
      <w:r w:rsidR="00E620B6" w:rsidRPr="006658F1">
        <w:rPr>
          <w:color w:val="595959" w:themeColor="text1" w:themeTint="A6"/>
          <w:szCs w:val="24"/>
          <w:lang w:eastAsia="lt-LT"/>
        </w:rPr>
        <w:t>React</w:t>
      </w:r>
      <w:proofErr w:type="spellEnd"/>
      <w:r w:rsidR="00E620B6" w:rsidRPr="006658F1">
        <w:rPr>
          <w:color w:val="595959" w:themeColor="text1" w:themeTint="A6"/>
          <w:szCs w:val="24"/>
          <w:lang w:eastAsia="lt-LT"/>
        </w:rPr>
        <w:t xml:space="preserve">–EU“ iniciatyvos ir 4 prioriteto </w:t>
      </w:r>
      <w:proofErr w:type="spellStart"/>
      <w:r w:rsidR="00E620B6" w:rsidRPr="006658F1">
        <w:rPr>
          <w:color w:val="595959" w:themeColor="text1" w:themeTint="A6"/>
          <w:szCs w:val="24"/>
          <w:lang w:eastAsia="lt-LT"/>
        </w:rPr>
        <w:t>virškontraktavimo</w:t>
      </w:r>
      <w:proofErr w:type="spellEnd"/>
      <w:r w:rsidR="00E620B6" w:rsidRPr="006658F1">
        <w:rPr>
          <w:color w:val="595959" w:themeColor="text1" w:themeTint="A6"/>
          <w:szCs w:val="24"/>
          <w:lang w:eastAsia="lt-LT"/>
        </w:rPr>
        <w:t xml:space="preserve"> lėšų. </w:t>
      </w:r>
      <w:r w:rsidR="007D79FF" w:rsidRPr="006658F1">
        <w:rPr>
          <w:color w:val="595959" w:themeColor="text1" w:themeTint="A6"/>
          <w:szCs w:val="24"/>
          <w:lang w:eastAsia="lt-LT"/>
        </w:rPr>
        <w:t>Paraiškų vertinimas buvo baigtas tik 2020 m. pabaigoje</w:t>
      </w:r>
      <w:r w:rsidR="00F924EB" w:rsidRPr="006658F1">
        <w:rPr>
          <w:color w:val="595959" w:themeColor="text1" w:themeTint="A6"/>
          <w:szCs w:val="24"/>
          <w:lang w:eastAsia="lt-LT"/>
        </w:rPr>
        <w:t>, tad d</w:t>
      </w:r>
      <w:r w:rsidRPr="006658F1">
        <w:rPr>
          <w:color w:val="595959" w:themeColor="text1" w:themeTint="A6"/>
          <w:szCs w:val="24"/>
          <w:lang w:eastAsia="lt-LT"/>
        </w:rPr>
        <w:t xml:space="preserve">idelė dalis projektų įgyvendinimo sutarčių buvo sudarytos 2021 m. I pusmetį. Pažymėtina, kad Energetikos ministerija kartu su VIPA ir LVPA vykdo nuolatinę minėtų priemonių projektų įgyvendinimo stebėseną, </w:t>
      </w:r>
      <w:r w:rsidR="00F924EB" w:rsidRPr="006658F1">
        <w:rPr>
          <w:color w:val="595959" w:themeColor="text1" w:themeTint="A6"/>
          <w:szCs w:val="24"/>
          <w:lang w:eastAsia="lt-LT"/>
        </w:rPr>
        <w:t xml:space="preserve">sprendžia su įgyvendinimu susijusias problemas, todėl rizika </w:t>
      </w:r>
      <w:r w:rsidR="00A273DD" w:rsidRPr="006658F1">
        <w:rPr>
          <w:color w:val="595959" w:themeColor="text1" w:themeTint="A6"/>
          <w:szCs w:val="24"/>
          <w:lang w:eastAsia="lt-LT"/>
        </w:rPr>
        <w:t xml:space="preserve">nespėti </w:t>
      </w:r>
      <w:r w:rsidR="00F924EB" w:rsidRPr="006658F1">
        <w:rPr>
          <w:color w:val="595959" w:themeColor="text1" w:themeTint="A6"/>
          <w:szCs w:val="24"/>
          <w:lang w:eastAsia="lt-LT"/>
        </w:rPr>
        <w:t>pasiekti suplanuot</w:t>
      </w:r>
      <w:r w:rsidR="00A273DD" w:rsidRPr="006658F1">
        <w:rPr>
          <w:color w:val="595959" w:themeColor="text1" w:themeTint="A6"/>
          <w:szCs w:val="24"/>
          <w:lang w:eastAsia="lt-LT"/>
        </w:rPr>
        <w:t>ų rodiklių</w:t>
      </w:r>
      <w:r w:rsidR="00F924EB" w:rsidRPr="006658F1">
        <w:rPr>
          <w:color w:val="595959" w:themeColor="text1" w:themeTint="A6"/>
          <w:szCs w:val="24"/>
          <w:lang w:eastAsia="lt-LT"/>
        </w:rPr>
        <w:t xml:space="preserve"> ir </w:t>
      </w:r>
      <w:r w:rsidRPr="006658F1">
        <w:rPr>
          <w:color w:val="595959" w:themeColor="text1" w:themeTint="A6"/>
          <w:szCs w:val="24"/>
          <w:lang w:eastAsia="lt-LT"/>
        </w:rPr>
        <w:t>laiku (iki 2023 m. pabaigos) išmokėti vis</w:t>
      </w:r>
      <w:r w:rsidR="00A273DD" w:rsidRPr="006658F1">
        <w:rPr>
          <w:color w:val="595959" w:themeColor="text1" w:themeTint="A6"/>
          <w:szCs w:val="24"/>
          <w:lang w:eastAsia="lt-LT"/>
        </w:rPr>
        <w:t>ų</w:t>
      </w:r>
      <w:r w:rsidRPr="006658F1">
        <w:rPr>
          <w:color w:val="595959" w:themeColor="text1" w:themeTint="A6"/>
          <w:szCs w:val="24"/>
          <w:lang w:eastAsia="lt-LT"/>
        </w:rPr>
        <w:t xml:space="preserve"> projektams skirt</w:t>
      </w:r>
      <w:r w:rsidR="00A273DD" w:rsidRPr="006658F1">
        <w:rPr>
          <w:color w:val="595959" w:themeColor="text1" w:themeTint="A6"/>
          <w:szCs w:val="24"/>
          <w:lang w:eastAsia="lt-LT"/>
        </w:rPr>
        <w:t>ų</w:t>
      </w:r>
      <w:r w:rsidRPr="006658F1">
        <w:rPr>
          <w:color w:val="595959" w:themeColor="text1" w:themeTint="A6"/>
          <w:szCs w:val="24"/>
          <w:lang w:eastAsia="lt-LT"/>
        </w:rPr>
        <w:t xml:space="preserve"> ES lėš</w:t>
      </w:r>
      <w:r w:rsidR="00A273DD" w:rsidRPr="006658F1">
        <w:rPr>
          <w:color w:val="595959" w:themeColor="text1" w:themeTint="A6"/>
          <w:szCs w:val="24"/>
          <w:lang w:eastAsia="lt-LT"/>
        </w:rPr>
        <w:t>ų</w:t>
      </w:r>
      <w:r w:rsidR="00F924EB" w:rsidRPr="006658F1">
        <w:rPr>
          <w:color w:val="595959" w:themeColor="text1" w:themeTint="A6"/>
          <w:szCs w:val="24"/>
          <w:lang w:eastAsia="lt-LT"/>
        </w:rPr>
        <w:t xml:space="preserve"> yra </w:t>
      </w:r>
      <w:r w:rsidR="001B2DF7" w:rsidRPr="006658F1">
        <w:rPr>
          <w:color w:val="595959" w:themeColor="text1" w:themeTint="A6"/>
          <w:szCs w:val="24"/>
          <w:lang w:eastAsia="lt-LT"/>
        </w:rPr>
        <w:t>minimali</w:t>
      </w:r>
      <w:r w:rsidRPr="006658F1">
        <w:rPr>
          <w:color w:val="595959" w:themeColor="text1" w:themeTint="A6"/>
          <w:szCs w:val="24"/>
          <w:lang w:eastAsia="lt-LT"/>
        </w:rPr>
        <w:t>.</w:t>
      </w:r>
    </w:p>
    <w:p w:rsidR="00C83053" w:rsidRPr="006658F1" w:rsidRDefault="00C83053" w:rsidP="00716CCC">
      <w:pPr>
        <w:ind w:firstLine="426"/>
        <w:jc w:val="both"/>
        <w:rPr>
          <w:color w:val="595959" w:themeColor="text1" w:themeTint="A6"/>
          <w:szCs w:val="24"/>
          <w:lang w:eastAsia="lt-LT"/>
        </w:rPr>
      </w:pPr>
      <w:r>
        <w:rPr>
          <w:color w:val="595959" w:themeColor="text1" w:themeTint="A6"/>
          <w:szCs w:val="24"/>
          <w:lang w:eastAsia="lt-LT"/>
        </w:rPr>
        <w:t>Vidaus reikalų ministerija šio prioriteto lėšomis (5 mln. eurų) įgyvendina dalį jungtinės priemonės „Funkcinių zonų vystymas“ projektų, kurių sutartys buvo pasirašytos 2020 m. gruodžio 30 d., veiklų</w:t>
      </w:r>
      <w:r w:rsidR="00A12BDA">
        <w:rPr>
          <w:color w:val="595959" w:themeColor="text1" w:themeTint="A6"/>
          <w:szCs w:val="24"/>
          <w:lang w:eastAsia="lt-LT"/>
        </w:rPr>
        <w:t>. Investavimas šiame prioritete neprasidėjo dėl</w:t>
      </w:r>
      <w:r w:rsidR="00716CCC">
        <w:rPr>
          <w:color w:val="595959" w:themeColor="text1" w:themeTint="A6"/>
          <w:szCs w:val="24"/>
          <w:lang w:eastAsia="lt-LT"/>
        </w:rPr>
        <w:t xml:space="preserve"> u</w:t>
      </w:r>
      <w:r w:rsidR="00DC49D0">
        <w:rPr>
          <w:color w:val="595959" w:themeColor="text1" w:themeTint="A6"/>
          <w:szCs w:val="24"/>
          <w:lang w:eastAsia="lt-LT"/>
        </w:rPr>
        <w:t>žsitęsusių viešųjų pirkimų ir te</w:t>
      </w:r>
      <w:r w:rsidR="00716CCC">
        <w:rPr>
          <w:color w:val="595959" w:themeColor="text1" w:themeTint="A6"/>
          <w:szCs w:val="24"/>
          <w:lang w:eastAsia="lt-LT"/>
        </w:rPr>
        <w:t xml:space="preserve">chninio projekto </w:t>
      </w:r>
      <w:r w:rsidR="00D540B4">
        <w:rPr>
          <w:color w:val="595959" w:themeColor="text1" w:themeTint="A6"/>
          <w:szCs w:val="24"/>
          <w:lang w:eastAsia="lt-LT"/>
        </w:rPr>
        <w:t>pa</w:t>
      </w:r>
      <w:r w:rsidR="00716CCC">
        <w:rPr>
          <w:color w:val="595959" w:themeColor="text1" w:themeTint="A6"/>
          <w:szCs w:val="24"/>
          <w:lang w:eastAsia="lt-LT"/>
        </w:rPr>
        <w:t>rengimo įgyvendinant projekto „</w:t>
      </w:r>
      <w:r w:rsidR="00716CCC" w:rsidRPr="00716CCC">
        <w:rPr>
          <w:color w:val="595959" w:themeColor="text1" w:themeTint="A6"/>
          <w:szCs w:val="24"/>
          <w:lang w:eastAsia="lt-LT"/>
        </w:rPr>
        <w:t>Funkcinės zonos Tauragė+ plėtros strategijos pirmaeilių veiksmų įgyvendinimas</w:t>
      </w:r>
      <w:r w:rsidR="00716CCC">
        <w:rPr>
          <w:color w:val="595959" w:themeColor="text1" w:themeTint="A6"/>
          <w:szCs w:val="24"/>
          <w:lang w:eastAsia="lt-LT"/>
        </w:rPr>
        <w:t xml:space="preserve">“ </w:t>
      </w:r>
      <w:r w:rsidR="00716CCC" w:rsidRPr="00716CCC">
        <w:rPr>
          <w:color w:val="595959" w:themeColor="text1" w:themeTint="A6"/>
          <w:szCs w:val="24"/>
          <w:lang w:eastAsia="lt-LT"/>
        </w:rPr>
        <w:t>Tauragės mie</w:t>
      </w:r>
      <w:r w:rsidR="00716CCC">
        <w:rPr>
          <w:color w:val="595959" w:themeColor="text1" w:themeTint="A6"/>
          <w:szCs w:val="24"/>
          <w:lang w:eastAsia="lt-LT"/>
        </w:rPr>
        <w:t>sto centro aplinkkelio įrengimo, elektrinių autobusų įsigijimo ir elektrinių</w:t>
      </w:r>
      <w:r w:rsidR="00716CCC" w:rsidRPr="00716CCC">
        <w:rPr>
          <w:color w:val="595959" w:themeColor="text1" w:themeTint="A6"/>
          <w:szCs w:val="24"/>
          <w:lang w:eastAsia="lt-LT"/>
        </w:rPr>
        <w:t xml:space="preserve"> automo</w:t>
      </w:r>
      <w:r w:rsidR="00716CCC">
        <w:rPr>
          <w:color w:val="595959" w:themeColor="text1" w:themeTint="A6"/>
          <w:szCs w:val="24"/>
          <w:lang w:eastAsia="lt-LT"/>
        </w:rPr>
        <w:t>bilių krovimo stotelių įrengimo</w:t>
      </w:r>
      <w:r w:rsidR="00716CCC" w:rsidRPr="00716CCC">
        <w:rPr>
          <w:color w:val="595959" w:themeColor="text1" w:themeTint="A6"/>
          <w:szCs w:val="24"/>
          <w:lang w:eastAsia="lt-LT"/>
        </w:rPr>
        <w:t xml:space="preserve"> </w:t>
      </w:r>
      <w:r w:rsidR="00716CCC">
        <w:rPr>
          <w:color w:val="595959" w:themeColor="text1" w:themeTint="A6"/>
          <w:szCs w:val="24"/>
          <w:lang w:eastAsia="lt-LT"/>
        </w:rPr>
        <w:t xml:space="preserve">veiklas. Šiuo metu riziką kelia </w:t>
      </w:r>
      <w:r w:rsidR="00D540B4">
        <w:rPr>
          <w:color w:val="595959" w:themeColor="text1" w:themeTint="A6"/>
          <w:szCs w:val="24"/>
          <w:lang w:eastAsia="lt-LT"/>
        </w:rPr>
        <w:t>aplinkkelio įrengimo veikla, nes</w:t>
      </w:r>
      <w:r w:rsidR="00716CCC">
        <w:rPr>
          <w:color w:val="595959" w:themeColor="text1" w:themeTint="A6"/>
          <w:szCs w:val="24"/>
          <w:lang w:eastAsia="lt-LT"/>
        </w:rPr>
        <w:t xml:space="preserve"> </w:t>
      </w:r>
      <w:r w:rsidR="00716CCC" w:rsidRPr="00716CCC">
        <w:rPr>
          <w:color w:val="595959" w:themeColor="text1" w:themeTint="A6"/>
          <w:szCs w:val="24"/>
          <w:lang w:eastAsia="lt-LT"/>
        </w:rPr>
        <w:t>dėl</w:t>
      </w:r>
      <w:r w:rsidR="00D540B4">
        <w:rPr>
          <w:color w:val="595959" w:themeColor="text1" w:themeTint="A6"/>
          <w:szCs w:val="24"/>
          <w:lang w:eastAsia="lt-LT"/>
        </w:rPr>
        <w:t xml:space="preserve"> tebevykstančių</w:t>
      </w:r>
      <w:r w:rsidR="00716CCC" w:rsidRPr="00716CCC">
        <w:rPr>
          <w:color w:val="595959" w:themeColor="text1" w:themeTint="A6"/>
          <w:szCs w:val="24"/>
          <w:lang w:eastAsia="lt-LT"/>
        </w:rPr>
        <w:t xml:space="preserve"> derinimų su VĮ Lietuvos automobilių kelių direkcija </w:t>
      </w:r>
      <w:r w:rsidR="00716CCC">
        <w:rPr>
          <w:color w:val="595959" w:themeColor="text1" w:themeTint="A6"/>
          <w:szCs w:val="24"/>
          <w:lang w:eastAsia="lt-LT"/>
        </w:rPr>
        <w:t>iki šiol nėra parengtas</w:t>
      </w:r>
      <w:r w:rsidR="00716CCC" w:rsidRPr="00716CCC">
        <w:rPr>
          <w:color w:val="595959" w:themeColor="text1" w:themeTint="A6"/>
          <w:szCs w:val="24"/>
          <w:lang w:eastAsia="lt-LT"/>
        </w:rPr>
        <w:t xml:space="preserve"> </w:t>
      </w:r>
      <w:r w:rsidR="00D540B4">
        <w:rPr>
          <w:color w:val="595959" w:themeColor="text1" w:themeTint="A6"/>
          <w:szCs w:val="24"/>
          <w:lang w:eastAsia="lt-LT"/>
        </w:rPr>
        <w:t>jo</w:t>
      </w:r>
      <w:r w:rsidR="00716CCC">
        <w:rPr>
          <w:color w:val="595959" w:themeColor="text1" w:themeTint="A6"/>
          <w:szCs w:val="24"/>
          <w:lang w:eastAsia="lt-LT"/>
        </w:rPr>
        <w:t xml:space="preserve"> techninis</w:t>
      </w:r>
      <w:r w:rsidR="00716CCC" w:rsidRPr="00716CCC">
        <w:rPr>
          <w:color w:val="595959" w:themeColor="text1" w:themeTint="A6"/>
          <w:szCs w:val="24"/>
          <w:lang w:eastAsia="lt-LT"/>
        </w:rPr>
        <w:t xml:space="preserve"> projekt</w:t>
      </w:r>
      <w:r w:rsidR="00716CCC">
        <w:rPr>
          <w:color w:val="595959" w:themeColor="text1" w:themeTint="A6"/>
          <w:szCs w:val="24"/>
          <w:lang w:eastAsia="lt-LT"/>
        </w:rPr>
        <w:t xml:space="preserve">as. </w:t>
      </w:r>
      <w:r w:rsidR="00D540B4">
        <w:rPr>
          <w:color w:val="595959" w:themeColor="text1" w:themeTint="A6"/>
          <w:szCs w:val="24"/>
          <w:lang w:eastAsia="lt-LT"/>
        </w:rPr>
        <w:t>Iki 2022 m. gegužės mėn. nepasirašius</w:t>
      </w:r>
      <w:r w:rsidR="00716CCC" w:rsidRPr="00716CCC">
        <w:rPr>
          <w:color w:val="595959" w:themeColor="text1" w:themeTint="A6"/>
          <w:szCs w:val="24"/>
          <w:lang w:eastAsia="lt-LT"/>
        </w:rPr>
        <w:t xml:space="preserve"> </w:t>
      </w:r>
      <w:r w:rsidR="00D540B4">
        <w:rPr>
          <w:color w:val="595959" w:themeColor="text1" w:themeTint="A6"/>
          <w:szCs w:val="24"/>
          <w:lang w:eastAsia="lt-LT"/>
        </w:rPr>
        <w:t xml:space="preserve">rangos darbų sutarties Vidaus reikalų ministerija turėtų priimti sprendimą dėl šios veiklos tolesnio finansavimo tikslingumo. </w:t>
      </w:r>
    </w:p>
    <w:p w:rsidR="00FE440C" w:rsidRPr="006658F1" w:rsidRDefault="00FE440C" w:rsidP="0034618A">
      <w:pPr>
        <w:ind w:firstLine="426"/>
        <w:jc w:val="both"/>
        <w:rPr>
          <w:color w:val="595959" w:themeColor="text1" w:themeTint="A6"/>
          <w:szCs w:val="24"/>
          <w:lang w:eastAsia="lt-LT"/>
        </w:rPr>
      </w:pPr>
    </w:p>
    <w:p w:rsidR="007475E3" w:rsidRPr="006658F1" w:rsidRDefault="000305AE" w:rsidP="006C386F">
      <w:pPr>
        <w:keepNext/>
        <w:keepLines/>
        <w:jc w:val="both"/>
        <w:outlineLvl w:val="1"/>
        <w:rPr>
          <w:rFonts w:eastAsiaTheme="majorEastAsia"/>
          <w:b/>
          <w:bCs/>
          <w:color w:val="595959" w:themeColor="text1" w:themeTint="A6"/>
          <w:szCs w:val="24"/>
          <w:lang w:eastAsia="lt-LT"/>
        </w:rPr>
      </w:pPr>
      <w:bookmarkStart w:id="20" w:name="_Toc86414514"/>
      <w:r w:rsidRPr="006658F1">
        <w:rPr>
          <w:rFonts w:eastAsiaTheme="majorEastAsia"/>
          <w:b/>
          <w:bCs/>
          <w:color w:val="595959" w:themeColor="text1" w:themeTint="A6"/>
          <w:szCs w:val="24"/>
          <w:lang w:eastAsia="lt-LT"/>
        </w:rPr>
        <w:t>5 prioritetas. Aplinkosauga, gamtos išteklių darnus naudojimas ir prisitaikymas prie klimato kaitos</w:t>
      </w:r>
      <w:bookmarkEnd w:id="19"/>
      <w:bookmarkEnd w:id="20"/>
    </w:p>
    <w:p w:rsidR="00B3224A" w:rsidRPr="006658F1" w:rsidRDefault="00B3224A" w:rsidP="008510B0">
      <w:pPr>
        <w:pStyle w:val="tekstas"/>
        <w:ind w:firstLine="0"/>
        <w:rPr>
          <w:rFonts w:ascii="Times New Roman" w:hAnsi="Times New Roman"/>
          <w:color w:val="595959" w:themeColor="text1" w:themeTint="A6"/>
          <w:lang w:eastAsia="lt-LT"/>
        </w:rPr>
      </w:pPr>
      <w:bookmarkStart w:id="21" w:name="_Toc10104957"/>
    </w:p>
    <w:p w:rsidR="008D585D" w:rsidRPr="006658F1" w:rsidRDefault="00133C7A"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347D1B45" wp14:editId="3E8BFBDC">
            <wp:extent cx="6120130" cy="1659696"/>
            <wp:effectExtent l="0" t="0" r="13970" b="17145"/>
            <wp:docPr id="30" name="Diagra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D585D" w:rsidRPr="006658F1" w:rsidRDefault="008D585D" w:rsidP="008510B0">
      <w:pPr>
        <w:pStyle w:val="tekstas"/>
        <w:ind w:firstLine="0"/>
        <w:rPr>
          <w:rFonts w:ascii="Times New Roman" w:hAnsi="Times New Roman"/>
          <w:color w:val="595959" w:themeColor="text1" w:themeTint="A6"/>
          <w:lang w:eastAsia="lt-LT"/>
        </w:rPr>
      </w:pPr>
    </w:p>
    <w:p w:rsidR="00957E71" w:rsidRPr="006658F1" w:rsidRDefault="00D931F2" w:rsidP="00E57323">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Aplinkos sektoriuje svarbiausia sritimi išlieka efektyvus ES lėšų investavimas šalinant pažeidimą </w:t>
      </w:r>
      <w:r w:rsidR="005C5A9B" w:rsidRPr="006658F1">
        <w:rPr>
          <w:rFonts w:ascii="Times New Roman" w:hAnsi="Times New Roman"/>
          <w:color w:val="595959" w:themeColor="text1" w:themeTint="A6"/>
          <w:lang w:eastAsia="lt-LT"/>
        </w:rPr>
        <w:t xml:space="preserve">dėl </w:t>
      </w:r>
      <w:r w:rsidR="00510948" w:rsidRPr="006658F1">
        <w:rPr>
          <w:rFonts w:ascii="Times New Roman" w:hAnsi="Times New Roman"/>
        </w:rPr>
        <w:t>netinkamo Miesto nuotekų direktyvos įgyvendinimo</w:t>
      </w:r>
      <w:r w:rsidR="00CB683C" w:rsidRPr="006658F1">
        <w:rPr>
          <w:rFonts w:ascii="Times New Roman" w:hAnsi="Times New Roman"/>
        </w:rPr>
        <w:t xml:space="preserve"> (toliau – Direktyva) </w:t>
      </w:r>
      <w:r w:rsidR="0007407F" w:rsidRPr="006658F1">
        <w:rPr>
          <w:rFonts w:ascii="Times New Roman" w:hAnsi="Times New Roman"/>
        </w:rPr>
        <w:t>–</w:t>
      </w:r>
      <w:r w:rsidR="00CB683C"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 xml:space="preserve">nepakankamo gyventojų prijungimo prie centralizuotų nuotekų tinklų. </w:t>
      </w:r>
      <w:r w:rsidR="00957E71" w:rsidRPr="006658F1">
        <w:rPr>
          <w:rFonts w:ascii="Times New Roman" w:hAnsi="Times New Roman"/>
          <w:color w:val="595959" w:themeColor="text1" w:themeTint="A6"/>
          <w:lang w:eastAsia="lt-LT"/>
        </w:rPr>
        <w:t xml:space="preserve">Europos Komisija </w:t>
      </w:r>
      <w:r w:rsidR="00CB683C" w:rsidRPr="006658F1">
        <w:rPr>
          <w:rFonts w:ascii="Times New Roman" w:hAnsi="Times New Roman"/>
          <w:color w:val="595959" w:themeColor="text1" w:themeTint="A6"/>
          <w:lang w:eastAsia="lt-LT"/>
        </w:rPr>
        <w:t>yra išreiškusi</w:t>
      </w:r>
      <w:r w:rsidR="00957E71" w:rsidRPr="006658F1">
        <w:rPr>
          <w:rFonts w:ascii="Times New Roman" w:hAnsi="Times New Roman"/>
          <w:color w:val="595959" w:themeColor="text1" w:themeTint="A6"/>
          <w:lang w:eastAsia="lt-LT"/>
        </w:rPr>
        <w:t xml:space="preserve"> abejonę dėl v</w:t>
      </w:r>
      <w:r w:rsidR="005C0032" w:rsidRPr="006658F1">
        <w:rPr>
          <w:rFonts w:ascii="Times New Roman" w:hAnsi="Times New Roman"/>
          <w:color w:val="595959" w:themeColor="text1" w:themeTint="A6"/>
          <w:lang w:eastAsia="lt-LT"/>
        </w:rPr>
        <w:t>a</w:t>
      </w:r>
      <w:r w:rsidR="00957E71" w:rsidRPr="006658F1">
        <w:rPr>
          <w:rFonts w:ascii="Times New Roman" w:hAnsi="Times New Roman"/>
          <w:color w:val="595959" w:themeColor="text1" w:themeTint="A6"/>
          <w:lang w:eastAsia="lt-LT"/>
        </w:rPr>
        <w:t>ndentvarkos priemonėse nustatytų r</w:t>
      </w:r>
      <w:r w:rsidR="009333FC">
        <w:rPr>
          <w:rFonts w:ascii="Times New Roman" w:hAnsi="Times New Roman"/>
          <w:color w:val="595959" w:themeColor="text1" w:themeTint="A6"/>
          <w:lang w:eastAsia="lt-LT"/>
        </w:rPr>
        <w:t>odiklių visa apimtimi pasiekimo,</w:t>
      </w:r>
      <w:r w:rsidR="00957E71" w:rsidRPr="006658F1">
        <w:rPr>
          <w:rFonts w:ascii="Times New Roman" w:hAnsi="Times New Roman"/>
          <w:color w:val="595959" w:themeColor="text1" w:themeTint="A6"/>
          <w:lang w:eastAsia="lt-LT"/>
        </w:rPr>
        <w:t xml:space="preserve"> </w:t>
      </w:r>
      <w:r w:rsidR="009333FC">
        <w:rPr>
          <w:rFonts w:ascii="Times New Roman" w:hAnsi="Times New Roman"/>
          <w:color w:val="595959" w:themeColor="text1" w:themeTint="A6"/>
          <w:lang w:eastAsia="lt-LT"/>
        </w:rPr>
        <w:t>t</w:t>
      </w:r>
      <w:r w:rsidR="00CB683C" w:rsidRPr="006658F1">
        <w:rPr>
          <w:rFonts w:ascii="Times New Roman" w:hAnsi="Times New Roman"/>
          <w:color w:val="595959" w:themeColor="text1" w:themeTint="A6"/>
          <w:lang w:eastAsia="lt-LT"/>
        </w:rPr>
        <w:t>ačiau, a</w:t>
      </w:r>
      <w:r w:rsidR="00957E71" w:rsidRPr="006658F1">
        <w:rPr>
          <w:rFonts w:ascii="Times New Roman" w:hAnsi="Times New Roman"/>
          <w:color w:val="595959" w:themeColor="text1" w:themeTint="A6"/>
          <w:lang w:eastAsia="lt-LT"/>
        </w:rPr>
        <w:t>tsižvelgiant į įgyven</w:t>
      </w:r>
      <w:r w:rsidR="00CB683C" w:rsidRPr="006658F1">
        <w:rPr>
          <w:rFonts w:ascii="Times New Roman" w:hAnsi="Times New Roman"/>
          <w:color w:val="595959" w:themeColor="text1" w:themeTint="A6"/>
          <w:lang w:eastAsia="lt-LT"/>
        </w:rPr>
        <w:t>dinamus veiksmus</w:t>
      </w:r>
      <w:r w:rsidR="00E57323" w:rsidRPr="006658F1">
        <w:rPr>
          <w:rFonts w:ascii="Times New Roman" w:hAnsi="Times New Roman"/>
          <w:color w:val="595959" w:themeColor="text1" w:themeTint="A6"/>
          <w:lang w:eastAsia="lt-LT"/>
        </w:rPr>
        <w:t xml:space="preserve"> – pakeistus priemonių projektų atrankos kriterijus,</w:t>
      </w:r>
      <w:r w:rsidR="00B85678" w:rsidRPr="006658F1">
        <w:rPr>
          <w:rFonts w:ascii="Times New Roman" w:hAnsi="Times New Roman"/>
          <w:color w:val="595959" w:themeColor="text1" w:themeTint="A6"/>
          <w:lang w:eastAsia="lt-LT"/>
        </w:rPr>
        <w:t xml:space="preserve"> </w:t>
      </w:r>
      <w:r w:rsidR="00CB683C" w:rsidRPr="006658F1">
        <w:rPr>
          <w:rFonts w:ascii="Times New Roman" w:hAnsi="Times New Roman"/>
          <w:color w:val="595959" w:themeColor="text1" w:themeTint="A6"/>
          <w:lang w:eastAsia="lt-LT"/>
        </w:rPr>
        <w:t xml:space="preserve">ministerijos </w:t>
      </w:r>
      <w:r w:rsidR="00E57323" w:rsidRPr="006658F1">
        <w:rPr>
          <w:rFonts w:ascii="Times New Roman" w:hAnsi="Times New Roman"/>
          <w:color w:val="595959" w:themeColor="text1" w:themeTint="A6"/>
          <w:lang w:eastAsia="lt-LT"/>
        </w:rPr>
        <w:t>aktyvų</w:t>
      </w:r>
      <w:r w:rsidR="00CB683C" w:rsidRPr="006658F1">
        <w:rPr>
          <w:rFonts w:ascii="Times New Roman" w:hAnsi="Times New Roman"/>
          <w:color w:val="595959" w:themeColor="text1" w:themeTint="A6"/>
          <w:lang w:eastAsia="lt-LT"/>
        </w:rPr>
        <w:t xml:space="preserve"> bendradarbiavimą su savivaldybėmis, kuriose atotrūkis </w:t>
      </w:r>
      <w:r w:rsidR="009F3E7F">
        <w:rPr>
          <w:rFonts w:ascii="Times New Roman" w:hAnsi="Times New Roman"/>
          <w:color w:val="595959" w:themeColor="text1" w:themeTint="A6"/>
          <w:lang w:eastAsia="lt-LT"/>
        </w:rPr>
        <w:t>nuo</w:t>
      </w:r>
      <w:r w:rsidR="00CB683C" w:rsidRPr="006658F1">
        <w:rPr>
          <w:rFonts w:ascii="Times New Roman" w:hAnsi="Times New Roman"/>
          <w:color w:val="595959" w:themeColor="text1" w:themeTint="A6"/>
          <w:lang w:eastAsia="lt-LT"/>
        </w:rPr>
        <w:t xml:space="preserve"> Direktyvos </w:t>
      </w:r>
      <w:r w:rsidR="00983475" w:rsidRPr="006658F1">
        <w:rPr>
          <w:rFonts w:ascii="Times New Roman" w:hAnsi="Times New Roman"/>
          <w:color w:val="595959" w:themeColor="text1" w:themeTint="A6"/>
          <w:lang w:eastAsia="lt-LT"/>
        </w:rPr>
        <w:t xml:space="preserve">reikalavimų </w:t>
      </w:r>
      <w:r w:rsidR="00CB683C" w:rsidRPr="006658F1">
        <w:rPr>
          <w:rFonts w:ascii="Times New Roman" w:hAnsi="Times New Roman"/>
          <w:color w:val="595959" w:themeColor="text1" w:themeTint="A6"/>
          <w:lang w:eastAsia="lt-LT"/>
        </w:rPr>
        <w:t>įgyvendinimo</w:t>
      </w:r>
      <w:r w:rsidR="00983475" w:rsidRPr="006658F1">
        <w:rPr>
          <w:rFonts w:ascii="Times New Roman" w:hAnsi="Times New Roman"/>
          <w:color w:val="595959" w:themeColor="text1" w:themeTint="A6"/>
          <w:lang w:eastAsia="lt-LT"/>
        </w:rPr>
        <w:t xml:space="preserve"> yra</w:t>
      </w:r>
      <w:r w:rsidR="00CB683C" w:rsidRPr="006658F1">
        <w:rPr>
          <w:rFonts w:ascii="Times New Roman" w:hAnsi="Times New Roman"/>
          <w:color w:val="595959" w:themeColor="text1" w:themeTint="A6"/>
          <w:lang w:eastAsia="lt-LT"/>
        </w:rPr>
        <w:t xml:space="preserve"> didžiausias</w:t>
      </w:r>
      <w:r w:rsidR="00E57323" w:rsidRPr="006658F1">
        <w:rPr>
          <w:rFonts w:ascii="Times New Roman" w:hAnsi="Times New Roman"/>
          <w:color w:val="595959" w:themeColor="text1" w:themeTint="A6"/>
          <w:lang w:eastAsia="lt-LT"/>
        </w:rPr>
        <w:t xml:space="preserve">, </w:t>
      </w:r>
      <w:r w:rsidR="00957E71" w:rsidRPr="006658F1">
        <w:rPr>
          <w:rFonts w:ascii="Times New Roman" w:hAnsi="Times New Roman"/>
          <w:color w:val="595959" w:themeColor="text1" w:themeTint="A6"/>
          <w:lang w:eastAsia="lt-LT"/>
        </w:rPr>
        <w:t>rizika nepasiekti rodiklių nėra didelė.</w:t>
      </w:r>
    </w:p>
    <w:p w:rsidR="00D931F2" w:rsidRPr="006658F1" w:rsidRDefault="00E12923" w:rsidP="00D931F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Teismui priėmus sprendimą dėl paskutinio konkurso laimėtojo neatitikimo reikalavimams</w:t>
      </w:r>
      <w:r w:rsidR="003045A3">
        <w:rPr>
          <w:rFonts w:ascii="Times New Roman" w:hAnsi="Times New Roman"/>
          <w:color w:val="595959" w:themeColor="text1" w:themeTint="A6"/>
          <w:lang w:eastAsia="lt-LT"/>
        </w:rPr>
        <w:t>,</w:t>
      </w:r>
      <w:r w:rsidR="00D33F20">
        <w:rPr>
          <w:rFonts w:ascii="Times New Roman" w:hAnsi="Times New Roman"/>
          <w:color w:val="595959" w:themeColor="text1" w:themeTint="A6"/>
          <w:lang w:eastAsia="lt-LT"/>
        </w:rPr>
        <w:t xml:space="preserve"> Aplinkos ministerija kartu su </w:t>
      </w:r>
      <w:r w:rsidR="00417812">
        <w:rPr>
          <w:rFonts w:ascii="Times New Roman" w:hAnsi="Times New Roman"/>
          <w:color w:val="595959" w:themeColor="text1" w:themeTint="A6"/>
          <w:lang w:eastAsia="lt-LT"/>
        </w:rPr>
        <w:t>APVA</w:t>
      </w:r>
      <w:r w:rsidR="00D33F20">
        <w:rPr>
          <w:rFonts w:ascii="Times New Roman" w:hAnsi="Times New Roman"/>
          <w:color w:val="595959" w:themeColor="text1" w:themeTint="A6"/>
          <w:lang w:eastAsia="lt-LT"/>
        </w:rPr>
        <w:t>, įvertinusios projekto įgyvendinimo rizikas, nusprendė nebeatnaujinti</w:t>
      </w:r>
      <w:r w:rsidR="00D931F2" w:rsidRPr="006658F1">
        <w:rPr>
          <w:rFonts w:ascii="Times New Roman" w:hAnsi="Times New Roman"/>
          <w:color w:val="595959" w:themeColor="text1" w:themeTint="A6"/>
          <w:lang w:eastAsia="lt-LT"/>
        </w:rPr>
        <w:t xml:space="preserve"> </w:t>
      </w:r>
      <w:r w:rsidR="005C0032" w:rsidRPr="006658F1">
        <w:rPr>
          <w:rFonts w:ascii="Times New Roman" w:hAnsi="Times New Roman"/>
          <w:color w:val="595959" w:themeColor="text1" w:themeTint="A6"/>
          <w:lang w:eastAsia="lt-LT"/>
        </w:rPr>
        <w:t>pirkimo procedūrų vykdym</w:t>
      </w:r>
      <w:r w:rsidR="00D33F20">
        <w:rPr>
          <w:rFonts w:ascii="Times New Roman" w:hAnsi="Times New Roman"/>
          <w:color w:val="595959" w:themeColor="text1" w:themeTint="A6"/>
          <w:lang w:eastAsia="lt-LT"/>
        </w:rPr>
        <w:t>o dėl</w:t>
      </w:r>
      <w:r w:rsidR="00D931F2" w:rsidRPr="006658F1">
        <w:rPr>
          <w:rFonts w:ascii="Times New Roman" w:hAnsi="Times New Roman"/>
          <w:color w:val="595959" w:themeColor="text1" w:themeTint="A6"/>
          <w:lang w:eastAsia="lt-LT"/>
        </w:rPr>
        <w:t xml:space="preserve"> taršos incidentų Baltijos jūroje likvidavimo laivo pirkimo. Atsižvelgiant į tai, kad laivui pastatyti reikia apie 24 mėnesių, o galutinis laivo pastatymo terminas priklausy</w:t>
      </w:r>
      <w:r w:rsidR="00D33F20">
        <w:rPr>
          <w:rFonts w:ascii="Times New Roman" w:hAnsi="Times New Roman"/>
          <w:color w:val="595959" w:themeColor="text1" w:themeTint="A6"/>
          <w:lang w:eastAsia="lt-LT"/>
        </w:rPr>
        <w:t>tų</w:t>
      </w:r>
      <w:r w:rsidR="00D931F2" w:rsidRPr="006658F1">
        <w:rPr>
          <w:rFonts w:ascii="Times New Roman" w:hAnsi="Times New Roman"/>
          <w:color w:val="595959" w:themeColor="text1" w:themeTint="A6"/>
          <w:lang w:eastAsia="lt-LT"/>
        </w:rPr>
        <w:t xml:space="preserve"> nuo pirkimo laimėtojo pasiūlymo ir rangos sutarties pasirašymo datos</w:t>
      </w:r>
      <w:r w:rsidR="0007407F" w:rsidRPr="006658F1">
        <w:rPr>
          <w:rFonts w:ascii="Times New Roman" w:hAnsi="Times New Roman"/>
          <w:color w:val="595959" w:themeColor="text1" w:themeTint="A6"/>
          <w:lang w:eastAsia="lt-LT"/>
        </w:rPr>
        <w:t>,</w:t>
      </w:r>
      <w:r w:rsidR="00F76026" w:rsidRPr="006658F1">
        <w:rPr>
          <w:rFonts w:ascii="Times New Roman" w:hAnsi="Times New Roman"/>
          <w:color w:val="595959" w:themeColor="text1" w:themeTint="A6"/>
          <w:lang w:eastAsia="lt-LT"/>
        </w:rPr>
        <w:t xml:space="preserve"> yra didelė rizika laiku ne</w:t>
      </w:r>
      <w:r w:rsidR="00DC02EE" w:rsidRPr="006658F1">
        <w:rPr>
          <w:rFonts w:ascii="Times New Roman" w:hAnsi="Times New Roman"/>
          <w:color w:val="595959" w:themeColor="text1" w:themeTint="A6"/>
          <w:lang w:eastAsia="lt-LT"/>
        </w:rPr>
        <w:t>spėti įgyvendinti projekto</w:t>
      </w:r>
      <w:r w:rsidR="00B3011F" w:rsidRPr="006658F1">
        <w:rPr>
          <w:rFonts w:ascii="Times New Roman" w:hAnsi="Times New Roman"/>
          <w:color w:val="595959" w:themeColor="text1" w:themeTint="A6"/>
          <w:lang w:eastAsia="lt-LT"/>
        </w:rPr>
        <w:t>.</w:t>
      </w:r>
      <w:r w:rsidR="00D33F20">
        <w:rPr>
          <w:rFonts w:ascii="Times New Roman" w:hAnsi="Times New Roman"/>
          <w:color w:val="595959" w:themeColor="text1" w:themeTint="A6"/>
          <w:lang w:eastAsia="lt-LT"/>
        </w:rPr>
        <w:t xml:space="preserve"> </w:t>
      </w:r>
      <w:r w:rsidR="00B3011F" w:rsidRPr="006658F1">
        <w:rPr>
          <w:rFonts w:ascii="Times New Roman" w:hAnsi="Times New Roman"/>
          <w:color w:val="595959" w:themeColor="text1" w:themeTint="A6"/>
          <w:lang w:eastAsia="lt-LT"/>
        </w:rPr>
        <w:t>Atsižvelgiant į tai,</w:t>
      </w:r>
      <w:r w:rsidR="00DC02EE" w:rsidRPr="006658F1">
        <w:rPr>
          <w:rFonts w:ascii="Times New Roman" w:hAnsi="Times New Roman"/>
          <w:color w:val="595959" w:themeColor="text1" w:themeTint="A6"/>
          <w:lang w:eastAsia="lt-LT"/>
        </w:rPr>
        <w:t xml:space="preserve"> Aplinkos ministerija </w:t>
      </w:r>
      <w:r w:rsidR="009F69A5">
        <w:rPr>
          <w:rFonts w:ascii="Times New Roman" w:hAnsi="Times New Roman"/>
          <w:color w:val="595959" w:themeColor="text1" w:themeTint="A6"/>
          <w:lang w:eastAsia="lt-LT"/>
        </w:rPr>
        <w:t xml:space="preserve">pateikė detalų </w:t>
      </w:r>
      <w:r w:rsidR="00275D92">
        <w:rPr>
          <w:rFonts w:ascii="Times New Roman" w:hAnsi="Times New Roman"/>
          <w:color w:val="595959" w:themeColor="text1" w:themeTint="A6"/>
          <w:lang w:eastAsia="lt-LT"/>
        </w:rPr>
        <w:t xml:space="preserve">sąrašą </w:t>
      </w:r>
      <w:r w:rsidR="009F69A5">
        <w:rPr>
          <w:rFonts w:ascii="Times New Roman" w:hAnsi="Times New Roman"/>
          <w:color w:val="595959" w:themeColor="text1" w:themeTint="A6"/>
          <w:lang w:eastAsia="lt-LT"/>
        </w:rPr>
        <w:t xml:space="preserve">projektų, </w:t>
      </w:r>
      <w:r w:rsidR="00275D92">
        <w:rPr>
          <w:rFonts w:ascii="Times New Roman" w:hAnsi="Times New Roman"/>
          <w:color w:val="595959" w:themeColor="text1" w:themeTint="A6"/>
          <w:lang w:eastAsia="lt-LT"/>
        </w:rPr>
        <w:t>kuriems</w:t>
      </w:r>
      <w:r w:rsidR="009F69A5">
        <w:rPr>
          <w:rFonts w:ascii="Times New Roman" w:hAnsi="Times New Roman"/>
          <w:color w:val="595959" w:themeColor="text1" w:themeTint="A6"/>
          <w:lang w:eastAsia="lt-LT"/>
        </w:rPr>
        <w:t xml:space="preserve"> planuotų skirti papildom</w:t>
      </w:r>
      <w:r w:rsidR="00275D92">
        <w:rPr>
          <w:rFonts w:ascii="Times New Roman" w:hAnsi="Times New Roman"/>
          <w:color w:val="595959" w:themeColor="text1" w:themeTint="A6"/>
          <w:lang w:eastAsia="lt-LT"/>
        </w:rPr>
        <w:t>ą</w:t>
      </w:r>
      <w:r w:rsidR="009F69A5">
        <w:rPr>
          <w:rFonts w:ascii="Times New Roman" w:hAnsi="Times New Roman"/>
          <w:color w:val="595959" w:themeColor="text1" w:themeTint="A6"/>
          <w:lang w:eastAsia="lt-LT"/>
        </w:rPr>
        <w:t xml:space="preserve"> </w:t>
      </w:r>
      <w:r w:rsidR="00275D92">
        <w:rPr>
          <w:rFonts w:ascii="Times New Roman" w:hAnsi="Times New Roman"/>
          <w:color w:val="595959" w:themeColor="text1" w:themeTint="A6"/>
          <w:lang w:eastAsia="lt-LT"/>
        </w:rPr>
        <w:t>finansavimą</w:t>
      </w:r>
      <w:r w:rsidR="009F69A5">
        <w:rPr>
          <w:rFonts w:ascii="Times New Roman" w:hAnsi="Times New Roman"/>
          <w:color w:val="595959" w:themeColor="text1" w:themeTint="A6"/>
          <w:lang w:eastAsia="lt-LT"/>
        </w:rPr>
        <w:t>.</w:t>
      </w:r>
      <w:r w:rsidR="00275D92">
        <w:rPr>
          <w:rFonts w:ascii="Times New Roman" w:hAnsi="Times New Roman"/>
          <w:color w:val="595959" w:themeColor="text1" w:themeTint="A6"/>
          <w:lang w:eastAsia="lt-LT"/>
        </w:rPr>
        <w:t xml:space="preserve"> Sprendimą dėl</w:t>
      </w:r>
      <w:r w:rsidR="000171AE">
        <w:rPr>
          <w:rFonts w:ascii="Times New Roman" w:hAnsi="Times New Roman"/>
          <w:color w:val="595959" w:themeColor="text1" w:themeTint="A6"/>
          <w:lang w:eastAsia="lt-LT"/>
        </w:rPr>
        <w:t xml:space="preserve"> </w:t>
      </w:r>
      <w:r w:rsidR="00275D92">
        <w:rPr>
          <w:rFonts w:ascii="Times New Roman" w:hAnsi="Times New Roman"/>
          <w:color w:val="595959" w:themeColor="text1" w:themeTint="A6"/>
          <w:lang w:eastAsia="lt-LT"/>
        </w:rPr>
        <w:t>likusių laivo lėšų panaudojimo p</w:t>
      </w:r>
      <w:r w:rsidR="000171AE">
        <w:rPr>
          <w:rFonts w:ascii="Times New Roman" w:hAnsi="Times New Roman"/>
          <w:color w:val="595959" w:themeColor="text1" w:themeTint="A6"/>
          <w:lang w:eastAsia="lt-LT"/>
        </w:rPr>
        <w:t xml:space="preserve">lanuojama </w:t>
      </w:r>
      <w:r w:rsidR="00275D92">
        <w:rPr>
          <w:rFonts w:ascii="Times New Roman" w:hAnsi="Times New Roman"/>
          <w:color w:val="595959" w:themeColor="text1" w:themeTint="A6"/>
          <w:lang w:eastAsia="lt-LT"/>
        </w:rPr>
        <w:t xml:space="preserve">priimti </w:t>
      </w:r>
      <w:r w:rsidR="000171AE">
        <w:rPr>
          <w:rFonts w:ascii="Times New Roman" w:hAnsi="Times New Roman"/>
          <w:color w:val="595959" w:themeColor="text1" w:themeTint="A6"/>
          <w:lang w:eastAsia="lt-LT"/>
        </w:rPr>
        <w:t>p</w:t>
      </w:r>
      <w:r w:rsidR="00DC49D0">
        <w:rPr>
          <w:rFonts w:ascii="Times New Roman" w:hAnsi="Times New Roman"/>
          <w:color w:val="595959" w:themeColor="text1" w:themeTint="A6"/>
          <w:lang w:eastAsia="lt-LT"/>
        </w:rPr>
        <w:t xml:space="preserve">er 2021m. IV </w:t>
      </w:r>
      <w:proofErr w:type="spellStart"/>
      <w:r w:rsidR="00DC49D0">
        <w:rPr>
          <w:rFonts w:ascii="Times New Roman" w:hAnsi="Times New Roman"/>
          <w:color w:val="595959" w:themeColor="text1" w:themeTint="A6"/>
          <w:lang w:eastAsia="lt-LT"/>
        </w:rPr>
        <w:t>ketv</w:t>
      </w:r>
      <w:proofErr w:type="spellEnd"/>
      <w:r w:rsidR="00DC49D0">
        <w:rPr>
          <w:rFonts w:ascii="Times New Roman" w:hAnsi="Times New Roman"/>
          <w:color w:val="595959" w:themeColor="text1" w:themeTint="A6"/>
          <w:lang w:eastAsia="lt-LT"/>
        </w:rPr>
        <w:t>.</w:t>
      </w:r>
    </w:p>
    <w:p w:rsidR="00D931F2" w:rsidRPr="006658F1" w:rsidRDefault="00D931F2" w:rsidP="00D931F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Kitam</w:t>
      </w:r>
      <w:r w:rsidR="00E12923" w:rsidRPr="006658F1">
        <w:rPr>
          <w:rFonts w:ascii="Times New Roman" w:hAnsi="Times New Roman"/>
          <w:color w:val="595959" w:themeColor="text1" w:themeTint="A6"/>
          <w:lang w:eastAsia="lt-LT"/>
        </w:rPr>
        <w:t>e</w:t>
      </w:r>
      <w:r w:rsidRPr="006658F1">
        <w:rPr>
          <w:rFonts w:ascii="Times New Roman" w:hAnsi="Times New Roman"/>
          <w:color w:val="595959" w:themeColor="text1" w:themeTint="A6"/>
          <w:lang w:eastAsia="lt-LT"/>
        </w:rPr>
        <w:t xml:space="preserve"> didelės rizikos Lietuvos zoologijo</w:t>
      </w:r>
      <w:r w:rsidR="00E12923" w:rsidRPr="006658F1">
        <w:rPr>
          <w:rFonts w:ascii="Times New Roman" w:hAnsi="Times New Roman"/>
          <w:color w:val="595959" w:themeColor="text1" w:themeTint="A6"/>
          <w:lang w:eastAsia="lt-LT"/>
        </w:rPr>
        <w:t>s sodo rekonstrukcijos projekte</w:t>
      </w:r>
      <w:r w:rsidRPr="006658F1">
        <w:rPr>
          <w:rFonts w:ascii="Times New Roman" w:hAnsi="Times New Roman"/>
          <w:color w:val="595959" w:themeColor="text1" w:themeTint="A6"/>
          <w:lang w:eastAsia="lt-LT"/>
        </w:rPr>
        <w:t xml:space="preserve"> liepos 26 d. sudaryt</w:t>
      </w:r>
      <w:r w:rsidR="002A0E53">
        <w:rPr>
          <w:rFonts w:ascii="Times New Roman" w:hAnsi="Times New Roman"/>
          <w:color w:val="595959" w:themeColor="text1" w:themeTint="A6"/>
          <w:lang w:eastAsia="lt-LT"/>
        </w:rPr>
        <w:t>a</w:t>
      </w:r>
      <w:r w:rsidR="00FA7FAA">
        <w:rPr>
          <w:rFonts w:ascii="Times New Roman" w:hAnsi="Times New Roman"/>
          <w:color w:val="595959" w:themeColor="text1" w:themeTint="A6"/>
          <w:lang w:eastAsia="lt-LT"/>
        </w:rPr>
        <w:t xml:space="preserve"> </w:t>
      </w:r>
      <w:r w:rsidR="002A0E53">
        <w:rPr>
          <w:rFonts w:ascii="Times New Roman" w:hAnsi="Times New Roman"/>
          <w:color w:val="595959" w:themeColor="text1" w:themeTint="A6"/>
          <w:lang w:eastAsia="lt-LT"/>
        </w:rPr>
        <w:t>darbų rangos</w:t>
      </w:r>
      <w:r w:rsidR="0047092B">
        <w:rPr>
          <w:rFonts w:ascii="Times New Roman" w:hAnsi="Times New Roman"/>
          <w:color w:val="595959" w:themeColor="text1" w:themeTint="A6"/>
          <w:lang w:eastAsia="lt-LT"/>
        </w:rPr>
        <w:t xml:space="preserve"> sutartis</w:t>
      </w:r>
      <w:r w:rsidR="002A0E53">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 xml:space="preserve">(už </w:t>
      </w:r>
      <w:r w:rsidR="002A0E53" w:rsidRPr="00DC49D0">
        <w:rPr>
          <w:rFonts w:ascii="Times New Roman" w:hAnsi="Times New Roman"/>
          <w:color w:val="595959" w:themeColor="text1" w:themeTint="A6"/>
          <w:lang w:eastAsia="lt-LT"/>
        </w:rPr>
        <w:t>13,78</w:t>
      </w:r>
      <w:r w:rsidRPr="006658F1">
        <w:rPr>
          <w:rFonts w:ascii="Times New Roman" w:hAnsi="Times New Roman"/>
          <w:color w:val="595959" w:themeColor="text1" w:themeTint="A6"/>
          <w:lang w:eastAsia="lt-LT"/>
        </w:rPr>
        <w:t xml:space="preserve"> mln. eurų). Aplinkos ministerija kartu su APVA sustiprin</w:t>
      </w:r>
      <w:r w:rsidR="005C5A9B" w:rsidRPr="006658F1">
        <w:rPr>
          <w:rFonts w:ascii="Times New Roman" w:hAnsi="Times New Roman"/>
          <w:color w:val="595959" w:themeColor="text1" w:themeTint="A6"/>
          <w:lang w:eastAsia="lt-LT"/>
        </w:rPr>
        <w:t>o</w:t>
      </w:r>
      <w:r w:rsidRPr="006658F1">
        <w:rPr>
          <w:rFonts w:ascii="Times New Roman" w:hAnsi="Times New Roman"/>
          <w:color w:val="595959" w:themeColor="text1" w:themeTint="A6"/>
          <w:lang w:eastAsia="lt-LT"/>
        </w:rPr>
        <w:t xml:space="preserve"> šio projekto vykdymo eigos stebėseną</w:t>
      </w:r>
      <w:r w:rsidR="006C2F97">
        <w:rPr>
          <w:rFonts w:ascii="Times New Roman" w:hAnsi="Times New Roman"/>
          <w:color w:val="595959" w:themeColor="text1" w:themeTint="A6"/>
          <w:lang w:eastAsia="lt-LT"/>
        </w:rPr>
        <w:t xml:space="preserve"> ir</w:t>
      </w:r>
      <w:r w:rsidR="001F6FD8">
        <w:rPr>
          <w:rFonts w:ascii="Times New Roman" w:hAnsi="Times New Roman"/>
          <w:color w:val="595959" w:themeColor="text1" w:themeTint="A6"/>
          <w:lang w:eastAsia="lt-LT"/>
        </w:rPr>
        <w:t xml:space="preserve"> sudarytai komisijai projekto vykdytojas </w:t>
      </w:r>
      <w:r w:rsidR="006C2F97">
        <w:rPr>
          <w:rFonts w:ascii="Times New Roman" w:hAnsi="Times New Roman"/>
          <w:color w:val="595959" w:themeColor="text1" w:themeTint="A6"/>
          <w:lang w:eastAsia="lt-LT"/>
        </w:rPr>
        <w:t xml:space="preserve">kas savaitę </w:t>
      </w:r>
      <w:r w:rsidR="001F6FD8">
        <w:rPr>
          <w:rFonts w:ascii="Times New Roman" w:hAnsi="Times New Roman"/>
          <w:color w:val="595959" w:themeColor="text1" w:themeTint="A6"/>
          <w:lang w:eastAsia="lt-LT"/>
        </w:rPr>
        <w:t xml:space="preserve">teikia informaciją. </w:t>
      </w:r>
      <w:r w:rsidR="006C2F97">
        <w:rPr>
          <w:rFonts w:ascii="Times New Roman" w:hAnsi="Times New Roman"/>
          <w:color w:val="595959" w:themeColor="text1" w:themeTint="A6"/>
          <w:lang w:eastAsia="lt-LT"/>
        </w:rPr>
        <w:t>Projektą p</w:t>
      </w:r>
      <w:r w:rsidR="001F6FD8">
        <w:rPr>
          <w:rFonts w:ascii="Times New Roman" w:hAnsi="Times New Roman"/>
          <w:color w:val="595959" w:themeColor="text1" w:themeTint="A6"/>
          <w:lang w:eastAsia="lt-LT"/>
        </w:rPr>
        <w:t xml:space="preserve">lanuojama užbaigti iki </w:t>
      </w:r>
      <w:r w:rsidR="001F6FD8" w:rsidRPr="00DC49D0">
        <w:rPr>
          <w:rFonts w:ascii="Times New Roman" w:hAnsi="Times New Roman"/>
          <w:color w:val="595959" w:themeColor="text1" w:themeTint="A6"/>
          <w:lang w:eastAsia="lt-LT"/>
        </w:rPr>
        <w:t>2023 m. baland</w:t>
      </w:r>
      <w:r w:rsidR="001F6FD8">
        <w:rPr>
          <w:rFonts w:ascii="Times New Roman" w:hAnsi="Times New Roman"/>
          <w:color w:val="595959" w:themeColor="text1" w:themeTint="A6"/>
          <w:lang w:eastAsia="lt-LT"/>
        </w:rPr>
        <w:t>žio mėn. pabaigos, todėl šiuo metu visos projekto rizikos valdomos</w:t>
      </w:r>
      <w:r w:rsidRPr="006658F1">
        <w:rPr>
          <w:rFonts w:ascii="Times New Roman" w:hAnsi="Times New Roman"/>
          <w:color w:val="595959" w:themeColor="text1" w:themeTint="A6"/>
          <w:lang w:eastAsia="lt-LT"/>
        </w:rPr>
        <w:t>.</w:t>
      </w:r>
    </w:p>
    <w:p w:rsidR="00A81FD0" w:rsidRPr="00351ABC" w:rsidRDefault="00D931F2" w:rsidP="00A81FD0">
      <w:pPr>
        <w:ind w:firstLine="426"/>
        <w:jc w:val="both"/>
        <w:rPr>
          <w:color w:val="595959" w:themeColor="text1" w:themeTint="A6"/>
          <w:szCs w:val="24"/>
          <w:lang w:eastAsia="lt-LT"/>
        </w:rPr>
      </w:pPr>
      <w:r w:rsidRPr="00DC49D0">
        <w:rPr>
          <w:color w:val="595959" w:themeColor="text1" w:themeTint="A6"/>
          <w:szCs w:val="24"/>
          <w:lang w:eastAsia="lt-LT"/>
        </w:rPr>
        <w:t>Siekiant įgyvendinti rizikingą projektą „Maišiagalos radioaktyviųjų atliekų saugyklos eksploatavimo nutraukimas“, š. m. birželio mėn. buvo vykdomos paslaugų parengiamiesiems eksploatacijos nutraukimo darbams atlikti ir įrangos eksploatacijos nutraukimui įsigijimo viešųjų pirkimų procedūros</w:t>
      </w:r>
      <w:r w:rsidR="00D33F20" w:rsidRPr="00DC49D0">
        <w:rPr>
          <w:color w:val="595959" w:themeColor="text1" w:themeTint="A6"/>
          <w:szCs w:val="24"/>
          <w:lang w:eastAsia="lt-LT"/>
        </w:rPr>
        <w:t>, tačiau bu</w:t>
      </w:r>
      <w:r w:rsidR="007A3B46" w:rsidRPr="00DC49D0">
        <w:rPr>
          <w:color w:val="595959" w:themeColor="text1" w:themeTint="A6"/>
          <w:szCs w:val="24"/>
          <w:lang w:eastAsia="lt-LT"/>
        </w:rPr>
        <w:t>vo nustatyta trūkumų, dėl kurių</w:t>
      </w:r>
      <w:r w:rsidR="00D33F20" w:rsidRPr="00DC49D0">
        <w:rPr>
          <w:color w:val="595959" w:themeColor="text1" w:themeTint="A6"/>
          <w:szCs w:val="24"/>
          <w:lang w:eastAsia="lt-LT"/>
        </w:rPr>
        <w:t xml:space="preserve"> buvo kreiptasi į Viešųjų pirkimų tarnybą bei Valstybin</w:t>
      </w:r>
      <w:r w:rsidR="003045A3">
        <w:rPr>
          <w:color w:val="595959" w:themeColor="text1" w:themeTint="A6"/>
          <w:szCs w:val="24"/>
          <w:lang w:eastAsia="lt-LT"/>
        </w:rPr>
        <w:t>ę</w:t>
      </w:r>
      <w:r w:rsidR="00D33F20" w:rsidRPr="00DC49D0">
        <w:rPr>
          <w:color w:val="595959" w:themeColor="text1" w:themeTint="A6"/>
          <w:szCs w:val="24"/>
          <w:lang w:eastAsia="lt-LT"/>
        </w:rPr>
        <w:t xml:space="preserve"> teritorijų planavimo ir statybų inspekcij</w:t>
      </w:r>
      <w:r w:rsidR="003045A3">
        <w:rPr>
          <w:color w:val="595959" w:themeColor="text1" w:themeTint="A6"/>
          <w:szCs w:val="24"/>
          <w:lang w:eastAsia="lt-LT"/>
        </w:rPr>
        <w:t>ą</w:t>
      </w:r>
      <w:r w:rsidR="00D33F20" w:rsidRPr="00DC49D0">
        <w:rPr>
          <w:color w:val="595959" w:themeColor="text1" w:themeTint="A6"/>
          <w:szCs w:val="24"/>
          <w:lang w:eastAsia="lt-LT"/>
        </w:rPr>
        <w:t xml:space="preserve"> prie A</w:t>
      </w:r>
      <w:r w:rsidR="00DC29F0">
        <w:rPr>
          <w:color w:val="595959" w:themeColor="text1" w:themeTint="A6"/>
          <w:szCs w:val="24"/>
          <w:lang w:eastAsia="lt-LT"/>
        </w:rPr>
        <w:t>plinkos ministerijos</w:t>
      </w:r>
      <w:r w:rsidR="00D33F20" w:rsidRPr="00DC49D0">
        <w:rPr>
          <w:color w:val="595959" w:themeColor="text1" w:themeTint="A6"/>
          <w:szCs w:val="24"/>
          <w:lang w:eastAsia="lt-LT"/>
        </w:rPr>
        <w:t xml:space="preserve">. </w:t>
      </w:r>
      <w:r w:rsidR="00A718D9" w:rsidRPr="00DC49D0">
        <w:rPr>
          <w:color w:val="595959" w:themeColor="text1" w:themeTint="A6"/>
          <w:szCs w:val="24"/>
          <w:lang w:eastAsia="lt-LT"/>
        </w:rPr>
        <w:t xml:space="preserve">Atsižvelgiant į tai, kad dėl užtrukusių viešųjų pirkimų procedūrų projekto rangos sutartis iki planuoto termino (2021 m. rugsėjo pabaigos) </w:t>
      </w:r>
      <w:r w:rsidR="00DC49D0">
        <w:rPr>
          <w:color w:val="595959" w:themeColor="text1" w:themeTint="A6"/>
          <w:szCs w:val="24"/>
          <w:lang w:eastAsia="lt-LT"/>
        </w:rPr>
        <w:t>nebuvo pasirašyta</w:t>
      </w:r>
      <w:r w:rsidR="00433200" w:rsidRPr="00DC49D0">
        <w:rPr>
          <w:color w:val="595959" w:themeColor="text1" w:themeTint="A6"/>
          <w:szCs w:val="24"/>
          <w:lang w:eastAsia="lt-LT"/>
        </w:rPr>
        <w:t xml:space="preserve">, atsiranda rizika, kad projektas nebus įgyvendintas laiku. </w:t>
      </w:r>
      <w:r w:rsidR="00A81FD0" w:rsidRPr="00351ABC">
        <w:rPr>
          <w:color w:val="595959" w:themeColor="text1" w:themeTint="A6"/>
          <w:szCs w:val="24"/>
          <w:lang w:eastAsia="lt-LT"/>
        </w:rPr>
        <w:t>Aplinkos ministerija kartu su APVA</w:t>
      </w:r>
      <w:r w:rsidR="00433200">
        <w:rPr>
          <w:color w:val="595959" w:themeColor="text1" w:themeTint="A6"/>
          <w:szCs w:val="24"/>
          <w:lang w:eastAsia="lt-LT"/>
        </w:rPr>
        <w:t xml:space="preserve"> </w:t>
      </w:r>
      <w:r w:rsidR="00A81FD0" w:rsidRPr="00351ABC">
        <w:rPr>
          <w:color w:val="595959" w:themeColor="text1" w:themeTint="A6"/>
          <w:szCs w:val="24"/>
          <w:lang w:eastAsia="lt-LT"/>
        </w:rPr>
        <w:t>turi priimti sprendimą dėl p</w:t>
      </w:r>
      <w:r w:rsidR="00433200">
        <w:rPr>
          <w:color w:val="595959" w:themeColor="text1" w:themeTint="A6"/>
          <w:szCs w:val="24"/>
          <w:lang w:eastAsia="lt-LT"/>
        </w:rPr>
        <w:t xml:space="preserve">rojekto įgyvendinimo galimybių ir </w:t>
      </w:r>
      <w:r w:rsidR="00433200" w:rsidRPr="00DC49D0">
        <w:rPr>
          <w:color w:val="595959" w:themeColor="text1" w:themeTint="A6"/>
          <w:szCs w:val="24"/>
          <w:lang w:eastAsia="lt-LT"/>
        </w:rPr>
        <w:t>iki 2021 m. lapkričio 30 d. Finansų ministerijai pateikti informaciją apie tolesnius sprendimus dėl šio projekto įgyvendinimo.</w:t>
      </w:r>
    </w:p>
    <w:p w:rsidR="00D931F2" w:rsidRPr="006658F1" w:rsidRDefault="00D931F2" w:rsidP="00C676A3">
      <w:pPr>
        <w:pStyle w:val="tekstas"/>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D585D" w:rsidRPr="006658F1" w:rsidTr="00574E3F">
        <w:tc>
          <w:tcPr>
            <w:tcW w:w="9638" w:type="dxa"/>
            <w:tcBorders>
              <w:top w:val="nil"/>
              <w:left w:val="nil"/>
              <w:bottom w:val="nil"/>
              <w:right w:val="nil"/>
            </w:tcBorders>
            <w:shd w:val="clear" w:color="auto" w:fill="D9D9D9" w:themeFill="background1" w:themeFillShade="D9"/>
          </w:tcPr>
          <w:p w:rsidR="00351ABC" w:rsidRPr="006658F1" w:rsidRDefault="00351ABC" w:rsidP="00574E3F">
            <w:pPr>
              <w:jc w:val="both"/>
              <w:rPr>
                <w:b/>
                <w:color w:val="365F91" w:themeColor="accent1" w:themeShade="BF"/>
                <w:szCs w:val="24"/>
              </w:rPr>
            </w:pPr>
            <w:r w:rsidRPr="006658F1">
              <w:rPr>
                <w:b/>
                <w:color w:val="365F91" w:themeColor="accent1" w:themeShade="BF"/>
                <w:szCs w:val="24"/>
              </w:rPr>
              <w:t>Siūlymas Aplinkos</w:t>
            </w:r>
            <w:r w:rsidRPr="006658F1">
              <w:rPr>
                <w:color w:val="365F91" w:themeColor="accent1" w:themeShade="BF"/>
                <w:szCs w:val="24"/>
              </w:rPr>
              <w:t xml:space="preserve"> </w:t>
            </w:r>
            <w:r w:rsidRPr="006658F1">
              <w:rPr>
                <w:b/>
                <w:color w:val="365F91" w:themeColor="accent1" w:themeShade="BF"/>
                <w:szCs w:val="24"/>
              </w:rPr>
              <w:t>ministerijai:</w:t>
            </w:r>
          </w:p>
          <w:p w:rsidR="00C339A1" w:rsidRPr="006658F1" w:rsidRDefault="00C339A1" w:rsidP="00A718D9">
            <w:pPr>
              <w:jc w:val="both"/>
              <w:rPr>
                <w:color w:val="365F91" w:themeColor="accent1" w:themeShade="BF"/>
                <w:szCs w:val="24"/>
              </w:rPr>
            </w:pPr>
            <w:r>
              <w:rPr>
                <w:color w:val="365F91" w:themeColor="accent1" w:themeShade="BF"/>
                <w:szCs w:val="24"/>
              </w:rPr>
              <w:t xml:space="preserve">- </w:t>
            </w:r>
            <w:r w:rsidRPr="00DC49D0">
              <w:rPr>
                <w:color w:val="365F91" w:themeColor="accent1" w:themeShade="BF"/>
                <w:szCs w:val="24"/>
              </w:rPr>
              <w:t>bendradarbiaujant su APVA priimti sprendimą dėl</w:t>
            </w:r>
            <w:r w:rsidRPr="006658F1">
              <w:rPr>
                <w:color w:val="365F91" w:themeColor="accent1" w:themeShade="BF"/>
                <w:szCs w:val="24"/>
              </w:rPr>
              <w:t xml:space="preserve"> Maišiagalos radioaktyviųjų atliekų saugyklos eksploatavimo nutraukimo </w:t>
            </w:r>
            <w:r w:rsidRPr="00DC49D0">
              <w:rPr>
                <w:color w:val="365F91" w:themeColor="accent1" w:themeShade="BF"/>
                <w:szCs w:val="24"/>
              </w:rPr>
              <w:t xml:space="preserve">projekto įgyvendinimo galimybių ir </w:t>
            </w:r>
            <w:r w:rsidRPr="006658F1">
              <w:rPr>
                <w:color w:val="365F91" w:themeColor="accent1" w:themeShade="BF"/>
                <w:szCs w:val="24"/>
              </w:rPr>
              <w:t xml:space="preserve">iki 2021 m. </w:t>
            </w:r>
            <w:r>
              <w:rPr>
                <w:color w:val="365F91" w:themeColor="accent1" w:themeShade="BF"/>
                <w:szCs w:val="24"/>
              </w:rPr>
              <w:t xml:space="preserve">lapkričio </w:t>
            </w:r>
            <w:r w:rsidRPr="006658F1">
              <w:rPr>
                <w:color w:val="365F91" w:themeColor="accent1" w:themeShade="BF"/>
                <w:szCs w:val="24"/>
              </w:rPr>
              <w:t>30 d. Finansų ministerijai pateikti informaciją apie tolesnius sprendimus dėl šio projekto įgyvendinimo</w:t>
            </w:r>
            <w:r>
              <w:rPr>
                <w:color w:val="365F91" w:themeColor="accent1" w:themeShade="BF"/>
                <w:szCs w:val="24"/>
              </w:rPr>
              <w:t>.</w:t>
            </w:r>
          </w:p>
        </w:tc>
      </w:tr>
    </w:tbl>
    <w:p w:rsidR="00E12923" w:rsidRPr="006658F1" w:rsidRDefault="00E12923" w:rsidP="00E12923">
      <w:pPr>
        <w:jc w:val="both"/>
        <w:rPr>
          <w:color w:val="595959" w:themeColor="text1" w:themeTint="A6"/>
          <w:szCs w:val="24"/>
          <w:lang w:eastAsia="lt-LT"/>
        </w:rPr>
      </w:pPr>
    </w:p>
    <w:p w:rsidR="00E12923" w:rsidRPr="006658F1" w:rsidRDefault="00E12923" w:rsidP="00E12923">
      <w:pPr>
        <w:ind w:firstLine="426"/>
        <w:jc w:val="both"/>
        <w:rPr>
          <w:color w:val="595959" w:themeColor="text1" w:themeTint="A6"/>
          <w:szCs w:val="24"/>
          <w:lang w:eastAsia="lt-LT"/>
        </w:rPr>
      </w:pPr>
      <w:r w:rsidRPr="006658F1">
        <w:rPr>
          <w:color w:val="595959" w:themeColor="text1" w:themeTint="A6"/>
          <w:szCs w:val="24"/>
          <w:lang w:eastAsia="lt-LT"/>
        </w:rPr>
        <w:lastRenderedPageBreak/>
        <w:t>Vidaus reikalų ministerijos priemonėje „Gyventojų perspėjimo apie pavojus ir gelbėjimo sistemų tobulinimas ir plėtra“ lėšų investavimas dėl sudėtingų ir užsitęsusių pirkimo procedūrų tesiekia 20,6 proc. Nors dalis pirkimų sutarčių jau sudarytos, šiuo metu didžioji dalis pirkimų</w:t>
      </w:r>
      <w:r w:rsidR="003045A3">
        <w:rPr>
          <w:color w:val="595959" w:themeColor="text1" w:themeTint="A6"/>
          <w:szCs w:val="24"/>
          <w:lang w:eastAsia="lt-LT"/>
        </w:rPr>
        <w:t xml:space="preserve"> tebevykdoma</w:t>
      </w:r>
      <w:r w:rsidRPr="006658F1">
        <w:rPr>
          <w:color w:val="595959" w:themeColor="text1" w:themeTint="A6"/>
          <w:szCs w:val="24"/>
          <w:lang w:eastAsia="lt-LT"/>
        </w:rPr>
        <w:t>, o kai kurie pirkimai dėl nutrauktų pirkimo procedūrų skelbiami iš naujo, todėl atsižvelgiant į ilgus (iki 16 mėn. po sutarties pasirašymo) gelbėjimo modulių pristatymo terminus, būtina šios priemonės įgyvendinimo rizikas papildomai įvertinti 2021 m. I</w:t>
      </w:r>
      <w:r w:rsidR="008568D7">
        <w:rPr>
          <w:color w:val="595959" w:themeColor="text1" w:themeTint="A6"/>
          <w:szCs w:val="24"/>
          <w:lang w:eastAsia="lt-LT"/>
        </w:rPr>
        <w:t>V</w:t>
      </w:r>
      <w:r w:rsidRPr="006658F1">
        <w:rPr>
          <w:color w:val="595959" w:themeColor="text1" w:themeTint="A6"/>
          <w:szCs w:val="24"/>
          <w:lang w:eastAsia="lt-LT"/>
        </w:rPr>
        <w:t xml:space="preserve"> </w:t>
      </w:r>
      <w:proofErr w:type="spellStart"/>
      <w:r w:rsidRPr="006658F1">
        <w:rPr>
          <w:color w:val="595959" w:themeColor="text1" w:themeTint="A6"/>
          <w:szCs w:val="24"/>
          <w:lang w:eastAsia="lt-LT"/>
        </w:rPr>
        <w:t>ketv</w:t>
      </w:r>
      <w:proofErr w:type="spellEnd"/>
      <w:r w:rsidRPr="006658F1">
        <w:rPr>
          <w:color w:val="595959" w:themeColor="text1" w:themeTint="A6"/>
          <w:szCs w:val="24"/>
          <w:lang w:eastAsia="lt-LT"/>
        </w:rPr>
        <w:t>.</w:t>
      </w:r>
    </w:p>
    <w:p w:rsidR="003045A3" w:rsidRDefault="003F2A7C" w:rsidP="003F2A7C">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Kultūros ministerijos administruojamų Veiksmų programos 5 ir 7 prioriteto priemonių įgyvendinimo tempas atsilieka nuo kitų ministerijų investavimo tempo, projektai įgyvendinami ir baigiami, tačiau dauguma baigtų projektų smulkūs, todėl ir išmokėjimų tempas lėtas. Dar nepradėti įgyvendinti stambūs valstybiniai</w:t>
      </w:r>
      <w:r w:rsidR="00C676A3"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w:t>
      </w:r>
      <w:r w:rsidR="00C676A3"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nacionaliniai projektai susiduria su projektų pabrangimu: projektai brangsta atlikus techninį projektą ar perprojektavimą (dėl nekokybiškai atlikto techninio projekto), įvykdžius rangos darbų pirkimą ir gavus daug didesnes pasiūlytas rangos kainas negu buvo planuota, pabrangus statybos darbų, medžiagų kainoms, dėl archeologinių tyrimų ar kitų statybos paslaugų pabrangimo, dėl ekspozicijų pabrangimo, dėl darbų pakeitimų vykdant projektą.</w:t>
      </w:r>
    </w:p>
    <w:p w:rsidR="003F2A7C" w:rsidRPr="006658F1" w:rsidRDefault="003F2A7C" w:rsidP="003F2A7C">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Kultūros ministerijai leista </w:t>
      </w:r>
      <w:proofErr w:type="spellStart"/>
      <w:r w:rsidRPr="006658F1">
        <w:rPr>
          <w:rFonts w:ascii="Times New Roman" w:hAnsi="Times New Roman"/>
          <w:color w:val="595959" w:themeColor="text1" w:themeTint="A6"/>
          <w:lang w:eastAsia="lt-LT"/>
        </w:rPr>
        <w:t>virškontraktuoti</w:t>
      </w:r>
      <w:proofErr w:type="spellEnd"/>
      <w:r w:rsidRPr="006658F1">
        <w:rPr>
          <w:rFonts w:ascii="Times New Roman" w:hAnsi="Times New Roman"/>
          <w:color w:val="595959" w:themeColor="text1" w:themeTint="A6"/>
          <w:lang w:eastAsia="lt-LT"/>
        </w:rPr>
        <w:t xml:space="preserve"> Veiksmų programos 5 prioritete (4,9 mln. eurų) </w:t>
      </w:r>
      <w:r w:rsidR="00861A8A" w:rsidRPr="0019095C">
        <w:rPr>
          <w:rFonts w:ascii="Times New Roman" w:hAnsi="Times New Roman"/>
          <w:color w:val="595959" w:themeColor="text1" w:themeTint="A6"/>
          <w:lang w:eastAsia="lt-LT"/>
        </w:rPr>
        <w:t xml:space="preserve">su Gedimino pilies kalno stabilizavimu susijusiems projektams, tačiau šiuo metu </w:t>
      </w:r>
      <w:r w:rsidR="00861A8A" w:rsidRPr="0019095C">
        <w:rPr>
          <w:rFonts w:ascii="Times New Roman" w:hAnsi="Times New Roman"/>
          <w:color w:val="595959" w:themeColor="text1" w:themeTint="A6"/>
        </w:rPr>
        <w:t>vyksta teis</w:t>
      </w:r>
      <w:r w:rsidR="00861A8A">
        <w:rPr>
          <w:rFonts w:ascii="Times New Roman" w:hAnsi="Times New Roman"/>
          <w:color w:val="595959" w:themeColor="text1" w:themeTint="A6"/>
        </w:rPr>
        <w:t>m</w:t>
      </w:r>
      <w:r w:rsidR="00861A8A" w:rsidRPr="0019095C">
        <w:rPr>
          <w:rFonts w:ascii="Times New Roman" w:hAnsi="Times New Roman"/>
          <w:color w:val="595959" w:themeColor="text1" w:themeTint="A6"/>
        </w:rPr>
        <w:t>iniai ginčai tarp projektuotojo ir projekto vykdytojo dėl statybą leidžiančio dokumento</w:t>
      </w:r>
      <w:r w:rsidR="00034CB6">
        <w:rPr>
          <w:rFonts w:ascii="Times New Roman" w:hAnsi="Times New Roman"/>
          <w:color w:val="595959" w:themeColor="text1" w:themeTint="A6"/>
        </w:rPr>
        <w:t xml:space="preserve"> gavimo</w:t>
      </w:r>
      <w:r w:rsidR="000D5A25">
        <w:rPr>
          <w:rFonts w:ascii="Times New Roman" w:hAnsi="Times New Roman"/>
          <w:color w:val="595959" w:themeColor="text1" w:themeTint="A6"/>
        </w:rPr>
        <w:t>, dėl to vėluojama įgyvendinti projekt</w:t>
      </w:r>
      <w:r w:rsidR="006C1287">
        <w:rPr>
          <w:rFonts w:ascii="Times New Roman" w:hAnsi="Times New Roman"/>
          <w:color w:val="595959" w:themeColor="text1" w:themeTint="A6"/>
        </w:rPr>
        <w:t>ą.</w:t>
      </w:r>
      <w:r w:rsidRPr="006658F1">
        <w:rPr>
          <w:rFonts w:ascii="Times New Roman" w:hAnsi="Times New Roman"/>
          <w:color w:val="595959" w:themeColor="text1" w:themeTint="A6"/>
          <w:lang w:eastAsia="lt-LT"/>
        </w:rPr>
        <w:t xml:space="preserve"> </w:t>
      </w:r>
      <w:proofErr w:type="spellStart"/>
      <w:r w:rsidR="00861A8A">
        <w:rPr>
          <w:rFonts w:ascii="Times New Roman" w:hAnsi="Times New Roman"/>
          <w:color w:val="595959" w:themeColor="text1" w:themeTint="A6"/>
          <w:lang w:eastAsia="lt-LT"/>
        </w:rPr>
        <w:t>Virškontraktuoti</w:t>
      </w:r>
      <w:proofErr w:type="spellEnd"/>
      <w:r w:rsidR="00861A8A">
        <w:rPr>
          <w:rFonts w:ascii="Times New Roman" w:hAnsi="Times New Roman"/>
          <w:color w:val="595959" w:themeColor="text1" w:themeTint="A6"/>
          <w:lang w:eastAsia="lt-LT"/>
        </w:rPr>
        <w:t xml:space="preserve"> Kultūros ministerijai leista ir </w:t>
      </w:r>
      <w:r w:rsidRPr="006658F1">
        <w:rPr>
          <w:rFonts w:ascii="Times New Roman" w:hAnsi="Times New Roman"/>
          <w:color w:val="595959" w:themeColor="text1" w:themeTint="A6"/>
          <w:lang w:eastAsia="lt-LT"/>
        </w:rPr>
        <w:t xml:space="preserve">7 prioritete (3,6 mln. eurų), </w:t>
      </w:r>
      <w:r w:rsidR="00861A8A">
        <w:rPr>
          <w:rFonts w:ascii="Times New Roman" w:hAnsi="Times New Roman"/>
          <w:color w:val="595959" w:themeColor="text1" w:themeTint="A6"/>
          <w:lang w:eastAsia="lt-LT"/>
        </w:rPr>
        <w:t>tačiau</w:t>
      </w:r>
      <w:r w:rsidRPr="006658F1">
        <w:rPr>
          <w:rFonts w:ascii="Times New Roman" w:hAnsi="Times New Roman"/>
          <w:color w:val="595959" w:themeColor="text1" w:themeTint="A6"/>
          <w:lang w:eastAsia="lt-LT"/>
        </w:rPr>
        <w:t xml:space="preserve"> ir toliau susiduria</w:t>
      </w:r>
      <w:r w:rsidR="00861A8A">
        <w:rPr>
          <w:rFonts w:ascii="Times New Roman" w:hAnsi="Times New Roman"/>
          <w:color w:val="595959" w:themeColor="text1" w:themeTint="A6"/>
          <w:lang w:eastAsia="lt-LT"/>
        </w:rPr>
        <w:t>ma</w:t>
      </w:r>
      <w:r w:rsidRPr="006658F1">
        <w:rPr>
          <w:rFonts w:ascii="Times New Roman" w:hAnsi="Times New Roman"/>
          <w:color w:val="595959" w:themeColor="text1" w:themeTint="A6"/>
          <w:lang w:eastAsia="lt-LT"/>
        </w:rPr>
        <w:t xml:space="preserve"> su lėšų trūkumu projektų įgyvendinimui. Preliminariais CPVA skaičiavimais</w:t>
      </w:r>
      <w:r w:rsidR="00C676A3"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 xml:space="preserve">reikėtų apie </w:t>
      </w:r>
      <w:r w:rsidR="00EE504E">
        <w:rPr>
          <w:rFonts w:ascii="Times New Roman" w:hAnsi="Times New Roman"/>
          <w:color w:val="595959" w:themeColor="text1" w:themeTint="A6"/>
          <w:lang w:eastAsia="lt-LT"/>
        </w:rPr>
        <w:t>17</w:t>
      </w:r>
      <w:r w:rsidRPr="006658F1">
        <w:rPr>
          <w:rFonts w:ascii="Times New Roman" w:hAnsi="Times New Roman"/>
          <w:color w:val="595959" w:themeColor="text1" w:themeTint="A6"/>
          <w:lang w:eastAsia="lt-LT"/>
        </w:rPr>
        <w:t xml:space="preserve"> mln. eurų papildomų lėšų </w:t>
      </w:r>
      <w:r w:rsidR="00845913">
        <w:rPr>
          <w:rFonts w:ascii="Times New Roman" w:hAnsi="Times New Roman"/>
          <w:color w:val="595959" w:themeColor="text1" w:themeTint="A6"/>
          <w:lang w:eastAsia="lt-LT"/>
        </w:rPr>
        <w:t xml:space="preserve">kultūros </w:t>
      </w:r>
      <w:r w:rsidRPr="006658F1">
        <w:rPr>
          <w:rFonts w:ascii="Times New Roman" w:hAnsi="Times New Roman"/>
          <w:color w:val="595959" w:themeColor="text1" w:themeTint="A6"/>
          <w:lang w:eastAsia="lt-LT"/>
        </w:rPr>
        <w:t>projektų užbaigimui</w:t>
      </w:r>
      <w:r w:rsidR="00EE504E">
        <w:rPr>
          <w:rFonts w:ascii="Times New Roman" w:hAnsi="Times New Roman"/>
          <w:color w:val="595959" w:themeColor="text1" w:themeTint="A6"/>
          <w:lang w:eastAsia="lt-LT"/>
        </w:rPr>
        <w:t xml:space="preserve"> (5 prioriteto kultūros paveldo projektams apie 2 mln. eurų, 7 prioriteto kultūros infrastruktūros projektams apie 12 mln. eurų)</w:t>
      </w:r>
      <w:r w:rsidRPr="006658F1">
        <w:rPr>
          <w:rFonts w:ascii="Times New Roman" w:hAnsi="Times New Roman"/>
          <w:color w:val="595959" w:themeColor="text1" w:themeTint="A6"/>
          <w:lang w:eastAsia="lt-LT"/>
        </w:rPr>
        <w:t xml:space="preserve">, skaičiavimai nėra galutiniai, nes </w:t>
      </w:r>
      <w:r w:rsidR="00EE504E" w:rsidRPr="00DC49D0">
        <w:rPr>
          <w:rFonts w:ascii="Times New Roman" w:hAnsi="Times New Roman"/>
        </w:rPr>
        <w:t>tam tikrų projektų apimtys yra mažinamos, planuojami sutarčių keitimai,</w:t>
      </w:r>
      <w:r w:rsidR="00EE504E" w:rsidRPr="00EE504E">
        <w:rPr>
          <w:rFonts w:ascii="Times New Roman" w:hAnsi="Times New Roman"/>
          <w:color w:val="595959" w:themeColor="text1" w:themeTint="A6"/>
          <w:lang w:eastAsia="lt-LT"/>
        </w:rPr>
        <w:t xml:space="preserve"> </w:t>
      </w:r>
      <w:r w:rsidRPr="00EE504E">
        <w:rPr>
          <w:rFonts w:ascii="Times New Roman" w:hAnsi="Times New Roman"/>
          <w:color w:val="595959" w:themeColor="text1" w:themeTint="A6"/>
          <w:lang w:eastAsia="lt-LT"/>
        </w:rPr>
        <w:t>kai k</w:t>
      </w:r>
      <w:r w:rsidR="00C676A3" w:rsidRPr="00EE504E">
        <w:rPr>
          <w:rFonts w:ascii="Times New Roman" w:hAnsi="Times New Roman"/>
          <w:color w:val="595959" w:themeColor="text1" w:themeTint="A6"/>
          <w:lang w:eastAsia="lt-LT"/>
        </w:rPr>
        <w:t>uriuose stambiuose</w:t>
      </w:r>
      <w:r w:rsidR="00C676A3" w:rsidRPr="006658F1">
        <w:rPr>
          <w:rFonts w:ascii="Times New Roman" w:hAnsi="Times New Roman"/>
          <w:color w:val="595959" w:themeColor="text1" w:themeTint="A6"/>
          <w:lang w:eastAsia="lt-LT"/>
        </w:rPr>
        <w:t xml:space="preserve"> projektuose </w:t>
      </w:r>
      <w:r w:rsidRPr="006658F1">
        <w:rPr>
          <w:rFonts w:ascii="Times New Roman" w:hAnsi="Times New Roman"/>
          <w:color w:val="595959" w:themeColor="text1" w:themeTint="A6"/>
          <w:lang w:eastAsia="lt-LT"/>
        </w:rPr>
        <w:t>(Kauno viešoji biblioteka, Vilniaus Kongresų rūmai, Žemaičių muziejus „Alka“, Šiuolaikinio meno centras, Kauno IX fortas) nėra atlikti rangos darbų pirkimai ir galutinė projekto įgyvendinimui reikalinga suma nėra aiški</w:t>
      </w:r>
      <w:r w:rsidR="00485E39">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Kultūros ministerija turėtų įsivertinti rizi</w:t>
      </w:r>
      <w:r w:rsidR="00C676A3" w:rsidRPr="006658F1">
        <w:rPr>
          <w:rFonts w:ascii="Times New Roman" w:hAnsi="Times New Roman"/>
          <w:color w:val="595959" w:themeColor="text1" w:themeTint="A6"/>
          <w:lang w:eastAsia="lt-LT"/>
        </w:rPr>
        <w:t xml:space="preserve">kingiausius, mažiausią pažangą </w:t>
      </w:r>
      <w:r w:rsidRPr="006658F1">
        <w:rPr>
          <w:rFonts w:ascii="Times New Roman" w:hAnsi="Times New Roman"/>
          <w:color w:val="595959" w:themeColor="text1" w:themeTint="A6"/>
          <w:lang w:eastAsia="lt-LT"/>
        </w:rPr>
        <w:t>turinčius projektus ir nuspręsti dėl jų tolesnio įgyvendinimo, įvertinti galimybę skaidyti projektą į etapus ir</w:t>
      </w:r>
      <w:r w:rsidR="00C676A3" w:rsidRPr="006658F1">
        <w:rPr>
          <w:rFonts w:ascii="Times New Roman" w:hAnsi="Times New Roman"/>
          <w:color w:val="595959" w:themeColor="text1" w:themeTint="A6"/>
          <w:lang w:eastAsia="lt-LT"/>
        </w:rPr>
        <w:t xml:space="preserve"> vykdyti tik vieną iš etapų ar svarstyti </w:t>
      </w:r>
      <w:r w:rsidRPr="006658F1">
        <w:rPr>
          <w:rFonts w:ascii="Times New Roman" w:hAnsi="Times New Roman"/>
          <w:color w:val="595959" w:themeColor="text1" w:themeTint="A6"/>
          <w:lang w:eastAsia="lt-LT"/>
        </w:rPr>
        <w:t>projekto įgyvendinimą 2021</w:t>
      </w:r>
      <w:r w:rsidR="00D10830" w:rsidRPr="006658F1">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20</w:t>
      </w:r>
      <w:r w:rsidR="00C676A3" w:rsidRPr="006658F1">
        <w:rPr>
          <w:rFonts w:ascii="Times New Roman" w:hAnsi="Times New Roman"/>
          <w:color w:val="595959" w:themeColor="text1" w:themeTint="A6"/>
          <w:lang w:eastAsia="lt-LT"/>
        </w:rPr>
        <w:t>27 m. ES finansavimo laikotarpio lėšomis</w:t>
      </w:r>
      <w:r w:rsidRPr="006658F1">
        <w:rPr>
          <w:rFonts w:ascii="Times New Roman" w:hAnsi="Times New Roman"/>
          <w:color w:val="595959" w:themeColor="text1" w:themeTint="A6"/>
          <w:lang w:eastAsia="lt-LT"/>
        </w:rPr>
        <w:t>.</w:t>
      </w:r>
    </w:p>
    <w:p w:rsidR="0058725D" w:rsidRDefault="0058725D" w:rsidP="003F2A7C">
      <w:pPr>
        <w:pStyle w:val="tekstas"/>
        <w:rPr>
          <w:rFonts w:ascii="Times New Roman" w:hAnsi="Times New Roman"/>
          <w:color w:val="595959" w:themeColor="text1" w:themeTint="A6"/>
          <w:lang w:eastAsia="lt-LT"/>
        </w:rPr>
      </w:pPr>
    </w:p>
    <w:p w:rsidR="000305AE" w:rsidRPr="006658F1" w:rsidRDefault="000305AE" w:rsidP="00BE71E9">
      <w:pPr>
        <w:pStyle w:val="antrat3zz"/>
        <w:spacing w:before="0" w:after="0"/>
        <w:rPr>
          <w:rFonts w:ascii="Times New Roman" w:eastAsia="Times New Roman" w:hAnsi="Times New Roman" w:cs="Times New Roman"/>
          <w:bCs w:val="0"/>
        </w:rPr>
      </w:pPr>
      <w:bookmarkStart w:id="22" w:name="_Toc86414515"/>
      <w:bookmarkStart w:id="23" w:name="_GoBack"/>
      <w:bookmarkEnd w:id="23"/>
      <w:r w:rsidRPr="006658F1">
        <w:rPr>
          <w:rFonts w:ascii="Times New Roman" w:eastAsia="Times New Roman" w:hAnsi="Times New Roman" w:cs="Times New Roman"/>
          <w:bCs w:val="0"/>
        </w:rPr>
        <w:t>6 prioritetas. Darnaus transporto ir pagrindinių tinklų infrastruktūros plėtra</w:t>
      </w:r>
      <w:bookmarkEnd w:id="21"/>
      <w:bookmarkEnd w:id="22"/>
    </w:p>
    <w:p w:rsidR="008510B0" w:rsidRPr="006658F1" w:rsidRDefault="008510B0" w:rsidP="008510B0">
      <w:pPr>
        <w:pStyle w:val="tekstas"/>
        <w:ind w:firstLine="0"/>
        <w:rPr>
          <w:rFonts w:ascii="Times New Roman" w:hAnsi="Times New Roman"/>
          <w:color w:val="595959" w:themeColor="text1" w:themeTint="A6"/>
          <w:lang w:eastAsia="lt-LT"/>
        </w:rPr>
      </w:pPr>
      <w:bookmarkStart w:id="24" w:name="_Toc10104958"/>
    </w:p>
    <w:p w:rsidR="00411538" w:rsidRPr="006658F1" w:rsidRDefault="00FE17AA"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5DF6E3D9" wp14:editId="638FD598">
            <wp:extent cx="6120130" cy="1364240"/>
            <wp:effectExtent l="0" t="0" r="13970" b="2667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11538" w:rsidRPr="006658F1" w:rsidRDefault="00411538" w:rsidP="008510B0">
      <w:pPr>
        <w:pStyle w:val="tekstas"/>
        <w:ind w:firstLine="0"/>
        <w:rPr>
          <w:rFonts w:ascii="Times New Roman" w:hAnsi="Times New Roman"/>
          <w:color w:val="595959" w:themeColor="text1" w:themeTint="A6"/>
          <w:lang w:eastAsia="lt-LT"/>
        </w:rPr>
      </w:pPr>
    </w:p>
    <w:p w:rsidR="00E12923" w:rsidRDefault="00E12923" w:rsidP="00E12923">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Labiausiai šio prioriteto </w:t>
      </w:r>
      <w:r w:rsidR="00E02A50" w:rsidRPr="006658F1">
        <w:rPr>
          <w:rFonts w:ascii="Times New Roman" w:hAnsi="Times New Roman"/>
          <w:color w:val="595959" w:themeColor="text1" w:themeTint="A6"/>
          <w:lang w:eastAsia="lt-LT"/>
        </w:rPr>
        <w:t xml:space="preserve">Susisiekimo ministerijos administruojamų </w:t>
      </w:r>
      <w:r w:rsidRPr="006658F1">
        <w:rPr>
          <w:rFonts w:ascii="Times New Roman" w:hAnsi="Times New Roman"/>
          <w:color w:val="595959" w:themeColor="text1" w:themeTint="A6"/>
          <w:lang w:eastAsia="lt-LT"/>
        </w:rPr>
        <w:t>lėšų investavimo atsilikimą sąlygoja nesudaryta didelės apimties geležinkelio ruožo nuo Kaišiadorių iki Klai</w:t>
      </w:r>
      <w:r w:rsidR="00E02A50" w:rsidRPr="006658F1">
        <w:rPr>
          <w:rFonts w:ascii="Times New Roman" w:hAnsi="Times New Roman"/>
          <w:color w:val="595959" w:themeColor="text1" w:themeTint="A6"/>
          <w:lang w:eastAsia="lt-LT"/>
        </w:rPr>
        <w:t>pėdos elektrifikavimo projekto</w:t>
      </w:r>
      <w:r w:rsidR="00D01280">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sutartis, kuriai numatytos 158 mln. eurų ES investicijos (</w:t>
      </w:r>
      <w:proofErr w:type="spellStart"/>
      <w:r w:rsidRPr="006658F1">
        <w:rPr>
          <w:rFonts w:ascii="Times New Roman" w:hAnsi="Times New Roman"/>
          <w:color w:val="595959" w:themeColor="text1" w:themeTint="A6"/>
          <w:lang w:eastAsia="lt-LT"/>
        </w:rPr>
        <w:t>SaF</w:t>
      </w:r>
      <w:proofErr w:type="spellEnd"/>
      <w:r w:rsidRPr="006658F1">
        <w:rPr>
          <w:rFonts w:ascii="Times New Roman" w:hAnsi="Times New Roman"/>
          <w:color w:val="595959" w:themeColor="text1" w:themeTint="A6"/>
          <w:lang w:eastAsia="lt-LT"/>
        </w:rPr>
        <w:t xml:space="preserve">). </w:t>
      </w:r>
    </w:p>
    <w:p w:rsidR="002F6727" w:rsidRDefault="000D2DA5" w:rsidP="00E12923">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Finansų ministerija 2021 m. birželio 25 d. </w:t>
      </w:r>
      <w:r w:rsidR="00D10830">
        <w:rPr>
          <w:rFonts w:ascii="Times New Roman" w:hAnsi="Times New Roman"/>
          <w:color w:val="595959" w:themeColor="text1" w:themeTint="A6"/>
          <w:lang w:eastAsia="lt-LT"/>
        </w:rPr>
        <w:t>didelės apimties p</w:t>
      </w:r>
      <w:r w:rsidRPr="006658F1">
        <w:rPr>
          <w:rFonts w:ascii="Times New Roman" w:hAnsi="Times New Roman"/>
          <w:color w:val="595959" w:themeColor="text1" w:themeTint="A6"/>
          <w:lang w:eastAsia="lt-LT"/>
        </w:rPr>
        <w:t xml:space="preserve">rojekto paraišką pateikė nepriklausomų ekspertų kokybės vertinimui </w:t>
      </w:r>
      <w:proofErr w:type="gramStart"/>
      <w:r w:rsidRPr="006658F1">
        <w:rPr>
          <w:rFonts w:ascii="Times New Roman" w:hAnsi="Times New Roman"/>
          <w:color w:val="595959" w:themeColor="text1" w:themeTint="A6"/>
          <w:lang w:eastAsia="lt-LT"/>
        </w:rPr>
        <w:t>(</w:t>
      </w:r>
      <w:proofErr w:type="gramEnd"/>
      <w:r w:rsidRPr="006658F1">
        <w:rPr>
          <w:rFonts w:ascii="Times New Roman" w:hAnsi="Times New Roman"/>
          <w:color w:val="595959" w:themeColor="text1" w:themeTint="A6"/>
          <w:lang w:eastAsia="lt-LT"/>
        </w:rPr>
        <w:t xml:space="preserve">angl. </w:t>
      </w:r>
      <w:proofErr w:type="spellStart"/>
      <w:r w:rsidRPr="006658F1">
        <w:rPr>
          <w:rFonts w:ascii="Times New Roman" w:hAnsi="Times New Roman"/>
          <w:color w:val="595959" w:themeColor="text1" w:themeTint="A6"/>
          <w:lang w:eastAsia="lt-LT"/>
        </w:rPr>
        <w:t>Independent</w:t>
      </w:r>
      <w:proofErr w:type="spellEnd"/>
      <w:r w:rsidRPr="006658F1">
        <w:rPr>
          <w:rFonts w:ascii="Times New Roman" w:hAnsi="Times New Roman"/>
          <w:color w:val="595959" w:themeColor="text1" w:themeTint="A6"/>
          <w:lang w:eastAsia="lt-LT"/>
        </w:rPr>
        <w:t xml:space="preserve"> </w:t>
      </w:r>
      <w:proofErr w:type="spellStart"/>
      <w:r w:rsidRPr="006658F1">
        <w:rPr>
          <w:rFonts w:ascii="Times New Roman" w:hAnsi="Times New Roman"/>
          <w:color w:val="595959" w:themeColor="text1" w:themeTint="A6"/>
          <w:lang w:eastAsia="lt-LT"/>
        </w:rPr>
        <w:t>Quality</w:t>
      </w:r>
      <w:proofErr w:type="spellEnd"/>
      <w:r w:rsidRPr="006658F1">
        <w:rPr>
          <w:rFonts w:ascii="Times New Roman" w:hAnsi="Times New Roman"/>
          <w:color w:val="595959" w:themeColor="text1" w:themeTint="A6"/>
          <w:lang w:eastAsia="lt-LT"/>
        </w:rPr>
        <w:t xml:space="preserve"> </w:t>
      </w:r>
      <w:proofErr w:type="spellStart"/>
      <w:r w:rsidRPr="006658F1">
        <w:rPr>
          <w:rFonts w:ascii="Times New Roman" w:hAnsi="Times New Roman"/>
          <w:color w:val="595959" w:themeColor="text1" w:themeTint="A6"/>
          <w:lang w:eastAsia="lt-LT"/>
        </w:rPr>
        <w:t>Review</w:t>
      </w:r>
      <w:proofErr w:type="spellEnd"/>
      <w:r w:rsidRPr="006658F1">
        <w:rPr>
          <w:rFonts w:ascii="Times New Roman" w:hAnsi="Times New Roman"/>
          <w:color w:val="595959" w:themeColor="text1" w:themeTint="A6"/>
          <w:lang w:eastAsia="lt-LT"/>
        </w:rPr>
        <w:t>), kuris paprastai užtrunka iki 6 mėn. Vadovaujantis Projektų taisykl</w:t>
      </w:r>
      <w:r w:rsidR="00D10830">
        <w:rPr>
          <w:rFonts w:ascii="Times New Roman" w:hAnsi="Times New Roman"/>
          <w:color w:val="595959" w:themeColor="text1" w:themeTint="A6"/>
          <w:lang w:eastAsia="lt-LT"/>
        </w:rPr>
        <w:t>ėmis,</w:t>
      </w:r>
      <w:r w:rsidR="007B0079">
        <w:rPr>
          <w:rStyle w:val="Puslapioinaosnuoroda"/>
          <w:rFonts w:ascii="Times New Roman" w:hAnsi="Times New Roman"/>
          <w:color w:val="595959" w:themeColor="text1" w:themeTint="A6"/>
          <w:lang w:eastAsia="lt-LT"/>
        </w:rPr>
        <w:footnoteReference w:id="1"/>
      </w:r>
      <w:r w:rsidRPr="006658F1">
        <w:rPr>
          <w:rFonts w:ascii="Times New Roman" w:hAnsi="Times New Roman"/>
          <w:color w:val="595959" w:themeColor="text1" w:themeTint="A6"/>
          <w:lang w:eastAsia="lt-LT"/>
        </w:rPr>
        <w:t xml:space="preserve"> finansavimas </w:t>
      </w:r>
      <w:r w:rsidR="00BD39D7">
        <w:rPr>
          <w:rFonts w:ascii="Times New Roman" w:hAnsi="Times New Roman"/>
          <w:color w:val="595959" w:themeColor="text1" w:themeTint="A6"/>
          <w:lang w:eastAsia="lt-LT"/>
        </w:rPr>
        <w:t>p</w:t>
      </w:r>
      <w:r w:rsidRPr="006658F1">
        <w:rPr>
          <w:rFonts w:ascii="Times New Roman" w:hAnsi="Times New Roman"/>
          <w:color w:val="595959" w:themeColor="text1" w:themeTint="A6"/>
          <w:lang w:eastAsia="lt-LT"/>
        </w:rPr>
        <w:t>rojektui gali būti skirtas gavus teigiamą nepriklausomų ekspertų projekto kokybės įvertini</w:t>
      </w:r>
      <w:r w:rsidR="000920A3">
        <w:rPr>
          <w:rFonts w:ascii="Times New Roman" w:hAnsi="Times New Roman"/>
          <w:color w:val="595959" w:themeColor="text1" w:themeTint="A6"/>
          <w:lang w:eastAsia="lt-LT"/>
        </w:rPr>
        <w:t>mą</w:t>
      </w:r>
      <w:r w:rsidRPr="006658F1">
        <w:rPr>
          <w:rFonts w:ascii="Times New Roman" w:hAnsi="Times New Roman"/>
          <w:color w:val="595959" w:themeColor="text1" w:themeTint="A6"/>
          <w:lang w:eastAsia="lt-LT"/>
        </w:rPr>
        <w:t xml:space="preserve"> ir vadovaujančiajai institucijai </w:t>
      </w:r>
      <w:r w:rsidRPr="006658F1">
        <w:rPr>
          <w:rFonts w:ascii="Times New Roman" w:hAnsi="Times New Roman"/>
          <w:color w:val="595959" w:themeColor="text1" w:themeTint="A6"/>
          <w:lang w:eastAsia="lt-LT"/>
        </w:rPr>
        <w:lastRenderedPageBreak/>
        <w:t>pateikus informaciją, reikalingą pranešti EK apie atrinktą projektą</w:t>
      </w:r>
      <w:r w:rsidR="00BD39D7">
        <w:rPr>
          <w:rFonts w:ascii="Times New Roman" w:hAnsi="Times New Roman"/>
          <w:color w:val="595959" w:themeColor="text1" w:themeTint="A6"/>
          <w:lang w:eastAsia="lt-LT"/>
        </w:rPr>
        <w:t xml:space="preserve">, tačiau </w:t>
      </w:r>
      <w:r w:rsidR="00D01280" w:rsidRPr="00D01280">
        <w:rPr>
          <w:rFonts w:ascii="Times New Roman" w:hAnsi="Times New Roman"/>
          <w:color w:val="595959" w:themeColor="text1" w:themeTint="A6"/>
          <w:lang w:eastAsia="lt-LT"/>
        </w:rPr>
        <w:t xml:space="preserve">Susisiekimo </w:t>
      </w:r>
      <w:r w:rsidR="00D01280">
        <w:rPr>
          <w:rFonts w:ascii="Times New Roman" w:hAnsi="Times New Roman"/>
          <w:color w:val="595959" w:themeColor="text1" w:themeTint="A6"/>
          <w:lang w:eastAsia="lt-LT"/>
        </w:rPr>
        <w:t xml:space="preserve">ministerija </w:t>
      </w:r>
      <w:r w:rsidR="00BD39D7">
        <w:rPr>
          <w:rFonts w:ascii="Times New Roman" w:hAnsi="Times New Roman"/>
          <w:color w:val="595959" w:themeColor="text1" w:themeTint="A6"/>
          <w:lang w:eastAsia="lt-LT"/>
        </w:rPr>
        <w:t xml:space="preserve">turi </w:t>
      </w:r>
      <w:r w:rsidR="00D01280" w:rsidRPr="00D01280">
        <w:rPr>
          <w:rFonts w:ascii="Times New Roman" w:hAnsi="Times New Roman"/>
          <w:color w:val="595959" w:themeColor="text1" w:themeTint="A6"/>
          <w:lang w:eastAsia="lt-LT"/>
        </w:rPr>
        <w:t>pakartotinai</w:t>
      </w:r>
      <w:r w:rsidR="00D01280">
        <w:rPr>
          <w:rFonts w:ascii="Times New Roman" w:hAnsi="Times New Roman"/>
          <w:color w:val="595959" w:themeColor="text1" w:themeTint="A6"/>
          <w:lang w:eastAsia="lt-LT"/>
        </w:rPr>
        <w:t xml:space="preserve"> įvertinti </w:t>
      </w:r>
      <w:r w:rsidR="00BD39D7">
        <w:rPr>
          <w:rFonts w:ascii="Times New Roman" w:hAnsi="Times New Roman"/>
          <w:color w:val="595959" w:themeColor="text1" w:themeTint="A6"/>
          <w:lang w:eastAsia="lt-LT"/>
        </w:rPr>
        <w:t>p</w:t>
      </w:r>
      <w:r w:rsidR="00D01280" w:rsidRPr="00D01280">
        <w:rPr>
          <w:rFonts w:ascii="Times New Roman" w:hAnsi="Times New Roman"/>
          <w:color w:val="595959" w:themeColor="text1" w:themeTint="A6"/>
          <w:lang w:eastAsia="lt-LT"/>
        </w:rPr>
        <w:t>rojekto lėšų nepanaudojimo riziką</w:t>
      </w:r>
      <w:r w:rsidR="00BD39D7">
        <w:rPr>
          <w:rFonts w:ascii="Times New Roman" w:hAnsi="Times New Roman"/>
          <w:color w:val="595959" w:themeColor="text1" w:themeTint="A6"/>
          <w:lang w:eastAsia="lt-LT"/>
        </w:rPr>
        <w:t>. Finansų ministerija raštu paprašė</w:t>
      </w:r>
      <w:r w:rsidR="00D01280" w:rsidRPr="00D01280">
        <w:rPr>
          <w:rFonts w:ascii="Times New Roman" w:hAnsi="Times New Roman"/>
          <w:color w:val="595959" w:themeColor="text1" w:themeTint="A6"/>
          <w:lang w:eastAsia="lt-LT"/>
        </w:rPr>
        <w:t xml:space="preserve"> pateikti </w:t>
      </w:r>
      <w:r w:rsidR="00BD39D7">
        <w:rPr>
          <w:rFonts w:ascii="Times New Roman" w:hAnsi="Times New Roman"/>
          <w:color w:val="595959" w:themeColor="text1" w:themeTint="A6"/>
          <w:lang w:eastAsia="lt-LT"/>
        </w:rPr>
        <w:t>jai</w:t>
      </w:r>
      <w:r w:rsidR="00D01280" w:rsidRPr="00D01280">
        <w:rPr>
          <w:rFonts w:ascii="Times New Roman" w:hAnsi="Times New Roman"/>
          <w:color w:val="595959" w:themeColor="text1" w:themeTint="A6"/>
          <w:lang w:eastAsia="lt-LT"/>
        </w:rPr>
        <w:t xml:space="preserve"> informaciją apie </w:t>
      </w:r>
      <w:r w:rsidR="00BD39D7">
        <w:rPr>
          <w:rFonts w:ascii="Times New Roman" w:hAnsi="Times New Roman"/>
          <w:color w:val="595959" w:themeColor="text1" w:themeTint="A6"/>
          <w:lang w:eastAsia="lt-LT"/>
        </w:rPr>
        <w:t>lėšų nepanaudojimo rizikos</w:t>
      </w:r>
      <w:r w:rsidR="00D01280" w:rsidRPr="00D01280">
        <w:rPr>
          <w:rFonts w:ascii="Times New Roman" w:hAnsi="Times New Roman"/>
          <w:color w:val="595959" w:themeColor="text1" w:themeTint="A6"/>
          <w:lang w:eastAsia="lt-LT"/>
        </w:rPr>
        <w:t xml:space="preserve"> valdymo priemones: 1) </w:t>
      </w:r>
      <w:r w:rsidR="00D01280">
        <w:rPr>
          <w:rFonts w:ascii="Times New Roman" w:hAnsi="Times New Roman"/>
          <w:color w:val="595959" w:themeColor="text1" w:themeTint="A6"/>
          <w:lang w:eastAsia="lt-LT"/>
        </w:rPr>
        <w:t xml:space="preserve">analizę ir skaičiavimus, kokios </w:t>
      </w:r>
      <w:r w:rsidR="00BD39D7">
        <w:rPr>
          <w:rFonts w:ascii="Times New Roman" w:hAnsi="Times New Roman"/>
          <w:color w:val="595959" w:themeColor="text1" w:themeTint="A6"/>
          <w:lang w:eastAsia="lt-LT"/>
        </w:rPr>
        <w:t>p</w:t>
      </w:r>
      <w:r w:rsidR="00D01280" w:rsidRPr="00D01280">
        <w:rPr>
          <w:rFonts w:ascii="Times New Roman" w:hAnsi="Times New Roman"/>
          <w:color w:val="595959" w:themeColor="text1" w:themeTint="A6"/>
          <w:lang w:eastAsia="lt-LT"/>
        </w:rPr>
        <w:t xml:space="preserve">rojekto veiklų dalies įgyvendinti (ir atitinkamai kokios lėšų sumos panaudoti) </w:t>
      </w:r>
      <w:r w:rsidR="00BD39D7">
        <w:rPr>
          <w:rFonts w:ascii="Times New Roman" w:hAnsi="Times New Roman"/>
          <w:color w:val="595959" w:themeColor="text1" w:themeTint="A6"/>
          <w:lang w:eastAsia="lt-LT"/>
        </w:rPr>
        <w:t>p</w:t>
      </w:r>
      <w:r w:rsidR="00D01280" w:rsidRPr="00D01280">
        <w:rPr>
          <w:rFonts w:ascii="Times New Roman" w:hAnsi="Times New Roman"/>
          <w:color w:val="595959" w:themeColor="text1" w:themeTint="A6"/>
          <w:lang w:eastAsia="lt-LT"/>
        </w:rPr>
        <w:t>rojekto vykdytojas galimai nes</w:t>
      </w:r>
      <w:r w:rsidR="00D01280">
        <w:rPr>
          <w:rFonts w:ascii="Times New Roman" w:hAnsi="Times New Roman"/>
          <w:color w:val="595959" w:themeColor="text1" w:themeTint="A6"/>
          <w:lang w:eastAsia="lt-LT"/>
        </w:rPr>
        <w:t xml:space="preserve">pės iki 2023 m. spalio 1 dienos; </w:t>
      </w:r>
      <w:r w:rsidR="00D01280" w:rsidRPr="00D01280">
        <w:rPr>
          <w:rFonts w:ascii="Times New Roman" w:hAnsi="Times New Roman"/>
          <w:color w:val="595959" w:themeColor="text1" w:themeTint="A6"/>
          <w:lang w:eastAsia="lt-LT"/>
        </w:rPr>
        <w:t xml:space="preserve">2) papildomų projektų sąrašą, kurie galėtų padengti </w:t>
      </w:r>
      <w:r w:rsidR="00BD39D7">
        <w:rPr>
          <w:rFonts w:ascii="Times New Roman" w:hAnsi="Times New Roman"/>
          <w:color w:val="595959" w:themeColor="text1" w:themeTint="A6"/>
          <w:lang w:eastAsia="lt-LT"/>
        </w:rPr>
        <w:t>p</w:t>
      </w:r>
      <w:r w:rsidR="00D01280" w:rsidRPr="00D01280">
        <w:rPr>
          <w:rFonts w:ascii="Times New Roman" w:hAnsi="Times New Roman"/>
          <w:color w:val="595959" w:themeColor="text1" w:themeTint="A6"/>
          <w:lang w:eastAsia="lt-LT"/>
        </w:rPr>
        <w:t>rojekto įgyvendinimo metu nespėtą panaudoti lėšų sumą;</w:t>
      </w:r>
      <w:r w:rsidR="00D01280">
        <w:rPr>
          <w:rFonts w:ascii="Times New Roman" w:hAnsi="Times New Roman"/>
          <w:color w:val="595959" w:themeColor="text1" w:themeTint="A6"/>
          <w:lang w:eastAsia="lt-LT"/>
        </w:rPr>
        <w:t xml:space="preserve"> </w:t>
      </w:r>
      <w:r w:rsidR="00D01280" w:rsidRPr="00D01280">
        <w:rPr>
          <w:rFonts w:ascii="Times New Roman" w:hAnsi="Times New Roman"/>
          <w:color w:val="595959" w:themeColor="text1" w:themeTint="A6"/>
          <w:lang w:eastAsia="lt-LT"/>
        </w:rPr>
        <w:t>3) informaciją apie tokių projektų progresą ir išlaidų patyrimo terminus.</w:t>
      </w:r>
    </w:p>
    <w:p w:rsidR="00827740" w:rsidRPr="006658F1" w:rsidRDefault="00827740" w:rsidP="00E12923">
      <w:pPr>
        <w:pStyle w:val="tekstas"/>
        <w:rPr>
          <w:rFonts w:ascii="Times New Roman" w:hAnsi="Times New Roman"/>
          <w:color w:val="595959" w:themeColor="text1" w:themeTint="A6"/>
          <w:lang w:eastAsia="lt-LT"/>
        </w:rPr>
      </w:pPr>
    </w:p>
    <w:tbl>
      <w:tblPr>
        <w:tblStyle w:val="Lentelstinklelis8"/>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F6727" w:rsidRPr="006658F1" w:rsidTr="002F6727">
        <w:tc>
          <w:tcPr>
            <w:tcW w:w="9638" w:type="dxa"/>
            <w:tcBorders>
              <w:top w:val="nil"/>
              <w:left w:val="nil"/>
              <w:bottom w:val="nil"/>
              <w:right w:val="nil"/>
            </w:tcBorders>
            <w:shd w:val="clear" w:color="auto" w:fill="D9D9D9" w:themeFill="background1" w:themeFillShade="D9"/>
          </w:tcPr>
          <w:p w:rsidR="002F6727" w:rsidRPr="006658F1" w:rsidRDefault="002F6727" w:rsidP="002F6727">
            <w:pPr>
              <w:jc w:val="both"/>
              <w:rPr>
                <w:b/>
                <w:color w:val="365F91" w:themeColor="accent1" w:themeShade="BF"/>
                <w:szCs w:val="24"/>
              </w:rPr>
            </w:pPr>
            <w:r w:rsidRPr="006658F1">
              <w:rPr>
                <w:b/>
                <w:color w:val="365F91" w:themeColor="accent1" w:themeShade="BF"/>
                <w:szCs w:val="24"/>
              </w:rPr>
              <w:t>Siūlymas Susisiekimo</w:t>
            </w:r>
            <w:r w:rsidRPr="006658F1">
              <w:rPr>
                <w:szCs w:val="24"/>
              </w:rPr>
              <w:t xml:space="preserve"> </w:t>
            </w:r>
            <w:r w:rsidRPr="006658F1">
              <w:rPr>
                <w:b/>
                <w:color w:val="365F91" w:themeColor="accent1" w:themeShade="BF"/>
                <w:szCs w:val="24"/>
              </w:rPr>
              <w:t>ministerijai:</w:t>
            </w:r>
          </w:p>
          <w:p w:rsidR="001B2DF7" w:rsidRPr="006658F1" w:rsidRDefault="002F6727" w:rsidP="001B2DF7">
            <w:pPr>
              <w:jc w:val="both"/>
              <w:rPr>
                <w:color w:val="365F91" w:themeColor="accent1" w:themeShade="BF"/>
                <w:szCs w:val="24"/>
              </w:rPr>
            </w:pPr>
            <w:r w:rsidRPr="006658F1">
              <w:rPr>
                <w:color w:val="365F91" w:themeColor="accent1" w:themeShade="BF"/>
                <w:szCs w:val="24"/>
              </w:rPr>
              <w:t xml:space="preserve">- </w:t>
            </w:r>
            <w:r w:rsidR="00BD39D7">
              <w:rPr>
                <w:color w:val="365F91" w:themeColor="accent1" w:themeShade="BF"/>
                <w:szCs w:val="24"/>
              </w:rPr>
              <w:t xml:space="preserve">Gavus </w:t>
            </w:r>
            <w:r w:rsidR="00A21363">
              <w:rPr>
                <w:color w:val="365F91" w:themeColor="accent1" w:themeShade="BF"/>
                <w:szCs w:val="24"/>
              </w:rPr>
              <w:t xml:space="preserve">teigiamą </w:t>
            </w:r>
            <w:r w:rsidR="00BD39D7">
              <w:rPr>
                <w:color w:val="365F91" w:themeColor="accent1" w:themeShade="BF"/>
                <w:szCs w:val="24"/>
              </w:rPr>
              <w:t>nepriklausom</w:t>
            </w:r>
            <w:r w:rsidR="00A21363">
              <w:rPr>
                <w:color w:val="365F91" w:themeColor="accent1" w:themeShade="BF"/>
                <w:szCs w:val="24"/>
              </w:rPr>
              <w:t xml:space="preserve">ų ekspertų didelės apimties projekto kokybės įvertinimą ir suderinus su projekto vykdytoju tokį finansavimo dydį, kuris leistų suvaldyti </w:t>
            </w:r>
            <w:proofErr w:type="spellStart"/>
            <w:r w:rsidR="00A21363">
              <w:rPr>
                <w:color w:val="365F91" w:themeColor="accent1" w:themeShade="BF"/>
                <w:szCs w:val="24"/>
              </w:rPr>
              <w:t>SaF</w:t>
            </w:r>
            <w:proofErr w:type="spellEnd"/>
            <w:r w:rsidR="00A21363">
              <w:rPr>
                <w:color w:val="365F91" w:themeColor="accent1" w:themeShade="BF"/>
                <w:szCs w:val="24"/>
              </w:rPr>
              <w:t xml:space="preserve"> lėšų nepanaudojimo riziką, </w:t>
            </w:r>
            <w:r w:rsidR="0070584D" w:rsidRPr="006658F1">
              <w:rPr>
                <w:color w:val="365F91" w:themeColor="accent1" w:themeShade="BF"/>
                <w:szCs w:val="24"/>
              </w:rPr>
              <w:t>iki 202</w:t>
            </w:r>
            <w:r w:rsidR="009F26BC">
              <w:rPr>
                <w:color w:val="365F91" w:themeColor="accent1" w:themeShade="BF"/>
                <w:szCs w:val="24"/>
              </w:rPr>
              <w:t>1</w:t>
            </w:r>
            <w:r w:rsidR="0070584D" w:rsidRPr="006658F1">
              <w:rPr>
                <w:color w:val="365F91" w:themeColor="accent1" w:themeShade="BF"/>
                <w:szCs w:val="24"/>
              </w:rPr>
              <w:t xml:space="preserve"> m. pabaigos</w:t>
            </w:r>
            <w:r w:rsidR="00A21363">
              <w:rPr>
                <w:color w:val="365F91" w:themeColor="accent1" w:themeShade="BF"/>
                <w:szCs w:val="24"/>
              </w:rPr>
              <w:t xml:space="preserve"> sudaryti projekto finansavimo sutartį</w:t>
            </w:r>
            <w:r w:rsidR="001B2DF7" w:rsidRPr="006658F1">
              <w:rPr>
                <w:color w:val="365F91" w:themeColor="accent1" w:themeShade="BF"/>
                <w:szCs w:val="24"/>
              </w:rPr>
              <w:t>;</w:t>
            </w:r>
          </w:p>
          <w:p w:rsidR="002F6727" w:rsidRPr="006658F1" w:rsidRDefault="001B2DF7" w:rsidP="002D3082">
            <w:pPr>
              <w:jc w:val="both"/>
              <w:rPr>
                <w:color w:val="365F91" w:themeColor="accent1" w:themeShade="BF"/>
                <w:szCs w:val="24"/>
              </w:rPr>
            </w:pPr>
            <w:r w:rsidRPr="006658F1">
              <w:rPr>
                <w:color w:val="365F91" w:themeColor="accent1" w:themeShade="BF"/>
                <w:szCs w:val="24"/>
              </w:rPr>
              <w:t xml:space="preserve">- </w:t>
            </w:r>
            <w:r w:rsidR="0070584D" w:rsidRPr="006658F1">
              <w:rPr>
                <w:color w:val="365F91" w:themeColor="accent1" w:themeShade="BF"/>
                <w:szCs w:val="24"/>
              </w:rPr>
              <w:t xml:space="preserve">iki 2021 m. </w:t>
            </w:r>
            <w:r w:rsidR="002D3082">
              <w:rPr>
                <w:color w:val="365F91" w:themeColor="accent1" w:themeShade="BF"/>
                <w:szCs w:val="24"/>
              </w:rPr>
              <w:t>gruodžio 15</w:t>
            </w:r>
            <w:r w:rsidR="0070584D" w:rsidRPr="006658F1">
              <w:rPr>
                <w:color w:val="365F91" w:themeColor="accent1" w:themeShade="BF"/>
                <w:szCs w:val="24"/>
              </w:rPr>
              <w:t xml:space="preserve"> d. raštu </w:t>
            </w:r>
            <w:r w:rsidRPr="006658F1">
              <w:rPr>
                <w:color w:val="365F91" w:themeColor="accent1" w:themeShade="BF"/>
                <w:szCs w:val="24"/>
              </w:rPr>
              <w:t>informuoti</w:t>
            </w:r>
            <w:r w:rsidR="0070584D" w:rsidRPr="006658F1">
              <w:rPr>
                <w:color w:val="365F91" w:themeColor="accent1" w:themeShade="BF"/>
                <w:szCs w:val="24"/>
              </w:rPr>
              <w:t xml:space="preserve"> </w:t>
            </w:r>
            <w:r w:rsidRPr="006658F1">
              <w:rPr>
                <w:color w:val="365F91" w:themeColor="accent1" w:themeShade="BF"/>
                <w:szCs w:val="24"/>
              </w:rPr>
              <w:t>Finansų ministeriją</w:t>
            </w:r>
            <w:r w:rsidR="002F6727" w:rsidRPr="006658F1">
              <w:rPr>
                <w:color w:val="365F91" w:themeColor="accent1" w:themeShade="BF"/>
                <w:szCs w:val="24"/>
              </w:rPr>
              <w:t xml:space="preserve"> </w:t>
            </w:r>
            <w:r w:rsidR="0070584D" w:rsidRPr="006658F1">
              <w:rPr>
                <w:color w:val="365F91" w:themeColor="accent1" w:themeShade="BF"/>
                <w:szCs w:val="24"/>
              </w:rPr>
              <w:t xml:space="preserve">apie lėšų </w:t>
            </w:r>
            <w:r w:rsidR="00BD39D7">
              <w:rPr>
                <w:color w:val="365F91" w:themeColor="accent1" w:themeShade="BF"/>
                <w:szCs w:val="24"/>
              </w:rPr>
              <w:t>nepanaudo</w:t>
            </w:r>
            <w:r w:rsidR="003F7B58">
              <w:rPr>
                <w:color w:val="365F91" w:themeColor="accent1" w:themeShade="BF"/>
                <w:szCs w:val="24"/>
              </w:rPr>
              <w:t>jimo rizikos valdymo priemones</w:t>
            </w:r>
            <w:r w:rsidR="0070584D" w:rsidRPr="006658F1">
              <w:rPr>
                <w:color w:val="365F91" w:themeColor="accent1" w:themeShade="BF"/>
                <w:szCs w:val="24"/>
              </w:rPr>
              <w:t xml:space="preserve">, jei </w:t>
            </w:r>
            <w:r w:rsidRPr="006658F1">
              <w:rPr>
                <w:color w:val="365F91" w:themeColor="accent1" w:themeShade="BF"/>
                <w:szCs w:val="24"/>
              </w:rPr>
              <w:t xml:space="preserve">iki finansavimo periodo pabaigos didelės apimties geležinkelio ruožo nuo Kaišiadorių iki Klaipėdos elektrifikavimo projektas </w:t>
            </w:r>
            <w:r w:rsidR="00BD39D7">
              <w:rPr>
                <w:color w:val="365F91" w:themeColor="accent1" w:themeShade="BF"/>
                <w:szCs w:val="24"/>
              </w:rPr>
              <w:t>būtų įgyvendintas ne</w:t>
            </w:r>
            <w:r w:rsidRPr="006658F1">
              <w:rPr>
                <w:color w:val="365F91" w:themeColor="accent1" w:themeShade="BF"/>
                <w:szCs w:val="24"/>
              </w:rPr>
              <w:t>pilna apimtimi</w:t>
            </w:r>
            <w:r w:rsidR="002F6727" w:rsidRPr="006658F1">
              <w:rPr>
                <w:color w:val="595959" w:themeColor="text1" w:themeTint="A6"/>
                <w:szCs w:val="24"/>
                <w:lang w:eastAsia="lt-LT"/>
              </w:rPr>
              <w:t>.</w:t>
            </w:r>
          </w:p>
        </w:tc>
      </w:tr>
    </w:tbl>
    <w:p w:rsidR="00E12923" w:rsidRPr="006658F1" w:rsidRDefault="00E12923" w:rsidP="00E12923">
      <w:pPr>
        <w:pStyle w:val="tekstas"/>
        <w:ind w:firstLine="0"/>
        <w:rPr>
          <w:rFonts w:ascii="Times New Roman" w:hAnsi="Times New Roman"/>
          <w:color w:val="595959" w:themeColor="text1" w:themeTint="A6"/>
          <w:lang w:eastAsia="lt-LT"/>
        </w:rPr>
      </w:pPr>
    </w:p>
    <w:p w:rsidR="000305AE" w:rsidRPr="006658F1" w:rsidRDefault="000305AE" w:rsidP="00240928">
      <w:pPr>
        <w:pStyle w:val="antrat3zz"/>
        <w:spacing w:before="0" w:after="0"/>
        <w:rPr>
          <w:rFonts w:ascii="Times New Roman" w:eastAsia="Times New Roman" w:hAnsi="Times New Roman" w:cs="Times New Roman"/>
          <w:bCs w:val="0"/>
        </w:rPr>
      </w:pPr>
      <w:bookmarkStart w:id="25" w:name="_Toc86414516"/>
      <w:r w:rsidRPr="006658F1">
        <w:rPr>
          <w:rFonts w:ascii="Times New Roman" w:eastAsia="Times New Roman" w:hAnsi="Times New Roman" w:cs="Times New Roman"/>
          <w:bCs w:val="0"/>
        </w:rPr>
        <w:t>7 prioritetas. Kokybiško užimtumo ir dalyvavimo darbo rinkoje skatinimas</w:t>
      </w:r>
      <w:bookmarkEnd w:id="24"/>
      <w:bookmarkEnd w:id="25"/>
    </w:p>
    <w:p w:rsidR="000277FF" w:rsidRPr="006658F1" w:rsidRDefault="000277FF" w:rsidP="00D04093">
      <w:pPr>
        <w:jc w:val="both"/>
        <w:rPr>
          <w:color w:val="595959" w:themeColor="text1" w:themeTint="A6"/>
          <w:szCs w:val="24"/>
          <w:lang w:eastAsia="lt-LT"/>
        </w:rPr>
      </w:pPr>
      <w:bookmarkStart w:id="26" w:name="_Toc512504084"/>
      <w:bookmarkStart w:id="27" w:name="_Toc10104959"/>
    </w:p>
    <w:p w:rsidR="00411538" w:rsidRPr="006658F1" w:rsidRDefault="003265F8" w:rsidP="00D04093">
      <w:pPr>
        <w:jc w:val="both"/>
        <w:rPr>
          <w:color w:val="595959" w:themeColor="text1" w:themeTint="A6"/>
          <w:szCs w:val="24"/>
          <w:lang w:eastAsia="lt-LT"/>
        </w:rPr>
      </w:pPr>
      <w:r>
        <w:rPr>
          <w:noProof/>
          <w:lang w:eastAsia="lt-LT"/>
        </w:rPr>
        <w:drawing>
          <wp:inline distT="0" distB="0" distL="0" distR="0" wp14:anchorId="132F6C52" wp14:editId="1D5B3572">
            <wp:extent cx="6120130" cy="1724247"/>
            <wp:effectExtent l="0" t="0" r="13970" b="9525"/>
            <wp:docPr id="32" name="Diagra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1538" w:rsidRPr="006658F1" w:rsidRDefault="00411538" w:rsidP="00D04093">
      <w:pPr>
        <w:jc w:val="both"/>
        <w:rPr>
          <w:color w:val="595959" w:themeColor="text1" w:themeTint="A6"/>
          <w:szCs w:val="24"/>
          <w:lang w:eastAsia="lt-LT"/>
        </w:rPr>
      </w:pPr>
    </w:p>
    <w:p w:rsidR="00E02A50" w:rsidRPr="006658F1" w:rsidRDefault="00E02A50" w:rsidP="00E02A50">
      <w:pPr>
        <w:ind w:firstLine="426"/>
        <w:jc w:val="both"/>
        <w:rPr>
          <w:color w:val="595959" w:themeColor="text1" w:themeTint="A6"/>
          <w:szCs w:val="24"/>
          <w:lang w:eastAsia="lt-LT"/>
        </w:rPr>
      </w:pPr>
      <w:r w:rsidRPr="006658F1">
        <w:rPr>
          <w:color w:val="595959" w:themeColor="text1" w:themeTint="A6"/>
          <w:szCs w:val="24"/>
          <w:lang w:eastAsia="lt-LT"/>
        </w:rPr>
        <w:t>Vidaus reikalų ministerija, atsižvelgdama į Finansų ministerijos praeitoje ataskaitoje teiktą rekomendaciją</w:t>
      </w:r>
      <w:r w:rsidR="00CC0FD6">
        <w:rPr>
          <w:color w:val="595959" w:themeColor="text1" w:themeTint="A6"/>
          <w:szCs w:val="24"/>
          <w:lang w:eastAsia="lt-LT"/>
        </w:rPr>
        <w:t xml:space="preserve"> ir</w:t>
      </w:r>
      <w:r w:rsidRPr="006658F1">
        <w:rPr>
          <w:color w:val="595959" w:themeColor="text1" w:themeTint="A6"/>
          <w:szCs w:val="24"/>
          <w:lang w:eastAsia="lt-LT"/>
        </w:rPr>
        <w:t xml:space="preserve"> 2021 m. II ketvirtį su CPVA</w:t>
      </w:r>
      <w:r w:rsidR="00CC0FD6">
        <w:rPr>
          <w:color w:val="595959" w:themeColor="text1" w:themeTint="A6"/>
          <w:szCs w:val="24"/>
          <w:lang w:eastAsia="lt-LT"/>
        </w:rPr>
        <w:t xml:space="preserve"> </w:t>
      </w:r>
      <w:r w:rsidRPr="006658F1">
        <w:rPr>
          <w:color w:val="595959" w:themeColor="text1" w:themeTint="A6"/>
          <w:szCs w:val="24"/>
          <w:lang w:eastAsia="lt-LT"/>
        </w:rPr>
        <w:t xml:space="preserve">identifikavusi rizikingiausius projektus, suorganizavo susitikimus su Vilniaus ir Kauno miestų savivaldybių administracijų, Vilkaviškio rajono </w:t>
      </w:r>
      <w:proofErr w:type="gramStart"/>
      <w:r w:rsidRPr="006658F1">
        <w:rPr>
          <w:color w:val="595959" w:themeColor="text1" w:themeTint="A6"/>
          <w:szCs w:val="24"/>
          <w:lang w:eastAsia="lt-LT"/>
        </w:rPr>
        <w:t>savivaldybės administracijos</w:t>
      </w:r>
      <w:proofErr w:type="gramEnd"/>
      <w:r w:rsidRPr="006658F1">
        <w:rPr>
          <w:color w:val="595959" w:themeColor="text1" w:themeTint="A6"/>
          <w:szCs w:val="24"/>
          <w:lang w:eastAsia="lt-LT"/>
        </w:rPr>
        <w:t>, Priešgaisrinės apsaugos ir gelbėjimo departamento prie Vidaus reikalų ministerijos, CPVA ir Finansų ministerijos atstovais, kurių metu buvo aptartos šių projektų</w:t>
      </w:r>
      <w:r w:rsidR="00A539C2" w:rsidRPr="006658F1">
        <w:rPr>
          <w:color w:val="595959" w:themeColor="text1" w:themeTint="A6"/>
          <w:szCs w:val="24"/>
          <w:lang w:eastAsia="lt-LT"/>
        </w:rPr>
        <w:t xml:space="preserve"> įgyvendinimo</w:t>
      </w:r>
      <w:r w:rsidRPr="006658F1">
        <w:rPr>
          <w:color w:val="595959" w:themeColor="text1" w:themeTint="A6"/>
          <w:szCs w:val="24"/>
          <w:lang w:eastAsia="lt-LT"/>
        </w:rPr>
        <w:t xml:space="preserve"> problemos ir galimos jų įgyvendinimo rizikų mažinimo priemonės. Vidaus reikalų ministerija, siekdama spartinti ES lėšų investavimą, atliko regiono projektų sutartyse nesuplanuotų ES struktūrinių fondų lėšų perskirstymą tarp regionų bei bandomiesiems projektams Tauragė+ ir Šalčininkai+ perskirstė 2,55 mln. eurų ES lėšų.</w:t>
      </w:r>
      <w:r w:rsidR="002D60C3" w:rsidRPr="006658F1">
        <w:rPr>
          <w:color w:val="595959" w:themeColor="text1" w:themeTint="A6"/>
          <w:szCs w:val="24"/>
          <w:lang w:eastAsia="lt-LT"/>
        </w:rPr>
        <w:t xml:space="preserve"> Atsižvelgiant į tai, kad </w:t>
      </w:r>
      <w:r w:rsidR="00E622DE" w:rsidRPr="006658F1">
        <w:rPr>
          <w:color w:val="595959" w:themeColor="text1" w:themeTint="A6"/>
          <w:szCs w:val="24"/>
          <w:lang w:eastAsia="lt-LT"/>
        </w:rPr>
        <w:t xml:space="preserve">susitikimų su savivaldybėmis metu buvo nuspręsta rizikingų projektų įgyvendinimą </w:t>
      </w:r>
      <w:r w:rsidR="00AE4E4A" w:rsidRPr="006658F1">
        <w:rPr>
          <w:color w:val="595959" w:themeColor="text1" w:themeTint="A6"/>
          <w:szCs w:val="24"/>
          <w:lang w:eastAsia="lt-LT"/>
        </w:rPr>
        <w:t xml:space="preserve">pakartotinai įvertinti </w:t>
      </w:r>
      <w:r w:rsidR="00E622DE" w:rsidRPr="006658F1">
        <w:rPr>
          <w:color w:val="595959" w:themeColor="text1" w:themeTint="A6"/>
          <w:szCs w:val="24"/>
          <w:lang w:eastAsia="lt-LT"/>
        </w:rPr>
        <w:t>liepos mėn.</w:t>
      </w:r>
      <w:r w:rsidR="00AC2F19" w:rsidRPr="006658F1">
        <w:rPr>
          <w:color w:val="595959" w:themeColor="text1" w:themeTint="A6"/>
          <w:szCs w:val="24"/>
          <w:lang w:eastAsia="lt-LT"/>
        </w:rPr>
        <w:t xml:space="preserve"> </w:t>
      </w:r>
      <w:r w:rsidR="00AE4E4A" w:rsidRPr="006658F1">
        <w:rPr>
          <w:color w:val="595959" w:themeColor="text1" w:themeTint="A6"/>
          <w:szCs w:val="24"/>
          <w:lang w:eastAsia="lt-LT"/>
        </w:rPr>
        <w:t xml:space="preserve">bei į </w:t>
      </w:r>
      <w:r w:rsidR="00AC2F19" w:rsidRPr="006658F1">
        <w:rPr>
          <w:color w:val="595959" w:themeColor="text1" w:themeTint="A6"/>
          <w:szCs w:val="24"/>
          <w:lang w:eastAsia="lt-LT"/>
        </w:rPr>
        <w:t>tai, kad šis</w:t>
      </w:r>
      <w:r w:rsidR="00052321" w:rsidRPr="006658F1">
        <w:rPr>
          <w:color w:val="595959" w:themeColor="text1" w:themeTint="A6"/>
          <w:szCs w:val="24"/>
          <w:lang w:eastAsia="lt-LT"/>
        </w:rPr>
        <w:t xml:space="preserve"> lėšų perskirstymas tik dalinai sumažino lėšų praradimo riziką, </w:t>
      </w:r>
      <w:r w:rsidR="00B53787" w:rsidRPr="006658F1">
        <w:rPr>
          <w:color w:val="595959" w:themeColor="text1" w:themeTint="A6"/>
          <w:szCs w:val="24"/>
          <w:lang w:eastAsia="lt-LT"/>
        </w:rPr>
        <w:t>I</w:t>
      </w:r>
      <w:r w:rsidR="00B53787">
        <w:rPr>
          <w:color w:val="595959" w:themeColor="text1" w:themeTint="A6"/>
          <w:szCs w:val="24"/>
          <w:lang w:eastAsia="lt-LT"/>
        </w:rPr>
        <w:t>V</w:t>
      </w:r>
      <w:r w:rsidR="00B53787" w:rsidRPr="006658F1">
        <w:rPr>
          <w:color w:val="595959" w:themeColor="text1" w:themeTint="A6"/>
          <w:szCs w:val="24"/>
          <w:lang w:eastAsia="lt-LT"/>
        </w:rPr>
        <w:t xml:space="preserve"> </w:t>
      </w:r>
      <w:r w:rsidR="00052321" w:rsidRPr="006658F1">
        <w:rPr>
          <w:color w:val="595959" w:themeColor="text1" w:themeTint="A6"/>
          <w:szCs w:val="24"/>
          <w:lang w:eastAsia="lt-LT"/>
        </w:rPr>
        <w:t>ketvirči</w:t>
      </w:r>
      <w:r w:rsidR="00AC2F19" w:rsidRPr="006658F1">
        <w:rPr>
          <w:color w:val="595959" w:themeColor="text1" w:themeTint="A6"/>
          <w:szCs w:val="24"/>
          <w:lang w:eastAsia="lt-LT"/>
        </w:rPr>
        <w:t xml:space="preserve">o </w:t>
      </w:r>
      <w:r w:rsidR="00B53787">
        <w:rPr>
          <w:color w:val="595959" w:themeColor="text1" w:themeTint="A6"/>
          <w:szCs w:val="24"/>
          <w:lang w:eastAsia="lt-LT"/>
        </w:rPr>
        <w:t>pradžioje</w:t>
      </w:r>
      <w:r w:rsidR="00B53787" w:rsidRPr="006658F1">
        <w:rPr>
          <w:color w:val="595959" w:themeColor="text1" w:themeTint="A6"/>
          <w:szCs w:val="24"/>
          <w:lang w:eastAsia="lt-LT"/>
        </w:rPr>
        <w:t xml:space="preserve"> </w:t>
      </w:r>
      <w:r w:rsidR="00052321" w:rsidRPr="006658F1">
        <w:rPr>
          <w:color w:val="595959" w:themeColor="text1" w:themeTint="A6"/>
          <w:szCs w:val="24"/>
          <w:lang w:eastAsia="lt-LT"/>
        </w:rPr>
        <w:t xml:space="preserve">Vidaus reikalų ministerija </w:t>
      </w:r>
      <w:r w:rsidR="00AC2F19" w:rsidRPr="006658F1">
        <w:rPr>
          <w:color w:val="595959" w:themeColor="text1" w:themeTint="A6"/>
          <w:szCs w:val="24"/>
          <w:lang w:eastAsia="lt-LT"/>
        </w:rPr>
        <w:t>kartu CPVA turėtų atlikti</w:t>
      </w:r>
      <w:r w:rsidR="00C11BBF">
        <w:rPr>
          <w:color w:val="595959" w:themeColor="text1" w:themeTint="A6"/>
          <w:szCs w:val="24"/>
          <w:lang w:eastAsia="lt-LT"/>
        </w:rPr>
        <w:t xml:space="preserve"> detalų</w:t>
      </w:r>
      <w:r w:rsidR="00AC2F19" w:rsidRPr="006658F1">
        <w:rPr>
          <w:color w:val="595959" w:themeColor="text1" w:themeTint="A6"/>
          <w:szCs w:val="24"/>
          <w:lang w:eastAsia="lt-LT"/>
        </w:rPr>
        <w:t xml:space="preserve"> rizikingų projektų</w:t>
      </w:r>
      <w:r w:rsidR="00BB10A4">
        <w:rPr>
          <w:color w:val="595959" w:themeColor="text1" w:themeTint="A6"/>
          <w:szCs w:val="24"/>
          <w:lang w:eastAsia="lt-LT"/>
        </w:rPr>
        <w:t>, kuriuose</w:t>
      </w:r>
      <w:r w:rsidR="00DA4C14">
        <w:rPr>
          <w:color w:val="595959" w:themeColor="text1" w:themeTint="A6"/>
          <w:szCs w:val="24"/>
          <w:lang w:eastAsia="lt-LT"/>
        </w:rPr>
        <w:t xml:space="preserve"> </w:t>
      </w:r>
      <w:r w:rsidR="00BB10A4">
        <w:rPr>
          <w:color w:val="595959" w:themeColor="text1" w:themeTint="A6"/>
          <w:szCs w:val="24"/>
          <w:lang w:eastAsia="lt-LT"/>
        </w:rPr>
        <w:t>išmokėjimai</w:t>
      </w:r>
      <w:r w:rsidR="00AC2F19" w:rsidRPr="006658F1">
        <w:rPr>
          <w:color w:val="595959" w:themeColor="text1" w:themeTint="A6"/>
          <w:szCs w:val="24"/>
          <w:lang w:eastAsia="lt-LT"/>
        </w:rPr>
        <w:t xml:space="preserve"> </w:t>
      </w:r>
      <w:r w:rsidR="00BB10A4">
        <w:rPr>
          <w:color w:val="595959" w:themeColor="text1" w:themeTint="A6"/>
          <w:szCs w:val="24"/>
          <w:lang w:eastAsia="lt-LT"/>
        </w:rPr>
        <w:t xml:space="preserve">nesiekia 30 proc. </w:t>
      </w:r>
      <w:r w:rsidR="00AC2F19" w:rsidRPr="006658F1">
        <w:rPr>
          <w:color w:val="595959" w:themeColor="text1" w:themeTint="A6"/>
          <w:szCs w:val="24"/>
          <w:lang w:eastAsia="lt-LT"/>
        </w:rPr>
        <w:t>tolesnio įgyvendinimo tikslingumo vertinimą ir, nustačius</w:t>
      </w:r>
      <w:r w:rsidR="007872F1" w:rsidRPr="006658F1">
        <w:rPr>
          <w:color w:val="595959" w:themeColor="text1" w:themeTint="A6"/>
          <w:szCs w:val="24"/>
          <w:lang w:eastAsia="lt-LT"/>
        </w:rPr>
        <w:t>i</w:t>
      </w:r>
      <w:r w:rsidR="00AC2F19" w:rsidRPr="006658F1">
        <w:rPr>
          <w:color w:val="595959" w:themeColor="text1" w:themeTint="A6"/>
          <w:szCs w:val="24"/>
          <w:lang w:eastAsia="lt-LT"/>
        </w:rPr>
        <w:t xml:space="preserve"> riziką prarasti lėšas, </w:t>
      </w:r>
      <w:r w:rsidR="00B978E3" w:rsidRPr="006658F1">
        <w:rPr>
          <w:color w:val="595959" w:themeColor="text1" w:themeTint="A6"/>
          <w:szCs w:val="24"/>
          <w:lang w:eastAsia="lt-LT"/>
        </w:rPr>
        <w:t xml:space="preserve">nedelsdama </w:t>
      </w:r>
      <w:r w:rsidR="00AC2F19" w:rsidRPr="006658F1">
        <w:rPr>
          <w:color w:val="595959" w:themeColor="text1" w:themeTint="A6"/>
          <w:szCs w:val="24"/>
          <w:lang w:eastAsia="lt-LT"/>
        </w:rPr>
        <w:t xml:space="preserve">priimti </w:t>
      </w:r>
      <w:r w:rsidR="00B978E3" w:rsidRPr="006658F1">
        <w:rPr>
          <w:color w:val="595959" w:themeColor="text1" w:themeTint="A6"/>
          <w:szCs w:val="24"/>
          <w:lang w:eastAsia="lt-LT"/>
        </w:rPr>
        <w:t>būtinus</w:t>
      </w:r>
      <w:r w:rsidR="00AC2F19" w:rsidRPr="006658F1">
        <w:rPr>
          <w:color w:val="595959" w:themeColor="text1" w:themeTint="A6"/>
          <w:szCs w:val="24"/>
          <w:lang w:eastAsia="lt-LT"/>
        </w:rPr>
        <w:t xml:space="preserve"> sprendimus.</w:t>
      </w:r>
    </w:p>
    <w:p w:rsidR="00AC2F19" w:rsidRDefault="00AC2F19" w:rsidP="00E02A50">
      <w:pPr>
        <w:ind w:firstLine="426"/>
        <w:jc w:val="both"/>
        <w:rPr>
          <w:color w:val="595959" w:themeColor="text1" w:themeTint="A6"/>
          <w:szCs w:val="24"/>
          <w:lang w:eastAsia="lt-LT"/>
        </w:rPr>
      </w:pPr>
    </w:p>
    <w:p w:rsidR="003F7B58" w:rsidRDefault="003F7B58" w:rsidP="00E02A50">
      <w:pPr>
        <w:ind w:firstLine="426"/>
        <w:jc w:val="both"/>
        <w:rPr>
          <w:color w:val="595959" w:themeColor="text1" w:themeTint="A6"/>
          <w:szCs w:val="24"/>
          <w:lang w:eastAsia="lt-LT"/>
        </w:rPr>
      </w:pPr>
    </w:p>
    <w:p w:rsidR="003F7B58" w:rsidRPr="006658F1" w:rsidRDefault="003F7B58" w:rsidP="00E02A50">
      <w:pPr>
        <w:ind w:firstLine="426"/>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AC2F19" w:rsidRPr="006658F1" w:rsidTr="00E620B6">
        <w:tc>
          <w:tcPr>
            <w:tcW w:w="9638" w:type="dxa"/>
            <w:tcBorders>
              <w:top w:val="nil"/>
              <w:left w:val="nil"/>
              <w:bottom w:val="nil"/>
              <w:right w:val="nil"/>
            </w:tcBorders>
            <w:shd w:val="clear" w:color="auto" w:fill="D9D9D9" w:themeFill="background1" w:themeFillShade="D9"/>
          </w:tcPr>
          <w:p w:rsidR="00AC2F19" w:rsidRPr="006658F1" w:rsidRDefault="00AC2F19" w:rsidP="00AC2F19">
            <w:pPr>
              <w:jc w:val="both"/>
              <w:rPr>
                <w:b/>
                <w:color w:val="365F91" w:themeColor="accent1" w:themeShade="BF"/>
                <w:szCs w:val="24"/>
              </w:rPr>
            </w:pPr>
            <w:r w:rsidRPr="006658F1">
              <w:rPr>
                <w:b/>
                <w:color w:val="365F91" w:themeColor="accent1" w:themeShade="BF"/>
                <w:szCs w:val="24"/>
              </w:rPr>
              <w:t>Siūlymas Vidaus reikalų ministerijai:</w:t>
            </w:r>
          </w:p>
          <w:p w:rsidR="00AC2F19" w:rsidRPr="006658F1" w:rsidRDefault="00AC2F19" w:rsidP="002D3082">
            <w:pPr>
              <w:jc w:val="both"/>
              <w:rPr>
                <w:color w:val="365F91" w:themeColor="accent1" w:themeShade="BF"/>
                <w:szCs w:val="24"/>
              </w:rPr>
            </w:pPr>
            <w:r w:rsidRPr="006658F1">
              <w:rPr>
                <w:color w:val="365F91" w:themeColor="accent1" w:themeShade="BF"/>
                <w:szCs w:val="24"/>
              </w:rPr>
              <w:t xml:space="preserve">- iki 2021 m. </w:t>
            </w:r>
            <w:r w:rsidR="002D3082">
              <w:rPr>
                <w:color w:val="365F91" w:themeColor="accent1" w:themeShade="BF"/>
                <w:szCs w:val="24"/>
              </w:rPr>
              <w:t>gruodžio</w:t>
            </w:r>
            <w:r w:rsidR="00B9389D" w:rsidRPr="006658F1">
              <w:rPr>
                <w:color w:val="365F91" w:themeColor="accent1" w:themeShade="BF"/>
                <w:szCs w:val="24"/>
              </w:rPr>
              <w:t xml:space="preserve"> </w:t>
            </w:r>
            <w:r w:rsidR="00B9389D">
              <w:rPr>
                <w:color w:val="365F91" w:themeColor="accent1" w:themeShade="BF"/>
                <w:szCs w:val="24"/>
              </w:rPr>
              <w:t>1</w:t>
            </w:r>
            <w:r w:rsidR="00946EC6">
              <w:rPr>
                <w:color w:val="365F91" w:themeColor="accent1" w:themeShade="BF"/>
                <w:szCs w:val="24"/>
              </w:rPr>
              <w:t>5</w:t>
            </w:r>
            <w:r w:rsidRPr="006658F1">
              <w:rPr>
                <w:color w:val="365F91" w:themeColor="accent1" w:themeShade="BF"/>
                <w:szCs w:val="24"/>
              </w:rPr>
              <w:t xml:space="preserve"> d. atlikti </w:t>
            </w:r>
            <w:r w:rsidR="00AE4E4A" w:rsidRPr="006658F1">
              <w:rPr>
                <w:color w:val="365F91" w:themeColor="accent1" w:themeShade="BF"/>
                <w:szCs w:val="24"/>
              </w:rPr>
              <w:t>detalų priemonių „Gyventojų perspėjimo apie pavojus ir gelbėjimo sistemų tobulinimas ir plėtra“, „</w:t>
            </w:r>
            <w:r w:rsidR="00AA78AF">
              <w:rPr>
                <w:color w:val="365F91" w:themeColor="accent1" w:themeShade="BF"/>
                <w:szCs w:val="24"/>
              </w:rPr>
              <w:t>Didžiųjų miestų kompleksinė plėtra</w:t>
            </w:r>
            <w:r w:rsidR="00AE4E4A" w:rsidRPr="006658F1">
              <w:rPr>
                <w:color w:val="365F91" w:themeColor="accent1" w:themeShade="BF"/>
                <w:szCs w:val="24"/>
              </w:rPr>
              <w:t xml:space="preserve">“ ir „Kompleksinė paslaugų plėtra integruotų teritorijų vystymo programų tikslinėse teritorijose“ lėšomis įgyvendinamų </w:t>
            </w:r>
            <w:r w:rsidRPr="006658F1">
              <w:rPr>
                <w:color w:val="365F91" w:themeColor="accent1" w:themeShade="BF"/>
                <w:szCs w:val="24"/>
              </w:rPr>
              <w:t xml:space="preserve">rizikingų projektų tolesnio finansavimo ES lėšomis tikslingumo vertinimą bei apie </w:t>
            </w:r>
            <w:r w:rsidRPr="006658F1">
              <w:rPr>
                <w:color w:val="365F91" w:themeColor="accent1" w:themeShade="BF"/>
                <w:szCs w:val="24"/>
              </w:rPr>
              <w:lastRenderedPageBreak/>
              <w:t>priimtus sprendimus informuoti Finansų min</w:t>
            </w:r>
            <w:r w:rsidR="00DD4263" w:rsidRPr="006658F1">
              <w:rPr>
                <w:color w:val="365F91" w:themeColor="accent1" w:themeShade="BF"/>
                <w:szCs w:val="24"/>
              </w:rPr>
              <w:t>isteriją.</w:t>
            </w:r>
          </w:p>
        </w:tc>
      </w:tr>
    </w:tbl>
    <w:p w:rsidR="00AC2F19" w:rsidRDefault="00AC2F19" w:rsidP="00E02A50">
      <w:pPr>
        <w:ind w:firstLine="426"/>
        <w:jc w:val="both"/>
        <w:rPr>
          <w:color w:val="595959" w:themeColor="text1" w:themeTint="A6"/>
          <w:szCs w:val="24"/>
          <w:lang w:eastAsia="lt-LT"/>
        </w:rPr>
      </w:pPr>
    </w:p>
    <w:p w:rsidR="00414285" w:rsidRPr="006658F1" w:rsidRDefault="00414285" w:rsidP="00E02A50">
      <w:pPr>
        <w:ind w:firstLine="426"/>
        <w:jc w:val="both"/>
        <w:rPr>
          <w:color w:val="595959" w:themeColor="text1" w:themeTint="A6"/>
          <w:szCs w:val="24"/>
          <w:lang w:eastAsia="lt-LT"/>
        </w:rPr>
      </w:pPr>
      <w:r w:rsidRPr="00414285">
        <w:rPr>
          <w:color w:val="595959" w:themeColor="text1" w:themeTint="A6"/>
          <w:szCs w:val="24"/>
          <w:lang w:eastAsia="lt-LT"/>
        </w:rPr>
        <w:t>Per 2021 m. Socialinės apsaugos ir darbo ministerijos administruojamomis ERPF lėšomis išmokė</w:t>
      </w:r>
      <w:r w:rsidR="007D6DF1">
        <w:rPr>
          <w:color w:val="595959" w:themeColor="text1" w:themeTint="A6"/>
          <w:szCs w:val="24"/>
          <w:lang w:eastAsia="lt-LT"/>
        </w:rPr>
        <w:t>ta</w:t>
      </w:r>
      <w:r w:rsidRPr="00414285">
        <w:rPr>
          <w:color w:val="595959" w:themeColor="text1" w:themeTint="A6"/>
          <w:szCs w:val="24"/>
          <w:lang w:eastAsia="lt-LT"/>
        </w:rPr>
        <w:t xml:space="preserve"> (0,05 mln. eurų) Užimtumo tarnybos infrastruktūros gerinimo Vilniaus mieste projektui (vertė 2,83 mln. eurų), kurio tikslas – pagerinti teikiamų paslaugų kokybę ir prieinamumą bei darbuotojų darbo sąlygas. Pažymėtina, kad </w:t>
      </w:r>
      <w:r w:rsidR="002E3A64" w:rsidRPr="002E3A64">
        <w:rPr>
          <w:color w:val="595959" w:themeColor="text1" w:themeTint="A6"/>
          <w:szCs w:val="24"/>
          <w:lang w:eastAsia="lt-LT"/>
        </w:rPr>
        <w:t xml:space="preserve">rugsėjo </w:t>
      </w:r>
      <w:r w:rsidR="002E3A64">
        <w:rPr>
          <w:color w:val="595959" w:themeColor="text1" w:themeTint="A6"/>
          <w:szCs w:val="24"/>
          <w:lang w:eastAsia="lt-LT"/>
        </w:rPr>
        <w:t>mėn. Užimtumo</w:t>
      </w:r>
      <w:r w:rsidR="002E3A64" w:rsidRPr="002E3A64">
        <w:rPr>
          <w:color w:val="595959" w:themeColor="text1" w:themeTint="A6"/>
          <w:szCs w:val="24"/>
          <w:lang w:eastAsia="lt-LT"/>
        </w:rPr>
        <w:t xml:space="preserve"> tarnyba sudarė pastato rekonstrukcijos darbų sutartį</w:t>
      </w:r>
      <w:r w:rsidR="002E3A64">
        <w:rPr>
          <w:color w:val="595959" w:themeColor="text1" w:themeTint="A6"/>
          <w:szCs w:val="24"/>
          <w:lang w:eastAsia="lt-LT"/>
        </w:rPr>
        <w:t>, todėl tikėtina investicijų sparta šiame projekte.</w:t>
      </w:r>
    </w:p>
    <w:p w:rsidR="00827740" w:rsidRPr="006658F1" w:rsidRDefault="00827740" w:rsidP="00C96392">
      <w:pPr>
        <w:jc w:val="both"/>
        <w:rPr>
          <w:color w:val="595959" w:themeColor="text1" w:themeTint="A6"/>
          <w:szCs w:val="24"/>
          <w:lang w:eastAsia="lt-LT"/>
        </w:rPr>
      </w:pPr>
    </w:p>
    <w:p w:rsidR="000305AE" w:rsidRPr="006658F1" w:rsidRDefault="000305AE" w:rsidP="0052455B">
      <w:pPr>
        <w:pStyle w:val="antrat3zz"/>
        <w:spacing w:before="0" w:after="0"/>
        <w:rPr>
          <w:rFonts w:ascii="Times New Roman" w:hAnsi="Times New Roman" w:cs="Times New Roman"/>
        </w:rPr>
      </w:pPr>
      <w:bookmarkStart w:id="28" w:name="_Toc86414517"/>
      <w:r w:rsidRPr="006658F1">
        <w:rPr>
          <w:rFonts w:ascii="Times New Roman" w:hAnsi="Times New Roman" w:cs="Times New Roman"/>
        </w:rPr>
        <w:t xml:space="preserve">8 prioritetas. Socialinės </w:t>
      </w:r>
      <w:proofErr w:type="spellStart"/>
      <w:r w:rsidRPr="006658F1">
        <w:rPr>
          <w:rFonts w:ascii="Times New Roman" w:hAnsi="Times New Roman" w:cs="Times New Roman"/>
        </w:rPr>
        <w:t>įtraukties</w:t>
      </w:r>
      <w:proofErr w:type="spellEnd"/>
      <w:r w:rsidRPr="006658F1">
        <w:rPr>
          <w:rFonts w:ascii="Times New Roman" w:hAnsi="Times New Roman" w:cs="Times New Roman"/>
        </w:rPr>
        <w:t xml:space="preserve"> didinimas ir kova su skurdu</w:t>
      </w:r>
      <w:bookmarkEnd w:id="26"/>
      <w:bookmarkEnd w:id="27"/>
      <w:bookmarkEnd w:id="28"/>
      <w:r w:rsidRPr="006658F1">
        <w:rPr>
          <w:rFonts w:ascii="Times New Roman" w:hAnsi="Times New Roman" w:cs="Times New Roman"/>
        </w:rPr>
        <w:t xml:space="preserve"> </w:t>
      </w:r>
    </w:p>
    <w:p w:rsidR="00B3224A" w:rsidRPr="006658F1" w:rsidRDefault="00B3224A" w:rsidP="00B3224A">
      <w:pPr>
        <w:jc w:val="both"/>
        <w:rPr>
          <w:color w:val="595959" w:themeColor="text1" w:themeTint="A6"/>
          <w:szCs w:val="24"/>
          <w:lang w:eastAsia="lt-LT"/>
        </w:rPr>
      </w:pPr>
      <w:bookmarkStart w:id="29" w:name="_Toc10104960"/>
    </w:p>
    <w:p w:rsidR="00411538" w:rsidRPr="006658F1" w:rsidRDefault="003265F8" w:rsidP="00B3224A">
      <w:pPr>
        <w:jc w:val="both"/>
        <w:rPr>
          <w:color w:val="595959" w:themeColor="text1" w:themeTint="A6"/>
          <w:szCs w:val="24"/>
          <w:lang w:eastAsia="lt-LT"/>
        </w:rPr>
      </w:pPr>
      <w:r>
        <w:rPr>
          <w:noProof/>
          <w:lang w:eastAsia="lt-LT"/>
        </w:rPr>
        <w:drawing>
          <wp:inline distT="0" distB="0" distL="0" distR="0" wp14:anchorId="016EA9BA" wp14:editId="0D71E5B1">
            <wp:extent cx="6120130" cy="1762143"/>
            <wp:effectExtent l="0" t="0" r="13970" b="9525"/>
            <wp:docPr id="33" name="Diagrama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11538" w:rsidRPr="006658F1" w:rsidRDefault="00411538" w:rsidP="00B3224A">
      <w:pPr>
        <w:jc w:val="both"/>
        <w:rPr>
          <w:color w:val="595959" w:themeColor="text1" w:themeTint="A6"/>
          <w:szCs w:val="24"/>
          <w:lang w:eastAsia="lt-LT"/>
        </w:rPr>
      </w:pPr>
    </w:p>
    <w:p w:rsidR="00836D95" w:rsidRPr="006658F1" w:rsidRDefault="00C65FE6" w:rsidP="002B4002">
      <w:pPr>
        <w:ind w:firstLine="426"/>
        <w:jc w:val="both"/>
        <w:rPr>
          <w:color w:val="595959" w:themeColor="text1" w:themeTint="A6"/>
          <w:szCs w:val="24"/>
          <w:lang w:eastAsia="lt-LT"/>
        </w:rPr>
      </w:pPr>
      <w:r w:rsidRPr="006658F1">
        <w:rPr>
          <w:color w:val="595959" w:themeColor="text1" w:themeTint="A6"/>
          <w:szCs w:val="24"/>
          <w:lang w:eastAsia="lt-LT"/>
        </w:rPr>
        <w:t>P</w:t>
      </w:r>
      <w:r w:rsidR="00836D95" w:rsidRPr="006658F1">
        <w:rPr>
          <w:color w:val="595959" w:themeColor="text1" w:themeTint="A6"/>
          <w:szCs w:val="24"/>
          <w:lang w:eastAsia="lt-LT"/>
        </w:rPr>
        <w:t xml:space="preserve">er 2021 m. II </w:t>
      </w:r>
      <w:proofErr w:type="spellStart"/>
      <w:r w:rsidR="00836D95" w:rsidRPr="006658F1">
        <w:rPr>
          <w:color w:val="595959" w:themeColor="text1" w:themeTint="A6"/>
          <w:szCs w:val="24"/>
          <w:lang w:eastAsia="lt-LT"/>
        </w:rPr>
        <w:t>ketv</w:t>
      </w:r>
      <w:proofErr w:type="spellEnd"/>
      <w:r w:rsidR="00836D95" w:rsidRPr="006658F1">
        <w:rPr>
          <w:color w:val="595959" w:themeColor="text1" w:themeTint="A6"/>
          <w:szCs w:val="24"/>
          <w:lang w:eastAsia="lt-LT"/>
        </w:rPr>
        <w:t xml:space="preserve">. </w:t>
      </w:r>
      <w:r w:rsidRPr="006658F1">
        <w:rPr>
          <w:color w:val="595959" w:themeColor="text1" w:themeTint="A6"/>
          <w:szCs w:val="24"/>
          <w:lang w:eastAsia="lt-LT"/>
        </w:rPr>
        <w:t>p</w:t>
      </w:r>
      <w:r w:rsidR="00836D95" w:rsidRPr="006658F1">
        <w:rPr>
          <w:color w:val="595959" w:themeColor="text1" w:themeTint="A6"/>
          <w:szCs w:val="24"/>
          <w:lang w:eastAsia="lt-LT"/>
        </w:rPr>
        <w:t xml:space="preserve">apildomai skyrus 1,7 mln. eurų ES lėšų 10-iai vietos veiklos bendruomenių rezerviniams projektams, skirtiems kovai su </w:t>
      </w:r>
      <w:proofErr w:type="spellStart"/>
      <w:r w:rsidR="00836D95" w:rsidRPr="006658F1">
        <w:rPr>
          <w:color w:val="595959" w:themeColor="text1" w:themeTint="A6"/>
          <w:szCs w:val="24"/>
          <w:lang w:eastAsia="lt-LT"/>
        </w:rPr>
        <w:t>C</w:t>
      </w:r>
      <w:r w:rsidR="006322CD" w:rsidRPr="006658F1">
        <w:rPr>
          <w:color w:val="595959" w:themeColor="text1" w:themeTint="A6"/>
          <w:szCs w:val="24"/>
          <w:lang w:eastAsia="lt-LT"/>
        </w:rPr>
        <w:t>ovid</w:t>
      </w:r>
      <w:r w:rsidR="00836D95" w:rsidRPr="006658F1">
        <w:rPr>
          <w:color w:val="595959" w:themeColor="text1" w:themeTint="A6"/>
          <w:szCs w:val="24"/>
          <w:lang w:eastAsia="lt-LT"/>
        </w:rPr>
        <w:t>-19</w:t>
      </w:r>
      <w:proofErr w:type="spellEnd"/>
      <w:r w:rsidR="00836D95" w:rsidRPr="006658F1">
        <w:rPr>
          <w:color w:val="595959" w:themeColor="text1" w:themeTint="A6"/>
          <w:szCs w:val="24"/>
          <w:lang w:eastAsia="lt-LT"/>
        </w:rPr>
        <w:t xml:space="preserve"> pandemijos pasekmėmis įgyvendinti, </w:t>
      </w:r>
      <w:r w:rsidR="003D1C41">
        <w:rPr>
          <w:color w:val="595959" w:themeColor="text1" w:themeTint="A6"/>
          <w:szCs w:val="24"/>
          <w:lang w:eastAsia="lt-LT"/>
        </w:rPr>
        <w:t xml:space="preserve">per III </w:t>
      </w:r>
      <w:proofErr w:type="spellStart"/>
      <w:r w:rsidR="003D1C41">
        <w:rPr>
          <w:color w:val="595959" w:themeColor="text1" w:themeTint="A6"/>
          <w:szCs w:val="24"/>
          <w:lang w:eastAsia="lt-LT"/>
        </w:rPr>
        <w:t>ketv</w:t>
      </w:r>
      <w:proofErr w:type="spellEnd"/>
      <w:r w:rsidR="003D1C41">
        <w:rPr>
          <w:color w:val="595959" w:themeColor="text1" w:themeTint="A6"/>
          <w:szCs w:val="24"/>
          <w:lang w:eastAsia="lt-LT"/>
        </w:rPr>
        <w:t>.</w:t>
      </w:r>
      <w:r w:rsidR="00836D95" w:rsidRPr="006658F1">
        <w:rPr>
          <w:color w:val="595959" w:themeColor="text1" w:themeTint="A6"/>
          <w:szCs w:val="24"/>
          <w:lang w:eastAsia="lt-LT"/>
        </w:rPr>
        <w:t xml:space="preserve"> </w:t>
      </w:r>
      <w:r w:rsidR="003D1C41">
        <w:rPr>
          <w:color w:val="595959" w:themeColor="text1" w:themeTint="A6"/>
          <w:szCs w:val="24"/>
          <w:lang w:eastAsia="lt-LT"/>
        </w:rPr>
        <w:t xml:space="preserve">baigtos </w:t>
      </w:r>
      <w:r w:rsidR="00836D95" w:rsidRPr="006658F1">
        <w:rPr>
          <w:color w:val="595959" w:themeColor="text1" w:themeTint="A6"/>
          <w:szCs w:val="24"/>
          <w:lang w:eastAsia="lt-LT"/>
        </w:rPr>
        <w:t>vertin</w:t>
      </w:r>
      <w:r w:rsidR="003D1C41">
        <w:rPr>
          <w:color w:val="595959" w:themeColor="text1" w:themeTint="A6"/>
          <w:szCs w:val="24"/>
          <w:lang w:eastAsia="lt-LT"/>
        </w:rPr>
        <w:t>ti visos</w:t>
      </w:r>
      <w:r w:rsidR="00836D95" w:rsidRPr="006658F1">
        <w:rPr>
          <w:color w:val="595959" w:themeColor="text1" w:themeTint="A6"/>
          <w:szCs w:val="24"/>
          <w:lang w:eastAsia="lt-LT"/>
        </w:rPr>
        <w:t xml:space="preserve"> paraiškos</w:t>
      </w:r>
      <w:r w:rsidR="003D1C41">
        <w:rPr>
          <w:color w:val="595959" w:themeColor="text1" w:themeTint="A6"/>
          <w:szCs w:val="24"/>
          <w:lang w:eastAsia="lt-LT"/>
        </w:rPr>
        <w:t xml:space="preserve"> bei pasirašytos</w:t>
      </w:r>
      <w:r w:rsidR="00836D95" w:rsidRPr="006658F1">
        <w:rPr>
          <w:color w:val="595959" w:themeColor="text1" w:themeTint="A6"/>
          <w:szCs w:val="24"/>
          <w:lang w:eastAsia="lt-LT"/>
        </w:rPr>
        <w:t xml:space="preserve"> finansavimo sutar</w:t>
      </w:r>
      <w:r w:rsidR="003D1C41">
        <w:rPr>
          <w:color w:val="595959" w:themeColor="text1" w:themeTint="A6"/>
          <w:szCs w:val="24"/>
          <w:lang w:eastAsia="lt-LT"/>
        </w:rPr>
        <w:t>tys</w:t>
      </w:r>
      <w:r w:rsidR="00836D95" w:rsidRPr="006658F1">
        <w:rPr>
          <w:color w:val="595959" w:themeColor="text1" w:themeTint="A6"/>
          <w:szCs w:val="24"/>
          <w:lang w:eastAsia="lt-LT"/>
        </w:rPr>
        <w:t xml:space="preserve">. </w:t>
      </w:r>
    </w:p>
    <w:p w:rsidR="00CC13E0" w:rsidRPr="006658F1" w:rsidRDefault="00836D95" w:rsidP="00C65FE6">
      <w:pPr>
        <w:ind w:firstLine="426"/>
        <w:jc w:val="both"/>
        <w:rPr>
          <w:color w:val="595959" w:themeColor="text1" w:themeTint="A6"/>
          <w:szCs w:val="24"/>
          <w:lang w:eastAsia="lt-LT"/>
        </w:rPr>
      </w:pPr>
      <w:r w:rsidRPr="006658F1">
        <w:rPr>
          <w:color w:val="595959" w:themeColor="text1" w:themeTint="A6"/>
          <w:szCs w:val="24"/>
          <w:lang w:eastAsia="lt-LT"/>
        </w:rPr>
        <w:t xml:space="preserve">Ekonomikos ir inovacijų ministerijos </w:t>
      </w:r>
      <w:r w:rsidR="007F3A20" w:rsidRPr="006658F1">
        <w:rPr>
          <w:color w:val="595959" w:themeColor="text1" w:themeTint="A6"/>
          <w:szCs w:val="24"/>
          <w:lang w:eastAsia="lt-LT"/>
        </w:rPr>
        <w:t xml:space="preserve">investicijos </w:t>
      </w:r>
      <w:r w:rsidR="007F3A20">
        <w:rPr>
          <w:color w:val="595959" w:themeColor="text1" w:themeTint="A6"/>
          <w:szCs w:val="24"/>
          <w:lang w:eastAsia="lt-LT"/>
        </w:rPr>
        <w:t>p</w:t>
      </w:r>
      <w:r w:rsidRPr="006658F1">
        <w:rPr>
          <w:color w:val="595959" w:themeColor="text1" w:themeTint="A6"/>
          <w:szCs w:val="24"/>
          <w:lang w:eastAsia="lt-LT"/>
        </w:rPr>
        <w:t>aram</w:t>
      </w:r>
      <w:r w:rsidR="007F3A20">
        <w:rPr>
          <w:color w:val="595959" w:themeColor="text1" w:themeTint="A6"/>
          <w:szCs w:val="24"/>
          <w:lang w:eastAsia="lt-LT"/>
        </w:rPr>
        <w:t>os</w:t>
      </w:r>
      <w:r w:rsidRPr="006658F1">
        <w:rPr>
          <w:color w:val="595959" w:themeColor="text1" w:themeTint="A6"/>
          <w:szCs w:val="24"/>
          <w:lang w:eastAsia="lt-LT"/>
        </w:rPr>
        <w:t xml:space="preserve"> socialiniam verslui</w:t>
      </w:r>
      <w:r w:rsidR="007F3A20">
        <w:rPr>
          <w:color w:val="595959" w:themeColor="text1" w:themeTint="A6"/>
          <w:szCs w:val="24"/>
          <w:lang w:eastAsia="lt-LT"/>
        </w:rPr>
        <w:t xml:space="preserve"> projektuose</w:t>
      </w:r>
      <w:r w:rsidRPr="006658F1">
        <w:rPr>
          <w:color w:val="595959" w:themeColor="text1" w:themeTint="A6"/>
          <w:szCs w:val="24"/>
          <w:lang w:eastAsia="lt-LT"/>
        </w:rPr>
        <w:t xml:space="preserve"> šiuo metu yra nedidelės</w:t>
      </w:r>
      <w:r w:rsidR="00C65FE6" w:rsidRPr="006658F1">
        <w:rPr>
          <w:color w:val="595959" w:themeColor="text1" w:themeTint="A6"/>
          <w:szCs w:val="24"/>
          <w:lang w:eastAsia="lt-LT"/>
        </w:rPr>
        <w:t xml:space="preserve"> (</w:t>
      </w:r>
      <w:r w:rsidR="00E933C0">
        <w:rPr>
          <w:color w:val="595959" w:themeColor="text1" w:themeTint="A6"/>
          <w:szCs w:val="24"/>
          <w:lang w:eastAsia="lt-LT"/>
        </w:rPr>
        <w:t>36</w:t>
      </w:r>
      <w:r w:rsidR="00C65FE6" w:rsidRPr="006658F1">
        <w:rPr>
          <w:color w:val="595959" w:themeColor="text1" w:themeTint="A6"/>
          <w:szCs w:val="24"/>
          <w:lang w:eastAsia="lt-LT"/>
        </w:rPr>
        <w:t xml:space="preserve"> proc.)</w:t>
      </w:r>
      <w:r w:rsidRPr="006658F1">
        <w:rPr>
          <w:color w:val="595959" w:themeColor="text1" w:themeTint="A6"/>
          <w:szCs w:val="24"/>
          <w:lang w:eastAsia="lt-LT"/>
        </w:rPr>
        <w:t xml:space="preserve">, </w:t>
      </w:r>
      <w:r w:rsidR="001602C6" w:rsidRPr="006658F1">
        <w:rPr>
          <w:color w:val="595959" w:themeColor="text1" w:themeTint="A6"/>
          <w:szCs w:val="24"/>
          <w:lang w:eastAsia="lt-LT"/>
        </w:rPr>
        <w:t>tačiau</w:t>
      </w:r>
      <w:r w:rsidRPr="006658F1">
        <w:rPr>
          <w:color w:val="595959" w:themeColor="text1" w:themeTint="A6"/>
          <w:szCs w:val="24"/>
          <w:lang w:eastAsia="lt-LT"/>
        </w:rPr>
        <w:t xml:space="preserve"> didžioji dalis socialinio verslo kūrimosi skatinimo renginių (kurių organizavimas buvo sulėtėjęs, nes dėl </w:t>
      </w:r>
      <w:proofErr w:type="spellStart"/>
      <w:r w:rsidRPr="006658F1">
        <w:rPr>
          <w:color w:val="595959" w:themeColor="text1" w:themeTint="A6"/>
          <w:szCs w:val="24"/>
          <w:lang w:eastAsia="lt-LT"/>
        </w:rPr>
        <w:t>Covid-19</w:t>
      </w:r>
      <w:proofErr w:type="spellEnd"/>
      <w:r w:rsidRPr="006658F1">
        <w:rPr>
          <w:color w:val="595959" w:themeColor="text1" w:themeTint="A6"/>
          <w:szCs w:val="24"/>
          <w:lang w:eastAsia="lt-LT"/>
        </w:rPr>
        <w:t xml:space="preserve"> jie buvo perorientuojami į nuotolinius renginius) jau yra įvykdyta, taip pat jau atrinkti potencialūs socialiniai verslai, kurių įkūrimui ir verslo pradžiai šiuo metu vertinamos </w:t>
      </w:r>
      <w:r w:rsidR="00E933C0">
        <w:rPr>
          <w:color w:val="595959" w:themeColor="text1" w:themeTint="A6"/>
          <w:szCs w:val="24"/>
          <w:lang w:eastAsia="lt-LT"/>
        </w:rPr>
        <w:t xml:space="preserve">ir teikiamos </w:t>
      </w:r>
      <w:r w:rsidRPr="006658F1">
        <w:rPr>
          <w:color w:val="595959" w:themeColor="text1" w:themeTint="A6"/>
          <w:szCs w:val="24"/>
          <w:lang w:eastAsia="lt-LT"/>
        </w:rPr>
        <w:t xml:space="preserve">reikalingos investicijos. </w:t>
      </w:r>
      <w:r w:rsidR="00E56B69">
        <w:rPr>
          <w:color w:val="595959" w:themeColor="text1" w:themeTint="A6"/>
          <w:szCs w:val="24"/>
          <w:lang w:eastAsia="lt-LT"/>
        </w:rPr>
        <w:t xml:space="preserve">Atsižvelgiant į tai, </w:t>
      </w:r>
      <w:r w:rsidRPr="006658F1">
        <w:rPr>
          <w:color w:val="595959" w:themeColor="text1" w:themeTint="A6"/>
          <w:szCs w:val="24"/>
          <w:lang w:eastAsia="lt-LT"/>
        </w:rPr>
        <w:t>priemonės įgyvendinimas spartė</w:t>
      </w:r>
      <w:r w:rsidR="00E933C0">
        <w:rPr>
          <w:color w:val="595959" w:themeColor="text1" w:themeTint="A6"/>
          <w:szCs w:val="24"/>
          <w:lang w:eastAsia="lt-LT"/>
        </w:rPr>
        <w:t>ja</w:t>
      </w:r>
      <w:r w:rsidR="00E56B69">
        <w:rPr>
          <w:color w:val="595959" w:themeColor="text1" w:themeTint="A6"/>
          <w:szCs w:val="24"/>
          <w:lang w:eastAsia="lt-LT"/>
        </w:rPr>
        <w:t xml:space="preserve">, todėl rekomendacijos </w:t>
      </w:r>
      <w:r w:rsidR="005754FE" w:rsidRPr="006658F1">
        <w:rPr>
          <w:color w:val="595959" w:themeColor="text1" w:themeTint="A6"/>
          <w:szCs w:val="24"/>
          <w:lang w:eastAsia="lt-LT"/>
        </w:rPr>
        <w:t>Ekonomikos ir inovacijų ministerij</w:t>
      </w:r>
      <w:r w:rsidR="005754FE">
        <w:rPr>
          <w:color w:val="595959" w:themeColor="text1" w:themeTint="A6"/>
          <w:szCs w:val="24"/>
          <w:lang w:eastAsia="lt-LT"/>
        </w:rPr>
        <w:t xml:space="preserve">ai </w:t>
      </w:r>
      <w:r w:rsidR="00E56B69">
        <w:rPr>
          <w:color w:val="595959" w:themeColor="text1" w:themeTint="A6"/>
          <w:szCs w:val="24"/>
          <w:lang w:eastAsia="lt-LT"/>
        </w:rPr>
        <w:t>n</w:t>
      </w:r>
      <w:r w:rsidR="00FA65C5">
        <w:rPr>
          <w:color w:val="595959" w:themeColor="text1" w:themeTint="A6"/>
          <w:szCs w:val="24"/>
          <w:lang w:eastAsia="lt-LT"/>
        </w:rPr>
        <w:t>ėra teikiamos</w:t>
      </w:r>
      <w:r w:rsidRPr="006658F1">
        <w:rPr>
          <w:color w:val="595959" w:themeColor="text1" w:themeTint="A6"/>
          <w:szCs w:val="24"/>
          <w:lang w:eastAsia="lt-LT"/>
        </w:rPr>
        <w:t>.</w:t>
      </w:r>
    </w:p>
    <w:p w:rsidR="000363C7" w:rsidRPr="006658F1" w:rsidRDefault="00C60C69" w:rsidP="000363C7">
      <w:pPr>
        <w:ind w:firstLine="426"/>
        <w:jc w:val="both"/>
        <w:rPr>
          <w:color w:val="595959" w:themeColor="text1" w:themeTint="A6"/>
          <w:szCs w:val="24"/>
          <w:lang w:eastAsia="lt-LT"/>
        </w:rPr>
      </w:pPr>
      <w:r>
        <w:rPr>
          <w:color w:val="595959" w:themeColor="text1" w:themeTint="A6"/>
          <w:szCs w:val="24"/>
          <w:lang w:eastAsia="lt-LT"/>
        </w:rPr>
        <w:t>P</w:t>
      </w:r>
      <w:r w:rsidR="000363C7" w:rsidRPr="006658F1">
        <w:rPr>
          <w:color w:val="595959" w:themeColor="text1" w:themeTint="A6"/>
          <w:szCs w:val="24"/>
          <w:lang w:eastAsia="lt-LT"/>
        </w:rPr>
        <w:t xml:space="preserve">asirašytos visos planuotos finansavimo sutartys (12 mln. eurų) </w:t>
      </w:r>
      <w:r w:rsidR="007F3A20">
        <w:rPr>
          <w:color w:val="595959" w:themeColor="text1" w:themeTint="A6"/>
          <w:szCs w:val="24"/>
          <w:lang w:eastAsia="lt-LT"/>
        </w:rPr>
        <w:t xml:space="preserve">dėl </w:t>
      </w:r>
      <w:r w:rsidR="000363C7" w:rsidRPr="006658F1">
        <w:rPr>
          <w:color w:val="595959" w:themeColor="text1" w:themeTint="A6"/>
          <w:szCs w:val="24"/>
          <w:lang w:eastAsia="lt-LT"/>
        </w:rPr>
        <w:t xml:space="preserve">Socialinės apsaugos ir darbo ministerijos </w:t>
      </w:r>
      <w:r w:rsidR="007F3A20">
        <w:rPr>
          <w:color w:val="595959" w:themeColor="text1" w:themeTint="A6"/>
          <w:szCs w:val="24"/>
          <w:lang w:eastAsia="lt-LT"/>
        </w:rPr>
        <w:t>p</w:t>
      </w:r>
      <w:r w:rsidR="000363C7" w:rsidRPr="006658F1">
        <w:rPr>
          <w:color w:val="595959" w:themeColor="text1" w:themeTint="A6"/>
          <w:szCs w:val="24"/>
          <w:lang w:eastAsia="lt-LT"/>
        </w:rPr>
        <w:t>asla</w:t>
      </w:r>
      <w:r w:rsidR="00910BCC" w:rsidRPr="006658F1">
        <w:rPr>
          <w:color w:val="595959" w:themeColor="text1" w:themeTint="A6"/>
          <w:szCs w:val="24"/>
          <w:lang w:eastAsia="lt-LT"/>
        </w:rPr>
        <w:t>ugų centr</w:t>
      </w:r>
      <w:r w:rsidR="007F3A20">
        <w:rPr>
          <w:color w:val="595959" w:themeColor="text1" w:themeTint="A6"/>
          <w:szCs w:val="24"/>
          <w:lang w:eastAsia="lt-LT"/>
        </w:rPr>
        <w:t>ų</w:t>
      </w:r>
      <w:r w:rsidR="00910BCC" w:rsidRPr="006658F1">
        <w:rPr>
          <w:color w:val="595959" w:themeColor="text1" w:themeTint="A6"/>
          <w:szCs w:val="24"/>
          <w:lang w:eastAsia="lt-LT"/>
        </w:rPr>
        <w:t xml:space="preserve"> vaikams</w:t>
      </w:r>
      <w:r w:rsidR="007F3A20">
        <w:rPr>
          <w:color w:val="595959" w:themeColor="text1" w:themeTint="A6"/>
          <w:szCs w:val="24"/>
          <w:lang w:eastAsia="lt-LT"/>
        </w:rPr>
        <w:t xml:space="preserve"> projektų</w:t>
      </w:r>
      <w:r w:rsidR="00A02725">
        <w:rPr>
          <w:color w:val="595959" w:themeColor="text1" w:themeTint="A6"/>
          <w:szCs w:val="24"/>
          <w:lang w:eastAsia="lt-LT"/>
        </w:rPr>
        <w:t xml:space="preserve">. </w:t>
      </w:r>
      <w:r w:rsidR="00910BCC" w:rsidRPr="006658F1">
        <w:rPr>
          <w:color w:val="595959" w:themeColor="text1" w:themeTint="A6"/>
          <w:szCs w:val="24"/>
          <w:lang w:eastAsia="lt-LT"/>
        </w:rPr>
        <w:t xml:space="preserve">Taip pat </w:t>
      </w:r>
      <w:r w:rsidR="000363C7" w:rsidRPr="006658F1">
        <w:rPr>
          <w:color w:val="595959" w:themeColor="text1" w:themeTint="A6"/>
          <w:szCs w:val="24"/>
          <w:lang w:eastAsia="lt-LT"/>
        </w:rPr>
        <w:t>2021 m. pasiraš</w:t>
      </w:r>
      <w:r w:rsidR="00482938">
        <w:rPr>
          <w:color w:val="595959" w:themeColor="text1" w:themeTint="A6"/>
          <w:szCs w:val="24"/>
          <w:lang w:eastAsia="lt-LT"/>
        </w:rPr>
        <w:t>ytos</w:t>
      </w:r>
      <w:r w:rsidR="000363C7" w:rsidRPr="006658F1">
        <w:rPr>
          <w:color w:val="595959" w:themeColor="text1" w:themeTint="A6"/>
          <w:szCs w:val="24"/>
          <w:lang w:eastAsia="lt-LT"/>
        </w:rPr>
        <w:t xml:space="preserve"> vis</w:t>
      </w:r>
      <w:r w:rsidR="00482938">
        <w:rPr>
          <w:color w:val="595959" w:themeColor="text1" w:themeTint="A6"/>
          <w:szCs w:val="24"/>
          <w:lang w:eastAsia="lt-LT"/>
        </w:rPr>
        <w:t>o</w:t>
      </w:r>
      <w:r w:rsidR="000363C7" w:rsidRPr="006658F1">
        <w:rPr>
          <w:color w:val="595959" w:themeColor="text1" w:themeTint="A6"/>
          <w:szCs w:val="24"/>
          <w:lang w:eastAsia="lt-LT"/>
        </w:rPr>
        <w:t>s likusi</w:t>
      </w:r>
      <w:r w:rsidR="00482938">
        <w:rPr>
          <w:color w:val="595959" w:themeColor="text1" w:themeTint="A6"/>
          <w:szCs w:val="24"/>
          <w:lang w:eastAsia="lt-LT"/>
        </w:rPr>
        <w:t>o</w:t>
      </w:r>
      <w:r w:rsidR="000363C7" w:rsidRPr="006658F1">
        <w:rPr>
          <w:color w:val="595959" w:themeColor="text1" w:themeTint="A6"/>
          <w:szCs w:val="24"/>
          <w:lang w:eastAsia="lt-LT"/>
        </w:rPr>
        <w:t>s neįgaliųjų institucinės globos pertvarkos pr</w:t>
      </w:r>
      <w:r w:rsidR="007F3A20">
        <w:rPr>
          <w:color w:val="595959" w:themeColor="text1" w:themeTint="A6"/>
          <w:szCs w:val="24"/>
          <w:lang w:eastAsia="lt-LT"/>
        </w:rPr>
        <w:t>ojektų</w:t>
      </w:r>
      <w:r w:rsidR="000363C7" w:rsidRPr="006658F1">
        <w:rPr>
          <w:color w:val="595959" w:themeColor="text1" w:themeTint="A6"/>
          <w:szCs w:val="24"/>
          <w:lang w:eastAsia="lt-LT"/>
        </w:rPr>
        <w:t xml:space="preserve"> sutart</w:t>
      </w:r>
      <w:r w:rsidR="00482938">
        <w:rPr>
          <w:color w:val="595959" w:themeColor="text1" w:themeTint="A6"/>
          <w:szCs w:val="24"/>
          <w:lang w:eastAsia="lt-LT"/>
        </w:rPr>
        <w:t>y</w:t>
      </w:r>
      <w:r w:rsidR="000363C7" w:rsidRPr="006658F1">
        <w:rPr>
          <w:color w:val="595959" w:themeColor="text1" w:themeTint="A6"/>
          <w:szCs w:val="24"/>
          <w:lang w:eastAsia="lt-LT"/>
        </w:rPr>
        <w:t>s (10,9 mln. eurų) investuojant į 6 regionuose esančių neįgaliųjų globos įstaigų pertvarką (plėtojama specializuota slauga</w:t>
      </w:r>
      <w:proofErr w:type="gramStart"/>
      <w:r w:rsidR="000363C7" w:rsidRPr="006658F1">
        <w:rPr>
          <w:color w:val="595959" w:themeColor="text1" w:themeTint="A6"/>
          <w:szCs w:val="24"/>
          <w:lang w:eastAsia="lt-LT"/>
        </w:rPr>
        <w:t>-</w:t>
      </w:r>
      <w:proofErr w:type="gramEnd"/>
      <w:r w:rsidR="000363C7" w:rsidRPr="006658F1">
        <w:rPr>
          <w:color w:val="595959" w:themeColor="text1" w:themeTint="A6"/>
          <w:szCs w:val="24"/>
          <w:lang w:eastAsia="lt-LT"/>
        </w:rPr>
        <w:t>socialinė globa, grupinio gyvenimo namai, savarankiško gyvenimo namai, apsaugotas būstas, taip pat infrastruktūra, reikalinga neįgalių asmenų dienos užimtumui užtikrinti)</w:t>
      </w:r>
      <w:r w:rsidR="00482938">
        <w:rPr>
          <w:color w:val="595959" w:themeColor="text1" w:themeTint="A6"/>
          <w:szCs w:val="24"/>
          <w:lang w:eastAsia="lt-LT"/>
        </w:rPr>
        <w:t>.</w:t>
      </w:r>
    </w:p>
    <w:p w:rsidR="00550B23" w:rsidRPr="006658F1" w:rsidRDefault="00550B23" w:rsidP="00550B23">
      <w:pPr>
        <w:ind w:firstLine="426"/>
        <w:jc w:val="both"/>
        <w:rPr>
          <w:color w:val="595959" w:themeColor="text1" w:themeTint="A6"/>
          <w:szCs w:val="24"/>
          <w:lang w:eastAsia="lt-LT"/>
        </w:rPr>
      </w:pPr>
      <w:r w:rsidRPr="006658F1">
        <w:rPr>
          <w:color w:val="595959" w:themeColor="text1" w:themeTint="A6"/>
          <w:szCs w:val="24"/>
          <w:lang w:eastAsia="lt-LT"/>
        </w:rPr>
        <w:t xml:space="preserve">Sveikatos apsaugos ministerija per II ketvirtį skyrė </w:t>
      </w:r>
      <w:r w:rsidR="00B432F1">
        <w:rPr>
          <w:color w:val="595959" w:themeColor="text1" w:themeTint="A6"/>
          <w:szCs w:val="24"/>
          <w:lang w:eastAsia="lt-LT"/>
        </w:rPr>
        <w:t>4</w:t>
      </w:r>
      <w:r w:rsidRPr="006658F1">
        <w:rPr>
          <w:color w:val="595959" w:themeColor="text1" w:themeTint="A6"/>
          <w:szCs w:val="24"/>
          <w:lang w:eastAsia="lt-LT"/>
        </w:rPr>
        <w:t>,</w:t>
      </w:r>
      <w:r w:rsidR="00B432F1">
        <w:rPr>
          <w:color w:val="595959" w:themeColor="text1" w:themeTint="A6"/>
          <w:szCs w:val="24"/>
          <w:lang w:eastAsia="lt-LT"/>
        </w:rPr>
        <w:t>6</w:t>
      </w:r>
      <w:r w:rsidRPr="006658F1">
        <w:rPr>
          <w:color w:val="595959" w:themeColor="text1" w:themeTint="A6"/>
          <w:szCs w:val="24"/>
          <w:lang w:eastAsia="lt-LT"/>
        </w:rPr>
        <w:t xml:space="preserve"> mln. eurų </w:t>
      </w:r>
      <w:r w:rsidR="00B432F1">
        <w:rPr>
          <w:color w:val="595959" w:themeColor="text1" w:themeTint="A6"/>
          <w:szCs w:val="24"/>
          <w:lang w:eastAsia="lt-LT"/>
        </w:rPr>
        <w:t xml:space="preserve">Vilniaus, Šiaulių ir Klaipėdos regionams kovai su </w:t>
      </w:r>
      <w:proofErr w:type="spellStart"/>
      <w:r w:rsidR="00B432F1">
        <w:rPr>
          <w:color w:val="595959" w:themeColor="text1" w:themeTint="A6"/>
          <w:szCs w:val="24"/>
          <w:lang w:eastAsia="lt-LT"/>
        </w:rPr>
        <w:t>C</w:t>
      </w:r>
      <w:r w:rsidR="00F0483D">
        <w:rPr>
          <w:color w:val="595959" w:themeColor="text1" w:themeTint="A6"/>
          <w:szCs w:val="24"/>
          <w:lang w:eastAsia="lt-LT"/>
        </w:rPr>
        <w:t>ovid-</w:t>
      </w:r>
      <w:r w:rsidR="00B432F1">
        <w:rPr>
          <w:color w:val="595959" w:themeColor="text1" w:themeTint="A6"/>
          <w:szCs w:val="24"/>
          <w:lang w:eastAsia="lt-LT"/>
        </w:rPr>
        <w:t>19</w:t>
      </w:r>
      <w:r w:rsidR="00F0483D">
        <w:rPr>
          <w:color w:val="595959" w:themeColor="text1" w:themeTint="A6"/>
          <w:szCs w:val="24"/>
          <w:lang w:eastAsia="lt-LT"/>
        </w:rPr>
        <w:t>.</w:t>
      </w:r>
      <w:proofErr w:type="spellEnd"/>
      <w:r w:rsidR="00F0483D">
        <w:rPr>
          <w:color w:val="595959" w:themeColor="text1" w:themeTint="A6"/>
          <w:szCs w:val="24"/>
          <w:lang w:eastAsia="lt-LT"/>
        </w:rPr>
        <w:t xml:space="preserve"> </w:t>
      </w:r>
      <w:r w:rsidRPr="006658F1">
        <w:rPr>
          <w:color w:val="595959" w:themeColor="text1" w:themeTint="A6"/>
          <w:szCs w:val="24"/>
          <w:lang w:eastAsia="lt-LT"/>
        </w:rPr>
        <w:t>Tęsiami darbai didinant atrankinės patikros dėl onkologinių ligų programų įgyvendinimo efektyvumą Rytų Lietuvos regione, per II ketvirtį šiai veiklai skirta 0,3 mln. eur</w:t>
      </w:r>
      <w:r w:rsidR="00910BCC" w:rsidRPr="006658F1">
        <w:rPr>
          <w:color w:val="595959" w:themeColor="text1" w:themeTint="A6"/>
          <w:szCs w:val="24"/>
          <w:lang w:eastAsia="lt-LT"/>
        </w:rPr>
        <w:t>ų</w:t>
      </w:r>
      <w:r w:rsidRPr="006658F1">
        <w:rPr>
          <w:color w:val="595959" w:themeColor="text1" w:themeTint="A6"/>
          <w:szCs w:val="24"/>
          <w:lang w:eastAsia="lt-LT"/>
        </w:rPr>
        <w:t>. Taip pat pradėtas įgyvendinti projektas leisiantis gerinti vaikams palankias, kokybiškas, prieinamas bei veiksmingas reabilitacijos ir vaikų raidos sutrikimų ankstyvosios reabilitacijos paslaugas Vaikų ligoninės, VUL Santaros klinikų filialo, Vaikų reabilitacijos skyriuje Druskininkų „Saulutėje". Šiam projektui skirta 1,3 mln. eur</w:t>
      </w:r>
      <w:r w:rsidR="00910BCC" w:rsidRPr="006658F1">
        <w:rPr>
          <w:color w:val="595959" w:themeColor="text1" w:themeTint="A6"/>
          <w:szCs w:val="24"/>
          <w:lang w:eastAsia="lt-LT"/>
        </w:rPr>
        <w:t>ų</w:t>
      </w:r>
      <w:r w:rsidRPr="006658F1">
        <w:rPr>
          <w:color w:val="595959" w:themeColor="text1" w:themeTint="A6"/>
          <w:szCs w:val="24"/>
          <w:lang w:eastAsia="lt-LT"/>
        </w:rPr>
        <w:t xml:space="preserve">. </w:t>
      </w:r>
      <w:proofErr w:type="spellStart"/>
      <w:r w:rsidRPr="006658F1">
        <w:rPr>
          <w:color w:val="595959" w:themeColor="text1" w:themeTint="A6"/>
          <w:szCs w:val="24"/>
          <w:lang w:eastAsia="lt-LT"/>
        </w:rPr>
        <w:t>React</w:t>
      </w:r>
      <w:proofErr w:type="gramStart"/>
      <w:r w:rsidRPr="006658F1">
        <w:rPr>
          <w:color w:val="595959" w:themeColor="text1" w:themeTint="A6"/>
          <w:szCs w:val="24"/>
          <w:lang w:eastAsia="lt-LT"/>
        </w:rPr>
        <w:t>-</w:t>
      </w:r>
      <w:proofErr w:type="gramEnd"/>
      <w:r w:rsidRPr="006658F1">
        <w:rPr>
          <w:color w:val="595959" w:themeColor="text1" w:themeTint="A6"/>
          <w:szCs w:val="24"/>
          <w:lang w:eastAsia="lt-LT"/>
        </w:rPr>
        <w:t>EU</w:t>
      </w:r>
      <w:proofErr w:type="spellEnd"/>
      <w:r w:rsidRPr="006658F1">
        <w:rPr>
          <w:color w:val="595959" w:themeColor="text1" w:themeTint="A6"/>
          <w:szCs w:val="24"/>
          <w:lang w:eastAsia="lt-LT"/>
        </w:rPr>
        <w:t xml:space="preserve"> lėšomis planuojamas naujas projektas už 4,1mln. eur</w:t>
      </w:r>
      <w:r w:rsidR="00910BCC" w:rsidRPr="006658F1">
        <w:rPr>
          <w:color w:val="595959" w:themeColor="text1" w:themeTint="A6"/>
          <w:szCs w:val="24"/>
          <w:lang w:eastAsia="lt-LT"/>
        </w:rPr>
        <w:t>ų</w:t>
      </w:r>
      <w:r w:rsidRPr="006658F1">
        <w:rPr>
          <w:color w:val="595959" w:themeColor="text1" w:themeTint="A6"/>
          <w:szCs w:val="24"/>
          <w:lang w:eastAsia="lt-LT"/>
        </w:rPr>
        <w:t xml:space="preserve"> </w:t>
      </w:r>
      <w:proofErr w:type="spellStart"/>
      <w:r w:rsidRPr="006658F1">
        <w:rPr>
          <w:color w:val="595959" w:themeColor="text1" w:themeTint="A6"/>
          <w:szCs w:val="24"/>
          <w:lang w:eastAsia="lt-LT"/>
        </w:rPr>
        <w:t>C</w:t>
      </w:r>
      <w:r w:rsidR="00910BCC" w:rsidRPr="006658F1">
        <w:rPr>
          <w:color w:val="595959" w:themeColor="text1" w:themeTint="A6"/>
          <w:szCs w:val="24"/>
          <w:lang w:eastAsia="lt-LT"/>
        </w:rPr>
        <w:t>ovid</w:t>
      </w:r>
      <w:r w:rsidRPr="006658F1">
        <w:rPr>
          <w:color w:val="595959" w:themeColor="text1" w:themeTint="A6"/>
          <w:szCs w:val="24"/>
          <w:lang w:eastAsia="lt-LT"/>
        </w:rPr>
        <w:t>-19</w:t>
      </w:r>
      <w:proofErr w:type="spellEnd"/>
      <w:r w:rsidRPr="006658F1">
        <w:rPr>
          <w:color w:val="595959" w:themeColor="text1" w:themeTint="A6"/>
          <w:szCs w:val="24"/>
          <w:lang w:eastAsia="lt-LT"/>
        </w:rPr>
        <w:t xml:space="preserve"> ligos diagnostikai gerinti PGR metodu.</w:t>
      </w:r>
    </w:p>
    <w:p w:rsidR="00836D95" w:rsidRPr="006658F1" w:rsidRDefault="00836D95" w:rsidP="00836D95">
      <w:pPr>
        <w:jc w:val="both"/>
        <w:rPr>
          <w:color w:val="595959" w:themeColor="text1" w:themeTint="A6"/>
          <w:szCs w:val="24"/>
          <w:lang w:eastAsia="lt-LT"/>
        </w:rPr>
      </w:pPr>
    </w:p>
    <w:p w:rsidR="000305AE" w:rsidRPr="006658F1" w:rsidRDefault="000305AE" w:rsidP="00882088">
      <w:pPr>
        <w:pStyle w:val="antrat3zz"/>
        <w:spacing w:before="0" w:after="0"/>
        <w:rPr>
          <w:rFonts w:ascii="Times New Roman" w:hAnsi="Times New Roman" w:cs="Times New Roman"/>
        </w:rPr>
      </w:pPr>
      <w:bookmarkStart w:id="30" w:name="_Toc86414518"/>
      <w:r w:rsidRPr="006658F1">
        <w:rPr>
          <w:rFonts w:ascii="Times New Roman" w:hAnsi="Times New Roman" w:cs="Times New Roman"/>
        </w:rPr>
        <w:t>9 prioritetas. Visuomenės švietimas ir žmogiškųjų išteklių potencialo didinimas</w:t>
      </w:r>
      <w:bookmarkEnd w:id="29"/>
      <w:bookmarkEnd w:id="30"/>
    </w:p>
    <w:p w:rsidR="008510B0" w:rsidRPr="006658F1" w:rsidRDefault="008510B0" w:rsidP="008510B0">
      <w:pPr>
        <w:pStyle w:val="tekstas"/>
        <w:ind w:firstLine="0"/>
        <w:rPr>
          <w:rFonts w:ascii="Times New Roman" w:hAnsi="Times New Roman"/>
          <w:color w:val="7F7F7F" w:themeColor="text1" w:themeTint="80"/>
          <w:lang w:eastAsia="lt-LT"/>
        </w:rPr>
      </w:pPr>
      <w:bookmarkStart w:id="31" w:name="_Toc10104961"/>
    </w:p>
    <w:p w:rsidR="00411538" w:rsidRPr="006658F1" w:rsidRDefault="003265F8" w:rsidP="008510B0">
      <w:pPr>
        <w:pStyle w:val="tekstas"/>
        <w:ind w:firstLine="0"/>
        <w:rPr>
          <w:rFonts w:ascii="Times New Roman" w:hAnsi="Times New Roman"/>
          <w:color w:val="7F7F7F" w:themeColor="text1" w:themeTint="80"/>
          <w:lang w:eastAsia="lt-LT"/>
        </w:rPr>
      </w:pPr>
      <w:r>
        <w:rPr>
          <w:noProof/>
          <w:lang w:eastAsia="lt-LT"/>
        </w:rPr>
        <w:lastRenderedPageBreak/>
        <w:drawing>
          <wp:inline distT="0" distB="0" distL="0" distR="0" wp14:anchorId="095C982A" wp14:editId="4046439F">
            <wp:extent cx="6120130" cy="1297291"/>
            <wp:effectExtent l="0" t="0" r="13970" b="1778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11538" w:rsidRPr="006658F1" w:rsidRDefault="00411538" w:rsidP="008510B0">
      <w:pPr>
        <w:pStyle w:val="tekstas"/>
        <w:ind w:firstLine="0"/>
        <w:rPr>
          <w:rFonts w:ascii="Times New Roman" w:hAnsi="Times New Roman"/>
          <w:color w:val="7F7F7F" w:themeColor="text1" w:themeTint="80"/>
          <w:lang w:eastAsia="lt-LT"/>
        </w:rPr>
      </w:pPr>
    </w:p>
    <w:p w:rsidR="001602C6" w:rsidRDefault="001602C6" w:rsidP="001602C6">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Ekonomikos ir inovacijų ministerijos 9 prioriteto priemonėse mažiausias investavimo lygis - „Žmogiškųjų išteklių stebėsenos, prognozavimo ir plėtros mechanizmai“ (</w:t>
      </w:r>
      <w:r w:rsidR="00C8496E" w:rsidRPr="006658F1">
        <w:rPr>
          <w:rFonts w:ascii="Times New Roman" w:hAnsi="Times New Roman"/>
          <w:color w:val="595959" w:themeColor="text1" w:themeTint="A6"/>
          <w:lang w:eastAsia="lt-LT"/>
        </w:rPr>
        <w:t>2</w:t>
      </w:r>
      <w:r w:rsidR="00C8496E">
        <w:rPr>
          <w:rFonts w:ascii="Times New Roman" w:hAnsi="Times New Roman"/>
          <w:color w:val="595959" w:themeColor="text1" w:themeTint="A6"/>
          <w:lang w:eastAsia="lt-LT"/>
        </w:rPr>
        <w:t>6</w:t>
      </w:r>
      <w:r w:rsidR="00C8496E"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proc.), „Kompetencijų vaučeris“ (</w:t>
      </w:r>
      <w:r w:rsidR="00C8496E">
        <w:rPr>
          <w:rFonts w:ascii="Times New Roman" w:hAnsi="Times New Roman"/>
          <w:color w:val="595959" w:themeColor="text1" w:themeTint="A6"/>
          <w:lang w:eastAsia="lt-LT"/>
        </w:rPr>
        <w:t>41</w:t>
      </w:r>
      <w:r w:rsidR="000920A3">
        <w:rPr>
          <w:rFonts w:ascii="Times New Roman" w:hAnsi="Times New Roman"/>
          <w:color w:val="595959" w:themeColor="text1" w:themeTint="A6"/>
          <w:lang w:eastAsia="lt-LT"/>
        </w:rPr>
        <w:t xml:space="preserve"> proc.),</w:t>
      </w:r>
      <w:r w:rsidRPr="006658F1">
        <w:rPr>
          <w:rFonts w:ascii="Times New Roman" w:hAnsi="Times New Roman"/>
          <w:color w:val="595959" w:themeColor="text1" w:themeTint="A6"/>
          <w:lang w:eastAsia="lt-LT"/>
        </w:rPr>
        <w:t xml:space="preserve"> „Kompetencijos LT“ (</w:t>
      </w:r>
      <w:r w:rsidR="00C8496E">
        <w:rPr>
          <w:rFonts w:ascii="Times New Roman" w:hAnsi="Times New Roman"/>
          <w:color w:val="595959" w:themeColor="text1" w:themeTint="A6"/>
          <w:lang w:eastAsia="lt-LT"/>
        </w:rPr>
        <w:t>43</w:t>
      </w:r>
      <w:r w:rsidRPr="006658F1">
        <w:rPr>
          <w:rFonts w:ascii="Times New Roman" w:hAnsi="Times New Roman"/>
          <w:color w:val="595959" w:themeColor="text1" w:themeTint="A6"/>
          <w:lang w:eastAsia="lt-LT"/>
        </w:rPr>
        <w:t xml:space="preserve"> proc.)</w:t>
      </w:r>
      <w:r w:rsidR="00A86AD7">
        <w:rPr>
          <w:rFonts w:ascii="Times New Roman" w:hAnsi="Times New Roman"/>
          <w:color w:val="595959" w:themeColor="text1" w:themeTint="A6"/>
          <w:lang w:eastAsia="lt-LT"/>
        </w:rPr>
        <w:t>, „Mokymai užsienio investuotojų darbuotojams“ (57 proc.)</w:t>
      </w:r>
      <w:r w:rsidR="0073353D">
        <w:rPr>
          <w:rFonts w:ascii="Times New Roman" w:hAnsi="Times New Roman"/>
          <w:color w:val="595959" w:themeColor="text1" w:themeTint="A6"/>
          <w:lang w:eastAsia="lt-LT"/>
        </w:rPr>
        <w:t xml:space="preserve"> priemonėse</w:t>
      </w:r>
      <w:r w:rsidRPr="006658F1">
        <w:rPr>
          <w:rFonts w:ascii="Times New Roman" w:hAnsi="Times New Roman"/>
          <w:color w:val="595959" w:themeColor="text1" w:themeTint="A6"/>
          <w:lang w:eastAsia="lt-LT"/>
        </w:rPr>
        <w:t>. Atsižvelgiant į tai, kad Žmogiškųjų išteklių stebėsenos, prog</w:t>
      </w:r>
      <w:r w:rsidR="000920A3">
        <w:rPr>
          <w:rFonts w:ascii="Times New Roman" w:hAnsi="Times New Roman"/>
          <w:color w:val="595959" w:themeColor="text1" w:themeTint="A6"/>
          <w:lang w:eastAsia="lt-LT"/>
        </w:rPr>
        <w:t>nozavimo ir plėtros mechanizmai</w:t>
      </w:r>
      <w:r w:rsidRPr="006658F1">
        <w:rPr>
          <w:rFonts w:ascii="Times New Roman" w:hAnsi="Times New Roman"/>
          <w:color w:val="595959" w:themeColor="text1" w:themeTint="A6"/>
          <w:lang w:eastAsia="lt-LT"/>
        </w:rPr>
        <w:t xml:space="preserve"> </w:t>
      </w:r>
      <w:r w:rsidR="000920A3" w:rsidRPr="006658F1">
        <w:rPr>
          <w:rFonts w:ascii="Times New Roman" w:hAnsi="Times New Roman"/>
          <w:color w:val="595959" w:themeColor="text1" w:themeTint="A6"/>
          <w:lang w:eastAsia="lt-LT"/>
        </w:rPr>
        <w:t xml:space="preserve">priemonės </w:t>
      </w:r>
      <w:r w:rsidRPr="006658F1">
        <w:rPr>
          <w:rFonts w:ascii="Times New Roman" w:hAnsi="Times New Roman"/>
          <w:color w:val="595959" w:themeColor="text1" w:themeTint="A6"/>
          <w:lang w:eastAsia="lt-LT"/>
        </w:rPr>
        <w:t xml:space="preserve">sutartys pasirašytos tik 2020 m. antroje pusėje, rekomendacijos dėl šios priemonės neteikiamos. </w:t>
      </w:r>
      <w:r w:rsidR="000920A3">
        <w:rPr>
          <w:rFonts w:ascii="Times New Roman" w:hAnsi="Times New Roman"/>
          <w:color w:val="595959" w:themeColor="text1" w:themeTint="A6"/>
          <w:lang w:eastAsia="lt-LT"/>
        </w:rPr>
        <w:t>Kompetencijų vaučerio, Kompetencijos LT ir Mokymų</w:t>
      </w:r>
      <w:r w:rsidR="00F37343">
        <w:rPr>
          <w:rFonts w:ascii="Times New Roman" w:hAnsi="Times New Roman"/>
          <w:color w:val="595959" w:themeColor="text1" w:themeTint="A6"/>
          <w:lang w:eastAsia="lt-LT"/>
        </w:rPr>
        <w:t xml:space="preserve"> užsienio investuotojų darbuotojams</w:t>
      </w:r>
      <w:r w:rsidR="000920A3">
        <w:rPr>
          <w:rFonts w:ascii="Times New Roman" w:hAnsi="Times New Roman"/>
          <w:color w:val="595959" w:themeColor="text1" w:themeTint="A6"/>
          <w:lang w:eastAsia="lt-LT"/>
        </w:rPr>
        <w:t xml:space="preserve"> priemonių</w:t>
      </w:r>
      <w:r w:rsidRPr="006658F1">
        <w:rPr>
          <w:rFonts w:ascii="Times New Roman" w:hAnsi="Times New Roman"/>
          <w:color w:val="595959" w:themeColor="text1" w:themeTint="A6"/>
          <w:lang w:eastAsia="lt-LT"/>
        </w:rPr>
        <w:t xml:space="preserve"> investicijų spartai įtakos turėjo dėl </w:t>
      </w:r>
      <w:proofErr w:type="spellStart"/>
      <w:r w:rsidRPr="006658F1">
        <w:rPr>
          <w:rFonts w:ascii="Times New Roman" w:hAnsi="Times New Roman"/>
          <w:color w:val="595959" w:themeColor="text1" w:themeTint="A6"/>
          <w:lang w:eastAsia="lt-LT"/>
        </w:rPr>
        <w:t>Covid-19</w:t>
      </w:r>
      <w:proofErr w:type="spellEnd"/>
      <w:r w:rsidRPr="006658F1">
        <w:rPr>
          <w:rFonts w:ascii="Times New Roman" w:hAnsi="Times New Roman"/>
          <w:color w:val="595959" w:themeColor="text1" w:themeTint="A6"/>
          <w:lang w:eastAsia="lt-LT"/>
        </w:rPr>
        <w:t xml:space="preserve"> sustojęs mokymų procesas. Susiduriama ne tik su veiklų vykdymo apribojimais, bet ir su įmonių resursų persiskirstymais – </w:t>
      </w:r>
      <w:r w:rsidR="0073353D">
        <w:rPr>
          <w:rFonts w:ascii="Times New Roman" w:hAnsi="Times New Roman"/>
          <w:color w:val="595959" w:themeColor="text1" w:themeTint="A6"/>
          <w:lang w:eastAsia="lt-LT"/>
        </w:rPr>
        <w:t>verslas</w:t>
      </w:r>
      <w:r w:rsidR="0073353D" w:rsidRPr="006658F1">
        <w:rPr>
          <w:rFonts w:ascii="Times New Roman" w:hAnsi="Times New Roman"/>
          <w:color w:val="595959" w:themeColor="text1" w:themeTint="A6"/>
          <w:lang w:eastAsia="lt-LT"/>
        </w:rPr>
        <w:t xml:space="preserve"> </w:t>
      </w:r>
      <w:r w:rsidRPr="006658F1">
        <w:rPr>
          <w:rFonts w:ascii="Times New Roman" w:hAnsi="Times New Roman"/>
          <w:color w:val="595959" w:themeColor="text1" w:themeTint="A6"/>
          <w:lang w:eastAsia="lt-LT"/>
        </w:rPr>
        <w:t xml:space="preserve">didesnį dėmesį skiria veiklos išsaugojimui, o ne darbuotojų mokymams. </w:t>
      </w:r>
      <w:r w:rsidR="00F37343">
        <w:rPr>
          <w:rFonts w:ascii="Times New Roman" w:hAnsi="Times New Roman"/>
          <w:color w:val="595959" w:themeColor="text1" w:themeTint="A6"/>
          <w:lang w:eastAsia="lt-LT"/>
        </w:rPr>
        <w:t xml:space="preserve">Pažymėtina ir tai, kad dalis </w:t>
      </w:r>
      <w:r w:rsidR="0073353D">
        <w:rPr>
          <w:rFonts w:ascii="Times New Roman" w:hAnsi="Times New Roman"/>
          <w:color w:val="595959" w:themeColor="text1" w:themeTint="A6"/>
          <w:lang w:eastAsia="lt-LT"/>
        </w:rPr>
        <w:t xml:space="preserve">mokymų įmonių darbuotojams </w:t>
      </w:r>
      <w:r w:rsidR="00F37343">
        <w:rPr>
          <w:rFonts w:ascii="Times New Roman" w:hAnsi="Times New Roman"/>
          <w:color w:val="595959" w:themeColor="text1" w:themeTint="A6"/>
          <w:lang w:eastAsia="lt-LT"/>
        </w:rPr>
        <w:t xml:space="preserve">priemonių projektų </w:t>
      </w:r>
      <w:r w:rsidR="00F07BBF">
        <w:rPr>
          <w:rFonts w:ascii="Times New Roman" w:hAnsi="Times New Roman"/>
          <w:color w:val="595959" w:themeColor="text1" w:themeTint="A6"/>
          <w:lang w:eastAsia="lt-LT"/>
        </w:rPr>
        <w:t>sutarčių</w:t>
      </w:r>
      <w:r w:rsidR="00F37343">
        <w:rPr>
          <w:rFonts w:ascii="Times New Roman" w:hAnsi="Times New Roman"/>
          <w:color w:val="595959" w:themeColor="text1" w:themeTint="A6"/>
          <w:lang w:eastAsia="lt-LT"/>
        </w:rPr>
        <w:t xml:space="preserve"> sudaryta dar 2017–2018 m. ir jų įgyvendinimas nėra pasibaigęs</w:t>
      </w:r>
      <w:r w:rsidR="00184D1D">
        <w:rPr>
          <w:rFonts w:ascii="Times New Roman" w:hAnsi="Times New Roman"/>
          <w:color w:val="595959" w:themeColor="text1" w:themeTint="A6"/>
          <w:lang w:eastAsia="lt-LT"/>
        </w:rPr>
        <w:t xml:space="preserve"> (kai </w:t>
      </w:r>
      <w:r w:rsidR="000E716D">
        <w:rPr>
          <w:rFonts w:ascii="Times New Roman" w:hAnsi="Times New Roman"/>
          <w:color w:val="595959" w:themeColor="text1" w:themeTint="A6"/>
          <w:lang w:eastAsia="lt-LT"/>
        </w:rPr>
        <w:t>k</w:t>
      </w:r>
      <w:r w:rsidR="00184D1D" w:rsidRPr="006658F1">
        <w:rPr>
          <w:rFonts w:ascii="Times New Roman" w:hAnsi="Times New Roman"/>
          <w:color w:val="595959" w:themeColor="text1" w:themeTint="A6"/>
          <w:lang w:eastAsia="lt-LT"/>
        </w:rPr>
        <w:t>ompetencijų vaučeri</w:t>
      </w:r>
      <w:r w:rsidR="0073353D">
        <w:rPr>
          <w:rFonts w:ascii="Times New Roman" w:hAnsi="Times New Roman"/>
          <w:color w:val="595959" w:themeColor="text1" w:themeTint="A6"/>
          <w:lang w:eastAsia="lt-LT"/>
        </w:rPr>
        <w:t xml:space="preserve">ų mokymams </w:t>
      </w:r>
      <w:r w:rsidR="00184D1D" w:rsidRPr="00DA4016">
        <w:rPr>
          <w:rFonts w:ascii="Times New Roman" w:hAnsi="Times New Roman"/>
        </w:rPr>
        <w:t xml:space="preserve">projektų įgyvendinimo trukmė turi būti ne ilgesnė kaip </w:t>
      </w:r>
      <w:r w:rsidR="00184D1D">
        <w:rPr>
          <w:rFonts w:ascii="Times New Roman" w:hAnsi="Times New Roman"/>
        </w:rPr>
        <w:t>20</w:t>
      </w:r>
      <w:r w:rsidR="00184D1D" w:rsidRPr="00DA4016">
        <w:rPr>
          <w:rFonts w:ascii="Times New Roman" w:hAnsi="Times New Roman"/>
        </w:rPr>
        <w:t> mėn</w:t>
      </w:r>
      <w:r w:rsidR="00F07BBF">
        <w:rPr>
          <w:rFonts w:ascii="Times New Roman" w:hAnsi="Times New Roman"/>
        </w:rPr>
        <w:t>.</w:t>
      </w:r>
      <w:r w:rsidR="00184D1D">
        <w:rPr>
          <w:rFonts w:ascii="Times New Roman" w:hAnsi="Times New Roman"/>
        </w:rPr>
        <w:t xml:space="preserve">, o kitų dviejų priemonių </w:t>
      </w:r>
      <w:r w:rsidR="00F07BBF">
        <w:rPr>
          <w:rFonts w:ascii="Times New Roman" w:hAnsi="Times New Roman"/>
        </w:rPr>
        <w:t xml:space="preserve">– 36 mėn. </w:t>
      </w:r>
      <w:r w:rsidR="00184D1D">
        <w:rPr>
          <w:rFonts w:ascii="Times New Roman" w:hAnsi="Times New Roman"/>
        </w:rPr>
        <w:t>su galimybe pagrįstais atvejais projektus pratęsti</w:t>
      </w:r>
      <w:r w:rsidR="00184D1D">
        <w:rPr>
          <w:rFonts w:ascii="Times New Roman" w:hAnsi="Times New Roman"/>
          <w:color w:val="595959" w:themeColor="text1" w:themeTint="A6"/>
          <w:lang w:eastAsia="lt-LT"/>
        </w:rPr>
        <w:t>)</w:t>
      </w:r>
      <w:r w:rsidR="00827740">
        <w:rPr>
          <w:rFonts w:ascii="Times New Roman" w:hAnsi="Times New Roman"/>
          <w:color w:val="595959" w:themeColor="text1" w:themeTint="A6"/>
          <w:lang w:eastAsia="lt-LT"/>
        </w:rPr>
        <w:t>.</w:t>
      </w:r>
    </w:p>
    <w:p w:rsidR="00827740" w:rsidRDefault="00827740" w:rsidP="001602C6">
      <w:pPr>
        <w:pStyle w:val="tekstas"/>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9254E8" w:rsidRPr="006658F1" w:rsidTr="009254E8">
        <w:tc>
          <w:tcPr>
            <w:tcW w:w="9638" w:type="dxa"/>
            <w:tcBorders>
              <w:top w:val="nil"/>
              <w:left w:val="nil"/>
              <w:bottom w:val="nil"/>
              <w:right w:val="nil"/>
            </w:tcBorders>
            <w:shd w:val="clear" w:color="auto" w:fill="D9D9D9" w:themeFill="background1" w:themeFillShade="D9"/>
          </w:tcPr>
          <w:p w:rsidR="009254E8" w:rsidRPr="006658F1" w:rsidRDefault="009254E8" w:rsidP="009254E8">
            <w:pPr>
              <w:jc w:val="both"/>
              <w:rPr>
                <w:b/>
                <w:color w:val="365F91" w:themeColor="accent1" w:themeShade="BF"/>
                <w:szCs w:val="24"/>
              </w:rPr>
            </w:pPr>
            <w:r>
              <w:rPr>
                <w:b/>
                <w:color w:val="365F91" w:themeColor="accent1" w:themeShade="BF"/>
                <w:szCs w:val="24"/>
              </w:rPr>
              <w:t>Siūlymai Ekonomikos ir inovacijų ministerijai</w:t>
            </w:r>
            <w:r w:rsidRPr="006658F1">
              <w:rPr>
                <w:b/>
                <w:color w:val="365F91" w:themeColor="accent1" w:themeShade="BF"/>
                <w:szCs w:val="24"/>
              </w:rPr>
              <w:t>:</w:t>
            </w:r>
          </w:p>
          <w:p w:rsidR="009254E8" w:rsidRPr="006658F1" w:rsidRDefault="003875BD" w:rsidP="002D3082">
            <w:pPr>
              <w:jc w:val="both"/>
              <w:rPr>
                <w:color w:val="365F91" w:themeColor="accent1" w:themeShade="BF"/>
                <w:szCs w:val="24"/>
              </w:rPr>
            </w:pPr>
            <w:r>
              <w:rPr>
                <w:color w:val="365F91" w:themeColor="accent1" w:themeShade="BF"/>
                <w:szCs w:val="24"/>
              </w:rPr>
              <w:t>-</w:t>
            </w:r>
            <w:r w:rsidR="00725A15" w:rsidRPr="000C1DD1">
              <w:rPr>
                <w:color w:val="365F91" w:themeColor="accent1" w:themeShade="BF"/>
                <w:szCs w:val="24"/>
              </w:rPr>
              <w:t xml:space="preserve"> </w:t>
            </w:r>
            <w:r w:rsidR="00450D50">
              <w:rPr>
                <w:color w:val="365F91" w:themeColor="accent1" w:themeShade="BF"/>
                <w:szCs w:val="24"/>
              </w:rPr>
              <w:t>kartu su ESFA</w:t>
            </w:r>
            <w:r w:rsidR="00577193">
              <w:rPr>
                <w:color w:val="365F91" w:themeColor="accent1" w:themeShade="BF"/>
                <w:szCs w:val="24"/>
              </w:rPr>
              <w:t xml:space="preserve"> ir</w:t>
            </w:r>
            <w:r w:rsidR="00450D50">
              <w:rPr>
                <w:color w:val="365F91" w:themeColor="accent1" w:themeShade="BF"/>
                <w:szCs w:val="24"/>
              </w:rPr>
              <w:t xml:space="preserve"> INVEGA</w:t>
            </w:r>
            <w:r w:rsidR="004B3E93">
              <w:rPr>
                <w:color w:val="365F91" w:themeColor="accent1" w:themeShade="BF"/>
                <w:szCs w:val="24"/>
              </w:rPr>
              <w:t xml:space="preserve"> įvertinti </w:t>
            </w:r>
            <w:r w:rsidR="00577193">
              <w:rPr>
                <w:color w:val="365F91" w:themeColor="accent1" w:themeShade="BF"/>
                <w:szCs w:val="24"/>
              </w:rPr>
              <w:t xml:space="preserve">9 </w:t>
            </w:r>
            <w:r w:rsidR="004B3E93">
              <w:rPr>
                <w:color w:val="365F91" w:themeColor="accent1" w:themeShade="BF"/>
                <w:szCs w:val="24"/>
              </w:rPr>
              <w:t xml:space="preserve">prioriteto </w:t>
            </w:r>
            <w:r w:rsidR="004B3E93" w:rsidRPr="000C1DD1">
              <w:rPr>
                <w:color w:val="365F91" w:themeColor="accent1" w:themeShade="BF"/>
                <w:szCs w:val="24"/>
              </w:rPr>
              <w:t>priemon</w:t>
            </w:r>
            <w:r w:rsidR="004B3E93">
              <w:rPr>
                <w:color w:val="365F91" w:themeColor="accent1" w:themeShade="BF"/>
                <w:szCs w:val="24"/>
              </w:rPr>
              <w:t>ių</w:t>
            </w:r>
            <w:r w:rsidR="00725A15">
              <w:rPr>
                <w:color w:val="365F91" w:themeColor="accent1" w:themeShade="BF"/>
                <w:szCs w:val="24"/>
              </w:rPr>
              <w:t xml:space="preserve"> </w:t>
            </w:r>
            <w:r w:rsidR="00725A15" w:rsidRPr="000C1DD1">
              <w:rPr>
                <w:color w:val="365F91" w:themeColor="accent1" w:themeShade="BF"/>
                <w:szCs w:val="24"/>
              </w:rPr>
              <w:t>įgyvendinamuose projektuose</w:t>
            </w:r>
            <w:r w:rsidR="00725A15">
              <w:rPr>
                <w:color w:val="365F91" w:themeColor="accent1" w:themeShade="BF"/>
                <w:szCs w:val="24"/>
              </w:rPr>
              <w:t xml:space="preserve"> </w:t>
            </w:r>
            <w:r>
              <w:rPr>
                <w:color w:val="365F91" w:themeColor="accent1" w:themeShade="BF"/>
                <w:szCs w:val="24"/>
              </w:rPr>
              <w:t>(</w:t>
            </w:r>
            <w:r w:rsidR="004B3E93">
              <w:rPr>
                <w:color w:val="365F91" w:themeColor="accent1" w:themeShade="BF"/>
                <w:szCs w:val="24"/>
              </w:rPr>
              <w:t>kurių faktiniai įgyvendinimo terminai viršija projektų finansavimo sąlygų aprašuose numatytus maksimalius terminus</w:t>
            </w:r>
            <w:r w:rsidR="00725A15" w:rsidRPr="00827740">
              <w:rPr>
                <w:color w:val="365F91" w:themeColor="accent1" w:themeShade="BF"/>
                <w:szCs w:val="24"/>
              </w:rPr>
              <w:t>)</w:t>
            </w:r>
            <w:r w:rsidR="00725A15" w:rsidRPr="000C1DD1">
              <w:rPr>
                <w:color w:val="365F91" w:themeColor="accent1" w:themeShade="BF"/>
                <w:szCs w:val="24"/>
              </w:rPr>
              <w:t xml:space="preserve"> galimą lėšų nepanaudojimą </w:t>
            </w:r>
            <w:r w:rsidR="00970880">
              <w:rPr>
                <w:color w:val="365F91" w:themeColor="accent1" w:themeShade="BF"/>
                <w:szCs w:val="24"/>
              </w:rPr>
              <w:t xml:space="preserve">ir </w:t>
            </w:r>
            <w:r w:rsidR="00577193">
              <w:rPr>
                <w:color w:val="365F91" w:themeColor="accent1" w:themeShade="BF"/>
                <w:szCs w:val="24"/>
              </w:rPr>
              <w:t>ap</w:t>
            </w:r>
            <w:r w:rsidR="00725A15" w:rsidRPr="000C1DD1">
              <w:rPr>
                <w:color w:val="365F91" w:themeColor="accent1" w:themeShade="BF"/>
                <w:szCs w:val="24"/>
              </w:rPr>
              <w:t xml:space="preserve">svarstyti </w:t>
            </w:r>
            <w:r w:rsidR="00450D50">
              <w:rPr>
                <w:color w:val="365F91" w:themeColor="accent1" w:themeShade="BF"/>
                <w:szCs w:val="24"/>
              </w:rPr>
              <w:t>investicijų spartinimo ir (arba) sutarčių nutraukimo</w:t>
            </w:r>
            <w:r w:rsidR="00117F39">
              <w:rPr>
                <w:color w:val="365F91" w:themeColor="accent1" w:themeShade="BF"/>
                <w:szCs w:val="24"/>
              </w:rPr>
              <w:t xml:space="preserve"> / baigimo esama apimtimi</w:t>
            </w:r>
            <w:r w:rsidR="00450D50">
              <w:rPr>
                <w:color w:val="365F91" w:themeColor="accent1" w:themeShade="BF"/>
                <w:szCs w:val="24"/>
              </w:rPr>
              <w:t xml:space="preserve"> bei sutaupytų lėšų </w:t>
            </w:r>
            <w:r>
              <w:rPr>
                <w:color w:val="365F91" w:themeColor="accent1" w:themeShade="BF"/>
                <w:szCs w:val="24"/>
              </w:rPr>
              <w:t>perskirsty</w:t>
            </w:r>
            <w:r w:rsidR="00450D50">
              <w:rPr>
                <w:color w:val="365F91" w:themeColor="accent1" w:themeShade="BF"/>
                <w:szCs w:val="24"/>
              </w:rPr>
              <w:t>mo</w:t>
            </w:r>
            <w:r w:rsidR="00577193" w:rsidRPr="000C1DD1">
              <w:rPr>
                <w:color w:val="365F91" w:themeColor="accent1" w:themeShade="BF"/>
                <w:szCs w:val="24"/>
              </w:rPr>
              <w:t xml:space="preserve"> galimybes</w:t>
            </w:r>
            <w:r w:rsidR="00577193">
              <w:rPr>
                <w:color w:val="365F91" w:themeColor="accent1" w:themeShade="BF"/>
                <w:szCs w:val="24"/>
              </w:rPr>
              <w:t xml:space="preserve"> ir</w:t>
            </w:r>
            <w:r w:rsidR="007112EC">
              <w:rPr>
                <w:color w:val="365F91" w:themeColor="accent1" w:themeShade="BF"/>
                <w:szCs w:val="24"/>
              </w:rPr>
              <w:t xml:space="preserve"> </w:t>
            </w:r>
            <w:r w:rsidR="00577193">
              <w:rPr>
                <w:color w:val="365F91" w:themeColor="accent1" w:themeShade="BF"/>
                <w:szCs w:val="24"/>
              </w:rPr>
              <w:t>apie priimtus</w:t>
            </w:r>
            <w:r w:rsidR="00F84D82" w:rsidRPr="006658F1">
              <w:rPr>
                <w:color w:val="365F91" w:themeColor="accent1" w:themeShade="BF"/>
                <w:szCs w:val="24"/>
              </w:rPr>
              <w:t xml:space="preserve"> iki 2021 m. </w:t>
            </w:r>
            <w:r w:rsidR="002D3082">
              <w:rPr>
                <w:color w:val="365F91" w:themeColor="accent1" w:themeShade="BF"/>
                <w:szCs w:val="24"/>
              </w:rPr>
              <w:t>gruodžio</w:t>
            </w:r>
            <w:r w:rsidR="00F84D82">
              <w:rPr>
                <w:color w:val="365F91" w:themeColor="accent1" w:themeShade="BF"/>
                <w:szCs w:val="24"/>
              </w:rPr>
              <w:t xml:space="preserve"> </w:t>
            </w:r>
            <w:r w:rsidR="002D3082">
              <w:rPr>
                <w:color w:val="365F91" w:themeColor="accent1" w:themeShade="BF"/>
                <w:szCs w:val="24"/>
              </w:rPr>
              <w:t>2</w:t>
            </w:r>
            <w:r w:rsidR="00F84D82">
              <w:rPr>
                <w:color w:val="365F91" w:themeColor="accent1" w:themeShade="BF"/>
                <w:szCs w:val="24"/>
              </w:rPr>
              <w:t>3</w:t>
            </w:r>
            <w:r w:rsidR="00F84D82" w:rsidRPr="006658F1">
              <w:rPr>
                <w:color w:val="365F91" w:themeColor="accent1" w:themeShade="BF"/>
                <w:szCs w:val="24"/>
              </w:rPr>
              <w:t xml:space="preserve"> d.</w:t>
            </w:r>
            <w:r w:rsidR="00F84D82">
              <w:rPr>
                <w:color w:val="365F91" w:themeColor="accent1" w:themeShade="BF"/>
                <w:szCs w:val="24"/>
              </w:rPr>
              <w:t xml:space="preserve"> </w:t>
            </w:r>
            <w:r w:rsidR="00577193">
              <w:rPr>
                <w:color w:val="365F91" w:themeColor="accent1" w:themeShade="BF"/>
                <w:szCs w:val="24"/>
              </w:rPr>
              <w:t>sprendimus</w:t>
            </w:r>
            <w:r w:rsidR="00577193" w:rsidDel="00577193">
              <w:rPr>
                <w:color w:val="365F91" w:themeColor="accent1" w:themeShade="BF"/>
                <w:szCs w:val="24"/>
              </w:rPr>
              <w:t xml:space="preserve"> </w:t>
            </w:r>
            <w:r w:rsidR="00577193">
              <w:rPr>
                <w:color w:val="365F91" w:themeColor="accent1" w:themeShade="BF"/>
                <w:szCs w:val="24"/>
              </w:rPr>
              <w:t xml:space="preserve">informuoti </w:t>
            </w:r>
            <w:r w:rsidR="007112EC">
              <w:rPr>
                <w:color w:val="365F91" w:themeColor="accent1" w:themeShade="BF"/>
                <w:szCs w:val="24"/>
              </w:rPr>
              <w:t>Finansų ministerij</w:t>
            </w:r>
            <w:r w:rsidR="00577193">
              <w:rPr>
                <w:color w:val="365F91" w:themeColor="accent1" w:themeShade="BF"/>
                <w:szCs w:val="24"/>
              </w:rPr>
              <w:t>ą</w:t>
            </w:r>
            <w:r w:rsidR="007112EC">
              <w:rPr>
                <w:color w:val="365F91" w:themeColor="accent1" w:themeShade="BF"/>
                <w:szCs w:val="24"/>
              </w:rPr>
              <w:t>.</w:t>
            </w:r>
          </w:p>
        </w:tc>
      </w:tr>
    </w:tbl>
    <w:p w:rsidR="009254E8" w:rsidRPr="006658F1" w:rsidRDefault="009254E8" w:rsidP="001602C6">
      <w:pPr>
        <w:pStyle w:val="tekstas"/>
        <w:rPr>
          <w:rFonts w:ascii="Times New Roman" w:hAnsi="Times New Roman"/>
          <w:color w:val="595959" w:themeColor="text1" w:themeTint="A6"/>
          <w:lang w:eastAsia="lt-LT"/>
        </w:rPr>
      </w:pPr>
    </w:p>
    <w:p w:rsidR="003776BD" w:rsidRDefault="001602C6" w:rsidP="004D77BD">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Lėšų investavimo augimą </w:t>
      </w:r>
      <w:r w:rsidR="002F622F" w:rsidRPr="006658F1">
        <w:rPr>
          <w:rFonts w:ascii="Times New Roman" w:hAnsi="Times New Roman"/>
          <w:color w:val="595959" w:themeColor="text1" w:themeTint="A6"/>
          <w:lang w:eastAsia="lt-LT"/>
        </w:rPr>
        <w:t xml:space="preserve">Švietimo, mokslo ir sporto ministerijos administruojamų priemonių </w:t>
      </w:r>
      <w:r w:rsidRPr="006658F1">
        <w:rPr>
          <w:rFonts w:ascii="Times New Roman" w:hAnsi="Times New Roman"/>
          <w:color w:val="595959" w:themeColor="text1" w:themeTint="A6"/>
          <w:lang w:eastAsia="lt-LT"/>
        </w:rPr>
        <w:t xml:space="preserve">projektuose daugiausia stabdo užtrukę rangos </w:t>
      </w:r>
      <w:r w:rsidR="00577193" w:rsidRPr="006658F1">
        <w:rPr>
          <w:rFonts w:ascii="Times New Roman" w:hAnsi="Times New Roman"/>
          <w:color w:val="595959" w:themeColor="text1" w:themeTint="A6"/>
          <w:lang w:eastAsia="lt-LT"/>
        </w:rPr>
        <w:t xml:space="preserve">darbų </w:t>
      </w:r>
      <w:r w:rsidRPr="006658F1">
        <w:rPr>
          <w:rFonts w:ascii="Times New Roman" w:hAnsi="Times New Roman"/>
          <w:color w:val="595959" w:themeColor="text1" w:themeTint="A6"/>
          <w:lang w:eastAsia="lt-LT"/>
        </w:rPr>
        <w:t>sutarčių pasirašymo procesai. Dar nepradėtas įgyvendinti 3,99 mln. eur</w:t>
      </w:r>
      <w:r w:rsidR="002F622F" w:rsidRPr="006658F1">
        <w:rPr>
          <w:rFonts w:ascii="Times New Roman" w:hAnsi="Times New Roman"/>
          <w:color w:val="595959" w:themeColor="text1" w:themeTint="A6"/>
          <w:lang w:eastAsia="lt-LT"/>
        </w:rPr>
        <w:t>ų</w:t>
      </w:r>
      <w:r w:rsidRPr="006658F1">
        <w:rPr>
          <w:rFonts w:ascii="Times New Roman" w:hAnsi="Times New Roman"/>
          <w:color w:val="595959" w:themeColor="text1" w:themeTint="A6"/>
          <w:lang w:eastAsia="lt-LT"/>
        </w:rPr>
        <w:t xml:space="preserve"> vertės projektas „Vilniaus universiteto studijų procesui reikalingos infrastruktūros modernizavimas ir plėtra“, kurio finansavimo sutartis pasirašyta 2020 m. balandžio 9 d. </w:t>
      </w:r>
      <w:r w:rsidR="004D77BD">
        <w:rPr>
          <w:rFonts w:ascii="Times New Roman" w:hAnsi="Times New Roman"/>
          <w:color w:val="595959" w:themeColor="text1" w:themeTint="A6"/>
          <w:lang w:eastAsia="lt-LT"/>
        </w:rPr>
        <w:t xml:space="preserve">Švietimo, mokslo ir sporto ministerija pritarė </w:t>
      </w:r>
      <w:r w:rsidR="0052105D">
        <w:rPr>
          <w:rFonts w:ascii="Times New Roman" w:hAnsi="Times New Roman"/>
          <w:color w:val="595959" w:themeColor="text1" w:themeTint="A6"/>
          <w:lang w:eastAsia="lt-LT"/>
        </w:rPr>
        <w:t>p</w:t>
      </w:r>
      <w:r w:rsidR="004D77BD">
        <w:rPr>
          <w:rFonts w:ascii="Times New Roman" w:hAnsi="Times New Roman"/>
          <w:color w:val="595959" w:themeColor="text1" w:themeTint="A6"/>
          <w:lang w:eastAsia="lt-LT"/>
        </w:rPr>
        <w:t>rojekto vykdytojo pasiūly</w:t>
      </w:r>
      <w:r w:rsidR="004016C3">
        <w:rPr>
          <w:rFonts w:ascii="Times New Roman" w:hAnsi="Times New Roman"/>
          <w:color w:val="595959" w:themeColor="text1" w:themeTint="A6"/>
          <w:lang w:eastAsia="lt-LT"/>
        </w:rPr>
        <w:t xml:space="preserve">mui atsisakyti pedagogų rengimo centro infrastruktūros sukūrimo veiklos, kurią </w:t>
      </w:r>
      <w:r w:rsidR="004016C3" w:rsidRPr="004D77BD">
        <w:rPr>
          <w:rFonts w:ascii="Times New Roman" w:hAnsi="Times New Roman"/>
          <w:color w:val="595959" w:themeColor="text1" w:themeTint="A6"/>
          <w:lang w:eastAsia="lt-LT"/>
        </w:rPr>
        <w:t>V</w:t>
      </w:r>
      <w:r w:rsidR="004016C3">
        <w:rPr>
          <w:rFonts w:ascii="Times New Roman" w:hAnsi="Times New Roman"/>
          <w:color w:val="595959" w:themeColor="text1" w:themeTint="A6"/>
          <w:lang w:eastAsia="lt-LT"/>
        </w:rPr>
        <w:t xml:space="preserve">ilniaus universitetas </w:t>
      </w:r>
      <w:proofErr w:type="gramStart"/>
      <w:r w:rsidR="004016C3">
        <w:rPr>
          <w:rFonts w:ascii="Times New Roman" w:hAnsi="Times New Roman"/>
          <w:color w:val="595959" w:themeColor="text1" w:themeTint="A6"/>
          <w:lang w:eastAsia="lt-LT"/>
        </w:rPr>
        <w:t>(</w:t>
      </w:r>
      <w:proofErr w:type="gramEnd"/>
      <w:r w:rsidR="004016C3">
        <w:rPr>
          <w:rFonts w:ascii="Times New Roman" w:hAnsi="Times New Roman"/>
          <w:color w:val="595959" w:themeColor="text1" w:themeTint="A6"/>
          <w:lang w:eastAsia="lt-LT"/>
        </w:rPr>
        <w:t>toliau –VU) įsipareigojo įgyvendinti nuosavomis lėšomis</w:t>
      </w:r>
      <w:r w:rsidR="00E20DA3">
        <w:rPr>
          <w:rFonts w:ascii="Times New Roman" w:hAnsi="Times New Roman"/>
          <w:color w:val="595959" w:themeColor="text1" w:themeTint="A6"/>
          <w:lang w:eastAsia="lt-LT"/>
        </w:rPr>
        <w:t xml:space="preserve"> (2,4 mln. </w:t>
      </w:r>
      <w:r w:rsidR="005E45A5">
        <w:rPr>
          <w:rFonts w:ascii="Times New Roman" w:hAnsi="Times New Roman"/>
          <w:color w:val="595959" w:themeColor="text1" w:themeTint="A6"/>
          <w:lang w:eastAsia="lt-LT"/>
        </w:rPr>
        <w:t>e</w:t>
      </w:r>
      <w:r w:rsidR="00E20DA3">
        <w:rPr>
          <w:rFonts w:ascii="Times New Roman" w:hAnsi="Times New Roman"/>
          <w:color w:val="595959" w:themeColor="text1" w:themeTint="A6"/>
          <w:lang w:eastAsia="lt-LT"/>
        </w:rPr>
        <w:t>ur</w:t>
      </w:r>
      <w:r w:rsidR="005E45A5">
        <w:rPr>
          <w:rFonts w:ascii="Times New Roman" w:hAnsi="Times New Roman"/>
          <w:color w:val="595959" w:themeColor="text1" w:themeTint="A6"/>
          <w:lang w:eastAsia="lt-LT"/>
        </w:rPr>
        <w:t>ų</w:t>
      </w:r>
      <w:r w:rsidR="00E20DA3">
        <w:rPr>
          <w:rFonts w:ascii="Times New Roman" w:hAnsi="Times New Roman"/>
          <w:color w:val="595959" w:themeColor="text1" w:themeTint="A6"/>
          <w:lang w:eastAsia="lt-LT"/>
        </w:rPr>
        <w:t>)</w:t>
      </w:r>
      <w:r w:rsidR="004D77BD">
        <w:rPr>
          <w:rFonts w:ascii="Times New Roman" w:hAnsi="Times New Roman"/>
          <w:color w:val="595959" w:themeColor="text1" w:themeTint="A6"/>
          <w:lang w:eastAsia="lt-LT"/>
        </w:rPr>
        <w:t xml:space="preserve"> </w:t>
      </w:r>
      <w:r w:rsidR="004016C3">
        <w:rPr>
          <w:rFonts w:ascii="Times New Roman" w:hAnsi="Times New Roman"/>
          <w:color w:val="595959" w:themeColor="text1" w:themeTint="A6"/>
          <w:lang w:eastAsia="lt-LT"/>
        </w:rPr>
        <w:t xml:space="preserve">ir įtraukti </w:t>
      </w:r>
      <w:r w:rsidR="004D77BD">
        <w:rPr>
          <w:rFonts w:ascii="Times New Roman" w:hAnsi="Times New Roman"/>
          <w:color w:val="595959" w:themeColor="text1" w:themeTint="A6"/>
          <w:lang w:eastAsia="lt-LT"/>
        </w:rPr>
        <w:t>nauj</w:t>
      </w:r>
      <w:r w:rsidR="004016C3">
        <w:rPr>
          <w:rFonts w:ascii="Times New Roman" w:hAnsi="Times New Roman"/>
          <w:color w:val="595959" w:themeColor="text1" w:themeTint="A6"/>
          <w:lang w:eastAsia="lt-LT"/>
        </w:rPr>
        <w:t>ą</w:t>
      </w:r>
      <w:r w:rsidR="004D77BD">
        <w:rPr>
          <w:rFonts w:ascii="Times New Roman" w:hAnsi="Times New Roman"/>
          <w:color w:val="595959" w:themeColor="text1" w:themeTint="A6"/>
          <w:lang w:eastAsia="lt-LT"/>
        </w:rPr>
        <w:t xml:space="preserve"> veikl</w:t>
      </w:r>
      <w:r w:rsidR="004016C3">
        <w:rPr>
          <w:rFonts w:ascii="Times New Roman" w:hAnsi="Times New Roman"/>
          <w:color w:val="595959" w:themeColor="text1" w:themeTint="A6"/>
          <w:lang w:eastAsia="lt-LT"/>
        </w:rPr>
        <w:t>ą</w:t>
      </w:r>
      <w:r w:rsidR="0052105D">
        <w:rPr>
          <w:rFonts w:ascii="Times New Roman" w:hAnsi="Times New Roman"/>
          <w:color w:val="595959" w:themeColor="text1" w:themeTint="A6"/>
          <w:lang w:eastAsia="lt-LT"/>
        </w:rPr>
        <w:t xml:space="preserve">, skirtą </w:t>
      </w:r>
      <w:r w:rsidR="004D77BD">
        <w:rPr>
          <w:rFonts w:ascii="Times New Roman" w:hAnsi="Times New Roman"/>
          <w:color w:val="595959" w:themeColor="text1" w:themeTint="A6"/>
          <w:lang w:eastAsia="lt-LT"/>
        </w:rPr>
        <w:t xml:space="preserve"> </w:t>
      </w:r>
      <w:r w:rsidR="0052105D">
        <w:rPr>
          <w:rFonts w:ascii="Times New Roman" w:hAnsi="Times New Roman"/>
          <w:color w:val="595959" w:themeColor="text1" w:themeTint="A6"/>
          <w:lang w:eastAsia="lt-LT"/>
        </w:rPr>
        <w:t>m</w:t>
      </w:r>
      <w:r w:rsidR="004D77BD" w:rsidRPr="004D77BD">
        <w:rPr>
          <w:rFonts w:ascii="Times New Roman" w:hAnsi="Times New Roman"/>
          <w:color w:val="595959" w:themeColor="text1" w:themeTint="A6"/>
          <w:lang w:eastAsia="lt-LT"/>
        </w:rPr>
        <w:t>edicinos studijų bazės sukūrim</w:t>
      </w:r>
      <w:r w:rsidR="0052105D">
        <w:rPr>
          <w:rFonts w:ascii="Times New Roman" w:hAnsi="Times New Roman"/>
          <w:color w:val="595959" w:themeColor="text1" w:themeTint="A6"/>
          <w:lang w:eastAsia="lt-LT"/>
        </w:rPr>
        <w:t>ui</w:t>
      </w:r>
      <w:r w:rsidR="006216E2">
        <w:rPr>
          <w:rFonts w:ascii="Times New Roman" w:hAnsi="Times New Roman"/>
          <w:color w:val="595959" w:themeColor="text1" w:themeTint="A6"/>
          <w:lang w:eastAsia="lt-LT"/>
        </w:rPr>
        <w:t>,</w:t>
      </w:r>
      <w:r w:rsidR="004D77BD" w:rsidRPr="004D77BD">
        <w:rPr>
          <w:rFonts w:ascii="Times New Roman" w:hAnsi="Times New Roman"/>
          <w:color w:val="595959" w:themeColor="text1" w:themeTint="A6"/>
          <w:lang w:eastAsia="lt-LT"/>
        </w:rPr>
        <w:t xml:space="preserve"> šiai veiklai skiri</w:t>
      </w:r>
      <w:r w:rsidR="006216E2">
        <w:rPr>
          <w:rFonts w:ascii="Times New Roman" w:hAnsi="Times New Roman"/>
          <w:color w:val="595959" w:themeColor="text1" w:themeTint="A6"/>
          <w:lang w:eastAsia="lt-LT"/>
        </w:rPr>
        <w:t>ant</w:t>
      </w:r>
      <w:r w:rsidR="004D77BD" w:rsidRPr="004D77BD">
        <w:rPr>
          <w:rFonts w:ascii="Times New Roman" w:hAnsi="Times New Roman"/>
          <w:color w:val="595959" w:themeColor="text1" w:themeTint="A6"/>
          <w:lang w:eastAsia="lt-LT"/>
        </w:rPr>
        <w:t xml:space="preserve"> 2</w:t>
      </w:r>
      <w:r w:rsidR="004016C3">
        <w:rPr>
          <w:rFonts w:ascii="Times New Roman" w:hAnsi="Times New Roman"/>
          <w:color w:val="595959" w:themeColor="text1" w:themeTint="A6"/>
          <w:lang w:eastAsia="lt-LT"/>
        </w:rPr>
        <w:t>,4</w:t>
      </w:r>
      <w:r w:rsidR="004D77BD" w:rsidRPr="004D77BD">
        <w:rPr>
          <w:rFonts w:ascii="Times New Roman" w:hAnsi="Times New Roman"/>
          <w:color w:val="595959" w:themeColor="text1" w:themeTint="A6"/>
          <w:lang w:eastAsia="lt-LT"/>
        </w:rPr>
        <w:t xml:space="preserve"> </w:t>
      </w:r>
      <w:r w:rsidR="004016C3">
        <w:rPr>
          <w:rFonts w:ascii="Times New Roman" w:hAnsi="Times New Roman"/>
          <w:color w:val="595959" w:themeColor="text1" w:themeTint="A6"/>
          <w:lang w:eastAsia="lt-LT"/>
        </w:rPr>
        <w:t xml:space="preserve">mln. </w:t>
      </w:r>
      <w:r w:rsidR="005E45A5">
        <w:rPr>
          <w:rFonts w:ascii="Times New Roman" w:hAnsi="Times New Roman"/>
          <w:color w:val="595959" w:themeColor="text1" w:themeTint="A6"/>
          <w:lang w:eastAsia="lt-LT"/>
        </w:rPr>
        <w:t>eurų</w:t>
      </w:r>
      <w:r w:rsidR="004D77BD">
        <w:rPr>
          <w:rFonts w:ascii="Times New Roman" w:hAnsi="Times New Roman"/>
          <w:color w:val="595959" w:themeColor="text1" w:themeTint="A6"/>
          <w:lang w:eastAsia="lt-LT"/>
        </w:rPr>
        <w:t>.</w:t>
      </w:r>
      <w:r w:rsidR="004D77BD" w:rsidRPr="004D77BD">
        <w:rPr>
          <w:rFonts w:ascii="Times New Roman" w:hAnsi="Times New Roman"/>
          <w:color w:val="595959" w:themeColor="text1" w:themeTint="A6"/>
          <w:lang w:eastAsia="lt-LT"/>
        </w:rPr>
        <w:t xml:space="preserve"> projekto lėšų.</w:t>
      </w:r>
      <w:r w:rsidR="004D77BD">
        <w:rPr>
          <w:rFonts w:ascii="Times New Roman" w:hAnsi="Times New Roman"/>
          <w:color w:val="595959" w:themeColor="text1" w:themeTint="A6"/>
          <w:lang w:eastAsia="lt-LT"/>
        </w:rPr>
        <w:t xml:space="preserve"> </w:t>
      </w:r>
      <w:r w:rsidR="004D77BD" w:rsidRPr="004D77BD">
        <w:rPr>
          <w:rFonts w:ascii="Times New Roman" w:hAnsi="Times New Roman"/>
          <w:color w:val="595959" w:themeColor="text1" w:themeTint="A6"/>
          <w:lang w:eastAsia="lt-LT"/>
        </w:rPr>
        <w:t xml:space="preserve">Naujai sukurtose patalpose bus įgyvendinamos </w:t>
      </w:r>
      <w:r w:rsidR="0052105D">
        <w:rPr>
          <w:rFonts w:ascii="Times New Roman" w:hAnsi="Times New Roman"/>
          <w:color w:val="595959" w:themeColor="text1" w:themeTint="A6"/>
          <w:lang w:eastAsia="lt-LT"/>
        </w:rPr>
        <w:t>m</w:t>
      </w:r>
      <w:r w:rsidR="004D77BD" w:rsidRPr="004D77BD">
        <w:rPr>
          <w:rFonts w:ascii="Times New Roman" w:hAnsi="Times New Roman"/>
          <w:color w:val="595959" w:themeColor="text1" w:themeTint="A6"/>
          <w:lang w:eastAsia="lt-LT"/>
        </w:rPr>
        <w:t xml:space="preserve">edicinos srities studijų programos. </w:t>
      </w:r>
      <w:r w:rsidR="003776BD">
        <w:rPr>
          <w:rFonts w:ascii="Times New Roman" w:hAnsi="Times New Roman"/>
          <w:color w:val="595959" w:themeColor="text1" w:themeTint="A6"/>
          <w:lang w:eastAsia="lt-LT"/>
        </w:rPr>
        <w:t xml:space="preserve">VU </w:t>
      </w:r>
      <w:r w:rsidR="006216E2">
        <w:rPr>
          <w:rFonts w:ascii="Times New Roman" w:hAnsi="Times New Roman"/>
          <w:color w:val="595959" w:themeColor="text1" w:themeTint="A6"/>
          <w:lang w:eastAsia="lt-LT"/>
        </w:rPr>
        <w:t>pateikė</w:t>
      </w:r>
      <w:r w:rsidR="004D77BD" w:rsidRPr="004D77BD">
        <w:rPr>
          <w:rFonts w:ascii="Times New Roman" w:hAnsi="Times New Roman"/>
          <w:color w:val="595959" w:themeColor="text1" w:themeTint="A6"/>
          <w:lang w:eastAsia="lt-LT"/>
        </w:rPr>
        <w:t xml:space="preserve"> projekto planuojam</w:t>
      </w:r>
      <w:r w:rsidR="004016C3">
        <w:rPr>
          <w:rFonts w:ascii="Times New Roman" w:hAnsi="Times New Roman"/>
          <w:color w:val="595959" w:themeColor="text1" w:themeTint="A6"/>
          <w:lang w:eastAsia="lt-LT"/>
        </w:rPr>
        <w:t>ų</w:t>
      </w:r>
      <w:r w:rsidR="004D77BD" w:rsidRPr="004D77BD">
        <w:rPr>
          <w:rFonts w:ascii="Times New Roman" w:hAnsi="Times New Roman"/>
          <w:color w:val="595959" w:themeColor="text1" w:themeTint="A6"/>
          <w:lang w:eastAsia="lt-LT"/>
        </w:rPr>
        <w:t xml:space="preserve"> veiklų įgyvendinimo grafiką ir rizikų valdymo planą, pagal kurį visi projekto sutartyje nustatyti stebėsenos rodikliai bus pasiekti</w:t>
      </w:r>
      <w:r w:rsidR="004016C3">
        <w:rPr>
          <w:rFonts w:ascii="Times New Roman" w:hAnsi="Times New Roman"/>
          <w:color w:val="595959" w:themeColor="text1" w:themeTint="A6"/>
          <w:lang w:eastAsia="lt-LT"/>
        </w:rPr>
        <w:t>, o</w:t>
      </w:r>
      <w:r w:rsidR="004D77BD" w:rsidRPr="004D77BD">
        <w:rPr>
          <w:rFonts w:ascii="Times New Roman" w:hAnsi="Times New Roman"/>
          <w:color w:val="595959" w:themeColor="text1" w:themeTint="A6"/>
          <w:lang w:eastAsia="lt-LT"/>
        </w:rPr>
        <w:t xml:space="preserve"> planuojamos veiklos bus pabaigtos įgyvendinti iki 2023 m. rugsėjo 1 d. </w:t>
      </w:r>
    </w:p>
    <w:p w:rsidR="004D77BD" w:rsidRDefault="003776BD" w:rsidP="001602C6">
      <w:pPr>
        <w:pStyle w:val="tekstas"/>
        <w:rPr>
          <w:rFonts w:ascii="Times New Roman" w:hAnsi="Times New Roman"/>
          <w:color w:val="595959" w:themeColor="text1" w:themeTint="A6"/>
          <w:lang w:eastAsia="lt-LT"/>
        </w:rPr>
      </w:pPr>
      <w:r w:rsidRPr="004D77BD">
        <w:rPr>
          <w:rFonts w:ascii="Times New Roman" w:hAnsi="Times New Roman"/>
          <w:color w:val="595959" w:themeColor="text1" w:themeTint="A6"/>
          <w:lang w:eastAsia="lt-LT"/>
        </w:rPr>
        <w:t>Vilniaus Pedagogų rengimo centro tinklinės didaktikų laboratorijų infrastruktūros V</w:t>
      </w:r>
      <w:r w:rsidR="0052105D">
        <w:rPr>
          <w:rFonts w:ascii="Times New Roman" w:hAnsi="Times New Roman"/>
          <w:color w:val="595959" w:themeColor="text1" w:themeTint="A6"/>
          <w:lang w:eastAsia="lt-LT"/>
        </w:rPr>
        <w:t>U</w:t>
      </w:r>
      <w:r w:rsidRPr="004D77BD">
        <w:rPr>
          <w:rFonts w:ascii="Times New Roman" w:hAnsi="Times New Roman"/>
          <w:color w:val="595959" w:themeColor="text1" w:themeTint="A6"/>
          <w:lang w:eastAsia="lt-LT"/>
        </w:rPr>
        <w:t xml:space="preserve"> sukūrimui, įrangos bei baldų įsigijimui</w:t>
      </w:r>
      <w:r w:rsidR="00E20DA3">
        <w:rPr>
          <w:rFonts w:ascii="Times New Roman" w:hAnsi="Times New Roman"/>
          <w:color w:val="595959" w:themeColor="text1" w:themeTint="A6"/>
          <w:lang w:eastAsia="lt-LT"/>
        </w:rPr>
        <w:t xml:space="preserve"> planuojama panaudoti 1,6 mln. </w:t>
      </w:r>
      <w:r w:rsidR="005E45A5">
        <w:rPr>
          <w:rFonts w:ascii="Times New Roman" w:hAnsi="Times New Roman"/>
          <w:color w:val="595959" w:themeColor="text1" w:themeTint="A6"/>
          <w:lang w:eastAsia="lt-LT"/>
        </w:rPr>
        <w:t>eurų</w:t>
      </w:r>
      <w:r w:rsidR="00E20DA3">
        <w:rPr>
          <w:rFonts w:ascii="Times New Roman" w:hAnsi="Times New Roman"/>
          <w:color w:val="595959" w:themeColor="text1" w:themeTint="A6"/>
          <w:lang w:eastAsia="lt-LT"/>
        </w:rPr>
        <w:t xml:space="preserve"> ES lėšų</w:t>
      </w:r>
      <w:r w:rsidRPr="004D77BD">
        <w:rPr>
          <w:rFonts w:ascii="Times New Roman" w:hAnsi="Times New Roman"/>
          <w:color w:val="595959" w:themeColor="text1" w:themeTint="A6"/>
          <w:lang w:eastAsia="lt-LT"/>
        </w:rPr>
        <w:t>.</w:t>
      </w:r>
      <w:r>
        <w:rPr>
          <w:rFonts w:ascii="Times New Roman" w:hAnsi="Times New Roman"/>
          <w:color w:val="595959" w:themeColor="text1" w:themeTint="A6"/>
          <w:lang w:eastAsia="lt-LT"/>
        </w:rPr>
        <w:t xml:space="preserve"> Kadangi esminiai projekto pakeitimai vykdomi periodo pabaigoje, svarbu </w:t>
      </w:r>
      <w:r w:rsidR="00437FED">
        <w:rPr>
          <w:rFonts w:ascii="Times New Roman" w:hAnsi="Times New Roman"/>
          <w:color w:val="595959" w:themeColor="text1" w:themeTint="A6"/>
          <w:lang w:eastAsia="lt-LT"/>
        </w:rPr>
        <w:t xml:space="preserve">laiku </w:t>
      </w:r>
      <w:r>
        <w:rPr>
          <w:rFonts w:ascii="Times New Roman" w:hAnsi="Times New Roman"/>
          <w:color w:val="595959" w:themeColor="text1" w:themeTint="A6"/>
          <w:lang w:eastAsia="lt-LT"/>
        </w:rPr>
        <w:t>užtikrinti projekto įgyvendinimo rizikų valdymą.</w:t>
      </w:r>
      <w:r w:rsidR="004D77BD" w:rsidRPr="004D77BD">
        <w:rPr>
          <w:rFonts w:ascii="Times New Roman" w:hAnsi="Times New Roman"/>
          <w:color w:val="595959" w:themeColor="text1" w:themeTint="A6"/>
          <w:lang w:eastAsia="lt-LT"/>
        </w:rPr>
        <w:t xml:space="preserve"> </w:t>
      </w:r>
    </w:p>
    <w:p w:rsidR="001602C6" w:rsidRPr="00827740" w:rsidRDefault="001602C6" w:rsidP="00827740">
      <w:pPr>
        <w:pStyle w:val="tekstas"/>
        <w:tabs>
          <w:tab w:val="left" w:pos="284"/>
          <w:tab w:val="left" w:pos="567"/>
        </w:tabs>
        <w:rPr>
          <w:rFonts w:ascii="Times New Roman" w:hAnsi="Times New Roman"/>
          <w:color w:val="595959" w:themeColor="text1" w:themeTint="A6"/>
          <w:lang w:eastAsia="lt-LT"/>
        </w:rPr>
      </w:pPr>
      <w:r w:rsidRPr="00827740">
        <w:rPr>
          <w:rFonts w:ascii="Times New Roman" w:hAnsi="Times New Roman"/>
          <w:color w:val="595959" w:themeColor="text1" w:themeTint="A6"/>
          <w:lang w:eastAsia="lt-LT"/>
        </w:rPr>
        <w:t>Išlieka didelė LMTA studijų miestelio, Olandų g., Vilniuje, sukūrim</w:t>
      </w:r>
      <w:r w:rsidR="004B6F98">
        <w:rPr>
          <w:rFonts w:ascii="Times New Roman" w:hAnsi="Times New Roman"/>
          <w:color w:val="595959" w:themeColor="text1" w:themeTint="A6"/>
          <w:lang w:eastAsia="lt-LT"/>
        </w:rPr>
        <w:t>o</w:t>
      </w:r>
      <w:r w:rsidRPr="00827740">
        <w:rPr>
          <w:rFonts w:ascii="Times New Roman" w:hAnsi="Times New Roman"/>
          <w:color w:val="595959" w:themeColor="text1" w:themeTint="A6"/>
          <w:lang w:eastAsia="lt-LT"/>
        </w:rPr>
        <w:t xml:space="preserve"> (I etapas)</w:t>
      </w:r>
      <w:r w:rsidR="0052105D">
        <w:rPr>
          <w:rFonts w:ascii="Times New Roman" w:hAnsi="Times New Roman"/>
          <w:color w:val="595959" w:themeColor="text1" w:themeTint="A6"/>
          <w:lang w:eastAsia="lt-LT"/>
        </w:rPr>
        <w:t xml:space="preserve"> projekto</w:t>
      </w:r>
      <w:r w:rsidRPr="00827740">
        <w:rPr>
          <w:rFonts w:ascii="Times New Roman" w:hAnsi="Times New Roman"/>
          <w:color w:val="595959" w:themeColor="text1" w:themeTint="A6"/>
          <w:lang w:eastAsia="lt-LT"/>
        </w:rPr>
        <w:t xml:space="preserve"> (13,9 mln. eurų) finansavimo ir įgyvendinimo iki 2023 m. spalio 1 d. rizika. Siekiant ją sumažinti, projekto I </w:t>
      </w:r>
      <w:r w:rsidR="002F622F" w:rsidRPr="00827740">
        <w:rPr>
          <w:rFonts w:ascii="Times New Roman" w:hAnsi="Times New Roman"/>
          <w:color w:val="595959" w:themeColor="text1" w:themeTint="A6"/>
          <w:lang w:eastAsia="lt-LT"/>
        </w:rPr>
        <w:t>etapas bus įgyvendinamas dviem tarpiniais etapais</w:t>
      </w:r>
      <w:r w:rsidRPr="00827740">
        <w:rPr>
          <w:rFonts w:ascii="Times New Roman" w:hAnsi="Times New Roman"/>
          <w:color w:val="595959" w:themeColor="text1" w:themeTint="A6"/>
          <w:lang w:eastAsia="lt-LT"/>
        </w:rPr>
        <w:t xml:space="preserve"> (I </w:t>
      </w:r>
      <w:r w:rsidR="002F622F" w:rsidRPr="00827740">
        <w:rPr>
          <w:rFonts w:ascii="Times New Roman" w:hAnsi="Times New Roman"/>
          <w:color w:val="595959" w:themeColor="text1" w:themeTint="A6"/>
          <w:lang w:eastAsia="lt-LT"/>
        </w:rPr>
        <w:t>tarpinis etapas</w:t>
      </w:r>
      <w:r w:rsidRPr="00827740">
        <w:rPr>
          <w:rFonts w:ascii="Times New Roman" w:hAnsi="Times New Roman"/>
          <w:color w:val="595959" w:themeColor="text1" w:themeTint="A6"/>
          <w:lang w:eastAsia="lt-LT"/>
        </w:rPr>
        <w:t xml:space="preserve">: Teatro ir kino fakulteto ir mažojo salių bloko statybos, sutarties vertė – 19,4 mln. </w:t>
      </w:r>
      <w:r w:rsidR="002F622F" w:rsidRPr="00827740">
        <w:rPr>
          <w:rFonts w:ascii="Times New Roman" w:hAnsi="Times New Roman"/>
          <w:color w:val="595959" w:themeColor="text1" w:themeTint="A6"/>
          <w:lang w:eastAsia="lt-LT"/>
        </w:rPr>
        <w:t>eurų</w:t>
      </w:r>
      <w:r w:rsidRPr="00827740">
        <w:rPr>
          <w:rFonts w:ascii="Times New Roman" w:hAnsi="Times New Roman"/>
          <w:color w:val="595959" w:themeColor="text1" w:themeTint="A6"/>
          <w:lang w:eastAsia="lt-LT"/>
        </w:rPr>
        <w:t xml:space="preserve"> ir II </w:t>
      </w:r>
      <w:r w:rsidR="002F622F" w:rsidRPr="00827740">
        <w:rPr>
          <w:rFonts w:ascii="Times New Roman" w:hAnsi="Times New Roman"/>
          <w:color w:val="595959" w:themeColor="text1" w:themeTint="A6"/>
          <w:lang w:eastAsia="lt-LT"/>
        </w:rPr>
        <w:t>tarpinis etapas</w:t>
      </w:r>
      <w:r w:rsidRPr="00827740">
        <w:rPr>
          <w:rFonts w:ascii="Times New Roman" w:hAnsi="Times New Roman"/>
          <w:color w:val="595959" w:themeColor="text1" w:themeTint="A6"/>
          <w:lang w:eastAsia="lt-LT"/>
        </w:rPr>
        <w:t xml:space="preserve">: Muzikos fakulteto statybos – preliminarios sutarties vertė 20,4 mln. eurų). </w:t>
      </w:r>
      <w:r w:rsidR="00271C4D" w:rsidRPr="00827740">
        <w:rPr>
          <w:rFonts w:ascii="Times New Roman" w:hAnsi="Times New Roman"/>
          <w:color w:val="595959" w:themeColor="text1" w:themeTint="A6"/>
          <w:lang w:eastAsia="lt-LT"/>
        </w:rPr>
        <w:t>2021</w:t>
      </w:r>
      <w:r w:rsidR="0047092B" w:rsidRPr="00827740">
        <w:rPr>
          <w:rFonts w:ascii="Times New Roman" w:hAnsi="Times New Roman"/>
          <w:color w:val="595959" w:themeColor="text1" w:themeTint="A6"/>
          <w:lang w:eastAsia="lt-LT"/>
        </w:rPr>
        <w:t xml:space="preserve"> m. rugpjūčio </w:t>
      </w:r>
      <w:r w:rsidR="00271C4D" w:rsidRPr="00827740">
        <w:rPr>
          <w:rFonts w:ascii="Times New Roman" w:hAnsi="Times New Roman"/>
          <w:color w:val="595959" w:themeColor="text1" w:themeTint="A6"/>
          <w:lang w:eastAsia="lt-LT"/>
        </w:rPr>
        <w:t xml:space="preserve">31 </w:t>
      </w:r>
      <w:r w:rsidR="0047092B" w:rsidRPr="00827740">
        <w:rPr>
          <w:rFonts w:ascii="Times New Roman" w:hAnsi="Times New Roman"/>
          <w:color w:val="595959" w:themeColor="text1" w:themeTint="A6"/>
          <w:lang w:eastAsia="lt-LT"/>
        </w:rPr>
        <w:t xml:space="preserve">d. </w:t>
      </w:r>
      <w:r w:rsidR="00271C4D" w:rsidRPr="00827740">
        <w:rPr>
          <w:rFonts w:ascii="Times New Roman" w:hAnsi="Times New Roman"/>
          <w:color w:val="595959" w:themeColor="text1" w:themeTint="A6"/>
          <w:lang w:eastAsia="lt-LT"/>
        </w:rPr>
        <w:t xml:space="preserve">buvo įkasta statybos darbų pradžią žyminti kapsulė ir pradėti projekto I tarpinio etapo darbai pagal </w:t>
      </w:r>
      <w:r w:rsidR="00271C4D" w:rsidRPr="00827740">
        <w:rPr>
          <w:rFonts w:ascii="Times New Roman" w:hAnsi="Times New Roman"/>
          <w:color w:val="595959" w:themeColor="text1" w:themeTint="A6"/>
          <w:lang w:eastAsia="lt-LT"/>
        </w:rPr>
        <w:lastRenderedPageBreak/>
        <w:t xml:space="preserve">2021 m. balandžio 30 d. pasirašytą rangos </w:t>
      </w:r>
      <w:r w:rsidR="005E45A5" w:rsidRPr="00827740">
        <w:rPr>
          <w:rFonts w:ascii="Times New Roman" w:hAnsi="Times New Roman"/>
          <w:color w:val="595959" w:themeColor="text1" w:themeTint="A6"/>
          <w:lang w:eastAsia="lt-LT"/>
        </w:rPr>
        <w:t xml:space="preserve">darbų </w:t>
      </w:r>
      <w:r w:rsidR="00271C4D" w:rsidRPr="00827740">
        <w:rPr>
          <w:rFonts w:ascii="Times New Roman" w:hAnsi="Times New Roman"/>
          <w:color w:val="595959" w:themeColor="text1" w:themeTint="A6"/>
          <w:lang w:eastAsia="lt-LT"/>
        </w:rPr>
        <w:t>sutartį</w:t>
      </w:r>
      <w:r w:rsidR="006252D9" w:rsidRPr="00827740">
        <w:rPr>
          <w:rFonts w:ascii="Times New Roman" w:hAnsi="Times New Roman"/>
          <w:color w:val="595959" w:themeColor="text1" w:themeTint="A6"/>
          <w:lang w:eastAsia="lt-LT"/>
        </w:rPr>
        <w:t xml:space="preserve">. </w:t>
      </w:r>
      <w:r w:rsidR="00E30311" w:rsidRPr="00827740">
        <w:rPr>
          <w:rFonts w:ascii="Times New Roman" w:hAnsi="Times New Roman"/>
          <w:color w:val="595959" w:themeColor="text1" w:themeTint="A6"/>
          <w:lang w:eastAsia="lt-LT"/>
        </w:rPr>
        <w:t>Siekiant I tarpinio etapo sėkmingo įgyvendinimo, vyksta derybos su Turto banku dėl LMTA priklausančio nekilnojamojo turto objekto pardavimo, atnaujinamas investicinis projektas, toliau vyksta objekto rangos darbai.</w:t>
      </w:r>
      <w:r w:rsidR="00E30311" w:rsidRPr="00827740" w:rsidDel="00A6516C">
        <w:rPr>
          <w:rFonts w:ascii="Times New Roman" w:hAnsi="Times New Roman"/>
          <w:color w:val="595959" w:themeColor="text1" w:themeTint="A6"/>
          <w:lang w:eastAsia="lt-LT"/>
        </w:rPr>
        <w:t xml:space="preserve"> </w:t>
      </w:r>
      <w:r w:rsidR="00271C4D" w:rsidRPr="00827740">
        <w:rPr>
          <w:rFonts w:ascii="Times New Roman" w:hAnsi="Times New Roman"/>
          <w:color w:val="595959" w:themeColor="text1" w:themeTint="A6"/>
          <w:lang w:eastAsia="lt-LT"/>
        </w:rPr>
        <w:t xml:space="preserve">Siekiant įgyvendinti ir II tarpinį etapą, t. y. pastatyti trečiąjį objektą – Muzikos fakultetą (kuriam yra pasirašyta preliminari rangos darbų sutartis) </w:t>
      </w:r>
      <w:r w:rsidR="006252D9" w:rsidRPr="00827740">
        <w:rPr>
          <w:rFonts w:ascii="Times New Roman" w:hAnsi="Times New Roman"/>
          <w:color w:val="595959" w:themeColor="text1" w:themeTint="A6"/>
          <w:lang w:eastAsia="lt-LT"/>
        </w:rPr>
        <w:t>trūksta daugiau n</w:t>
      </w:r>
      <w:r w:rsidR="0052105D">
        <w:rPr>
          <w:rFonts w:ascii="Times New Roman" w:hAnsi="Times New Roman"/>
          <w:color w:val="595959" w:themeColor="text1" w:themeTint="A6"/>
          <w:lang w:eastAsia="lt-LT"/>
        </w:rPr>
        <w:t>ei</w:t>
      </w:r>
      <w:r w:rsidR="006252D9" w:rsidRPr="00827740">
        <w:rPr>
          <w:rFonts w:ascii="Times New Roman" w:hAnsi="Times New Roman"/>
          <w:color w:val="595959" w:themeColor="text1" w:themeTint="A6"/>
          <w:lang w:eastAsia="lt-LT"/>
        </w:rPr>
        <w:t xml:space="preserve"> 18 mln. eurų.</w:t>
      </w:r>
      <w:r w:rsidR="004A0F14" w:rsidRPr="00827740">
        <w:rPr>
          <w:rFonts w:ascii="Times New Roman" w:hAnsi="Times New Roman"/>
          <w:color w:val="595959" w:themeColor="text1" w:themeTint="A6"/>
          <w:lang w:eastAsia="lt-LT"/>
        </w:rPr>
        <w:t xml:space="preserve"> Šio tarpinio etapo įgyvendinimui taip pat yra numatoma panaudoti lėšas, pardavus LMTA priklausančius nekilnojamojo turto objektus. Tačiau realūs veiksmai dėl kitų nekilnojamojo turto objektų pardavimo nepradėti, kas kelia didelę riziką dėl sėkmingo projekto įgyvendinimo.</w:t>
      </w:r>
    </w:p>
    <w:p w:rsidR="004578A2" w:rsidRPr="004578A2" w:rsidRDefault="004578A2" w:rsidP="008510B0">
      <w:pPr>
        <w:pStyle w:val="tekstas"/>
        <w:ind w:firstLine="0"/>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C60D7B" w:rsidRPr="006658F1" w:rsidTr="00B27131">
        <w:tc>
          <w:tcPr>
            <w:tcW w:w="9638" w:type="dxa"/>
            <w:tcBorders>
              <w:top w:val="nil"/>
              <w:left w:val="nil"/>
              <w:bottom w:val="nil"/>
              <w:right w:val="nil"/>
            </w:tcBorders>
            <w:shd w:val="clear" w:color="auto" w:fill="D9D9D9" w:themeFill="background1" w:themeFillShade="D9"/>
          </w:tcPr>
          <w:p w:rsidR="00C60D7B" w:rsidRPr="006658F1" w:rsidRDefault="00C60D7B" w:rsidP="00B27131">
            <w:pPr>
              <w:jc w:val="both"/>
              <w:rPr>
                <w:b/>
                <w:color w:val="365F91" w:themeColor="accent1" w:themeShade="BF"/>
                <w:szCs w:val="24"/>
              </w:rPr>
            </w:pPr>
            <w:r w:rsidRPr="006658F1">
              <w:rPr>
                <w:b/>
                <w:color w:val="365F91" w:themeColor="accent1" w:themeShade="BF"/>
                <w:szCs w:val="24"/>
              </w:rPr>
              <w:t>Siūlymai Švietimo, mokslo ir sporto</w:t>
            </w:r>
            <w:r w:rsidRPr="006658F1">
              <w:rPr>
                <w:szCs w:val="24"/>
              </w:rPr>
              <w:t xml:space="preserve"> </w:t>
            </w:r>
            <w:r w:rsidRPr="006658F1">
              <w:rPr>
                <w:b/>
                <w:color w:val="365F91" w:themeColor="accent1" w:themeShade="BF"/>
                <w:szCs w:val="24"/>
              </w:rPr>
              <w:t>ministerijai:</w:t>
            </w:r>
          </w:p>
          <w:p w:rsidR="002F622F" w:rsidRPr="006658F1" w:rsidRDefault="002F622F" w:rsidP="002F622F">
            <w:pPr>
              <w:jc w:val="both"/>
              <w:rPr>
                <w:color w:val="365F91" w:themeColor="accent1" w:themeShade="BF"/>
                <w:szCs w:val="24"/>
              </w:rPr>
            </w:pPr>
            <w:r w:rsidRPr="006658F1">
              <w:rPr>
                <w:color w:val="365F91" w:themeColor="accent1" w:themeShade="BF"/>
                <w:szCs w:val="24"/>
              </w:rPr>
              <w:t>- bendradarbiaujant su C</w:t>
            </w:r>
            <w:r w:rsidR="0052105D">
              <w:rPr>
                <w:color w:val="365F91" w:themeColor="accent1" w:themeShade="BF"/>
                <w:szCs w:val="24"/>
              </w:rPr>
              <w:t>PVA,</w:t>
            </w:r>
            <w:r w:rsidRPr="006658F1">
              <w:rPr>
                <w:color w:val="365F91" w:themeColor="accent1" w:themeShade="BF"/>
                <w:szCs w:val="24"/>
              </w:rPr>
              <w:t xml:space="preserve"> tęsti Lietuvos muzikos ir teatro akademijos projekto „Lietuvos muzikos ir teatro akademijos studijų miestelio Olandų g. 21A, Vilniuje sukūrimas“ įgyvendinimo priežiūrą ir iki 2021 m. </w:t>
            </w:r>
            <w:r w:rsidR="00EA5146">
              <w:rPr>
                <w:color w:val="365F91" w:themeColor="accent1" w:themeShade="BF"/>
                <w:szCs w:val="24"/>
              </w:rPr>
              <w:t>gruodžio 15</w:t>
            </w:r>
            <w:r w:rsidRPr="006658F1">
              <w:rPr>
                <w:color w:val="365F91" w:themeColor="accent1" w:themeShade="BF"/>
                <w:szCs w:val="24"/>
              </w:rPr>
              <w:t xml:space="preserve"> d. Finansų ministerijai pateikti informaciją apie </w:t>
            </w:r>
            <w:r w:rsidR="004A0F14">
              <w:rPr>
                <w:color w:val="365F91" w:themeColor="accent1" w:themeShade="BF"/>
                <w:szCs w:val="24"/>
              </w:rPr>
              <w:t xml:space="preserve">trūkstamo finansavimo šaltinius bei </w:t>
            </w:r>
            <w:r w:rsidRPr="006658F1">
              <w:rPr>
                <w:color w:val="365F91" w:themeColor="accent1" w:themeShade="BF"/>
                <w:szCs w:val="24"/>
              </w:rPr>
              <w:t>tolesnius sprendimus dėl šio projekto įgyvendinimo;</w:t>
            </w:r>
          </w:p>
          <w:p w:rsidR="00A652C2" w:rsidRPr="006658F1" w:rsidRDefault="002F622F" w:rsidP="00EA5146">
            <w:pPr>
              <w:jc w:val="both"/>
              <w:rPr>
                <w:color w:val="365F91" w:themeColor="accent1" w:themeShade="BF"/>
                <w:szCs w:val="24"/>
              </w:rPr>
            </w:pPr>
            <w:r w:rsidRPr="006658F1">
              <w:rPr>
                <w:color w:val="365F91" w:themeColor="accent1" w:themeShade="BF"/>
                <w:szCs w:val="24"/>
              </w:rPr>
              <w:t xml:space="preserve">- iki 2021 m. </w:t>
            </w:r>
            <w:r w:rsidR="00EA5146">
              <w:rPr>
                <w:color w:val="365F91" w:themeColor="accent1" w:themeShade="BF"/>
                <w:szCs w:val="24"/>
              </w:rPr>
              <w:t>gruodžio 15</w:t>
            </w:r>
            <w:r w:rsidRPr="006658F1">
              <w:rPr>
                <w:color w:val="365F91" w:themeColor="accent1" w:themeShade="BF"/>
                <w:szCs w:val="24"/>
              </w:rPr>
              <w:t xml:space="preserve"> d. pateikti Finansų ministerijai informaciją ir planuojamus sprendimus dėl projekto „Vilniaus universiteto studijų procesui reikalingos infrastruktūros modernizavimas ir plėtra“ įgyvendinimo rizikos valdymo.</w:t>
            </w:r>
          </w:p>
        </w:tc>
      </w:tr>
    </w:tbl>
    <w:p w:rsidR="00E726B8" w:rsidRPr="006658F1" w:rsidRDefault="00E726B8" w:rsidP="00E726B8">
      <w:pPr>
        <w:jc w:val="both"/>
        <w:rPr>
          <w:color w:val="595959" w:themeColor="text1" w:themeTint="A6"/>
          <w:szCs w:val="24"/>
        </w:rPr>
      </w:pPr>
    </w:p>
    <w:p w:rsidR="000305AE" w:rsidRPr="006658F1" w:rsidRDefault="000305AE" w:rsidP="00C4777B">
      <w:pPr>
        <w:pStyle w:val="antrat3zz"/>
        <w:spacing w:before="0" w:after="0"/>
        <w:rPr>
          <w:rFonts w:ascii="Times New Roman" w:hAnsi="Times New Roman" w:cs="Times New Roman"/>
        </w:rPr>
      </w:pPr>
      <w:bookmarkStart w:id="32" w:name="_Toc86414519"/>
      <w:r w:rsidRPr="006658F1">
        <w:rPr>
          <w:rStyle w:val="antrat2ZZDiagrama"/>
          <w:rFonts w:ascii="Times New Roman" w:hAnsi="Times New Roman" w:cs="Times New Roman"/>
          <w:b/>
          <w:bCs/>
          <w:color w:val="595959" w:themeColor="text1" w:themeTint="A6"/>
          <w:sz w:val="24"/>
          <w:szCs w:val="24"/>
        </w:rPr>
        <w:t>10 prioritetas. Visuomenės</w:t>
      </w:r>
      <w:r w:rsidRPr="006658F1">
        <w:rPr>
          <w:rFonts w:ascii="Times New Roman" w:hAnsi="Times New Roman" w:cs="Times New Roman"/>
        </w:rPr>
        <w:t xml:space="preserve"> poreikius atitinkantis ir pažangus viešasis valdymas</w:t>
      </w:r>
      <w:bookmarkEnd w:id="31"/>
      <w:bookmarkEnd w:id="32"/>
    </w:p>
    <w:p w:rsidR="002F622F" w:rsidRPr="006658F1" w:rsidRDefault="002F622F" w:rsidP="002F622F">
      <w:pPr>
        <w:pStyle w:val="tekstas"/>
        <w:ind w:firstLine="0"/>
        <w:rPr>
          <w:rFonts w:ascii="Times New Roman" w:hAnsi="Times New Roman"/>
          <w:color w:val="595959" w:themeColor="text1" w:themeTint="A6"/>
          <w:lang w:eastAsia="lt-LT"/>
        </w:rPr>
      </w:pPr>
      <w:bookmarkStart w:id="33" w:name="_Toc473644133"/>
    </w:p>
    <w:p w:rsidR="00411538" w:rsidRPr="006658F1" w:rsidRDefault="00437FED" w:rsidP="002F622F">
      <w:pPr>
        <w:pStyle w:val="tekstas"/>
        <w:ind w:firstLine="0"/>
        <w:rPr>
          <w:rFonts w:ascii="Times New Roman" w:hAnsi="Times New Roman"/>
          <w:color w:val="595959" w:themeColor="text1" w:themeTint="A6"/>
          <w:lang w:eastAsia="lt-LT"/>
        </w:rPr>
      </w:pPr>
      <w:r>
        <w:rPr>
          <w:noProof/>
          <w:lang w:eastAsia="lt-LT"/>
        </w:rPr>
        <w:drawing>
          <wp:inline distT="0" distB="0" distL="0" distR="0" wp14:anchorId="1AC0C74D" wp14:editId="70AA95DC">
            <wp:extent cx="6120130" cy="719384"/>
            <wp:effectExtent l="0" t="0" r="13970" b="241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11538" w:rsidRPr="006658F1" w:rsidRDefault="00411538" w:rsidP="002F622F">
      <w:pPr>
        <w:pStyle w:val="tekstas"/>
        <w:ind w:firstLine="0"/>
        <w:rPr>
          <w:rFonts w:ascii="Times New Roman" w:hAnsi="Times New Roman"/>
          <w:color w:val="595959" w:themeColor="text1" w:themeTint="A6"/>
          <w:lang w:eastAsia="lt-LT"/>
        </w:rPr>
      </w:pPr>
    </w:p>
    <w:p w:rsidR="002F622F" w:rsidRPr="006658F1" w:rsidRDefault="002F622F" w:rsidP="002F622F">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2021 m. II </w:t>
      </w:r>
      <w:proofErr w:type="spellStart"/>
      <w:r w:rsidRPr="006658F1">
        <w:rPr>
          <w:rFonts w:ascii="Times New Roman" w:hAnsi="Times New Roman"/>
          <w:color w:val="595959" w:themeColor="text1" w:themeTint="A6"/>
          <w:lang w:eastAsia="lt-LT"/>
        </w:rPr>
        <w:t>ketv</w:t>
      </w:r>
      <w:proofErr w:type="spellEnd"/>
      <w:r w:rsidRPr="006658F1">
        <w:rPr>
          <w:rFonts w:ascii="Times New Roman" w:hAnsi="Times New Roman"/>
          <w:color w:val="595959" w:themeColor="text1" w:themeTint="A6"/>
          <w:lang w:eastAsia="lt-LT"/>
        </w:rPr>
        <w:t xml:space="preserve">. pabaigoje Vidaus reikalų ministerijos administruojamame 10 prioritete pasirašytos visos finansavimo sutartys bei suplanuotos </w:t>
      </w:r>
      <w:proofErr w:type="spellStart"/>
      <w:r w:rsidRPr="006658F1">
        <w:rPr>
          <w:rFonts w:ascii="Times New Roman" w:hAnsi="Times New Roman"/>
          <w:color w:val="595959" w:themeColor="text1" w:themeTint="A6"/>
          <w:lang w:eastAsia="lt-LT"/>
        </w:rPr>
        <w:t>virškontraktavimui</w:t>
      </w:r>
      <w:proofErr w:type="spellEnd"/>
      <w:r w:rsidRPr="006658F1">
        <w:rPr>
          <w:rFonts w:ascii="Times New Roman" w:hAnsi="Times New Roman"/>
          <w:color w:val="595959" w:themeColor="text1" w:themeTint="A6"/>
          <w:lang w:eastAsia="lt-LT"/>
        </w:rPr>
        <w:t xml:space="preserve"> skirtos bei sutaupytos lėšos (5,5 mln. eurų) itin svarbiems viešojo valdymo projektams.</w:t>
      </w:r>
    </w:p>
    <w:p w:rsidR="007475E3" w:rsidRPr="006658F1" w:rsidRDefault="00482938" w:rsidP="002F622F">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Vis dėlto</w:t>
      </w:r>
      <w:r w:rsidRPr="006658F1">
        <w:rPr>
          <w:rFonts w:ascii="Times New Roman" w:hAnsi="Times New Roman"/>
          <w:color w:val="595959" w:themeColor="text1" w:themeTint="A6"/>
          <w:lang w:eastAsia="lt-LT"/>
        </w:rPr>
        <w:t xml:space="preserve"> </w:t>
      </w:r>
      <w:r w:rsidR="002F622F" w:rsidRPr="006658F1">
        <w:rPr>
          <w:rFonts w:ascii="Times New Roman" w:hAnsi="Times New Roman"/>
          <w:color w:val="595959" w:themeColor="text1" w:themeTint="A6"/>
          <w:lang w:eastAsia="lt-LT"/>
        </w:rPr>
        <w:t xml:space="preserve">investavimas projektuose pernelyg lėtas, kol kas projektams išmokėta </w:t>
      </w:r>
      <w:r>
        <w:rPr>
          <w:rFonts w:ascii="Times New Roman" w:hAnsi="Times New Roman"/>
          <w:color w:val="595959" w:themeColor="text1" w:themeTint="A6"/>
          <w:lang w:eastAsia="lt-LT"/>
        </w:rPr>
        <w:t>šiek tiek daugiau nei</w:t>
      </w:r>
      <w:r w:rsidRPr="006658F1">
        <w:rPr>
          <w:rFonts w:ascii="Times New Roman" w:hAnsi="Times New Roman"/>
          <w:color w:val="595959" w:themeColor="text1" w:themeTint="A6"/>
          <w:lang w:eastAsia="lt-LT"/>
        </w:rPr>
        <w:t xml:space="preserve"> </w:t>
      </w:r>
      <w:r w:rsidR="002F622F" w:rsidRPr="006658F1">
        <w:rPr>
          <w:rFonts w:ascii="Times New Roman" w:hAnsi="Times New Roman"/>
          <w:color w:val="595959" w:themeColor="text1" w:themeTint="A6"/>
          <w:lang w:eastAsia="lt-LT"/>
        </w:rPr>
        <w:t>pusė (</w:t>
      </w:r>
      <w:r w:rsidR="0041312D" w:rsidRPr="00827740">
        <w:rPr>
          <w:rFonts w:ascii="Times New Roman" w:hAnsi="Times New Roman"/>
          <w:color w:val="595959" w:themeColor="text1" w:themeTint="A6"/>
          <w:lang w:eastAsia="lt-LT"/>
        </w:rPr>
        <w:t xml:space="preserve">56 </w:t>
      </w:r>
      <w:r w:rsidR="002F622F" w:rsidRPr="00827740">
        <w:rPr>
          <w:rFonts w:ascii="Times New Roman" w:hAnsi="Times New Roman"/>
          <w:color w:val="595959" w:themeColor="text1" w:themeTint="A6"/>
          <w:lang w:eastAsia="lt-LT"/>
        </w:rPr>
        <w:t>proc.</w:t>
      </w:r>
      <w:r w:rsidR="002F622F" w:rsidRPr="006658F1">
        <w:rPr>
          <w:rFonts w:ascii="Times New Roman" w:hAnsi="Times New Roman"/>
          <w:color w:val="595959" w:themeColor="text1" w:themeTint="A6"/>
          <w:lang w:eastAsia="lt-LT"/>
        </w:rPr>
        <w:t xml:space="preserve">) skirtų lėšų. </w:t>
      </w:r>
      <w:r w:rsidR="008421F8" w:rsidRPr="006658F1">
        <w:rPr>
          <w:rFonts w:ascii="Times New Roman" w:hAnsi="Times New Roman"/>
          <w:color w:val="595959" w:themeColor="text1" w:themeTint="A6"/>
          <w:lang w:eastAsia="lt-LT"/>
        </w:rPr>
        <w:t>Išmokėjimų temp</w:t>
      </w:r>
      <w:r w:rsidR="0087124B" w:rsidRPr="006658F1">
        <w:rPr>
          <w:rFonts w:ascii="Times New Roman" w:hAnsi="Times New Roman"/>
          <w:color w:val="595959" w:themeColor="text1" w:themeTint="A6"/>
          <w:lang w:eastAsia="lt-LT"/>
        </w:rPr>
        <w:t>ui įtakos turi</w:t>
      </w:r>
      <w:r w:rsidR="00E50819" w:rsidRPr="006658F1">
        <w:rPr>
          <w:rFonts w:ascii="Times New Roman" w:hAnsi="Times New Roman"/>
          <w:color w:val="595959" w:themeColor="text1" w:themeTint="A6"/>
          <w:lang w:eastAsia="lt-LT"/>
        </w:rPr>
        <w:t xml:space="preserve"> </w:t>
      </w:r>
      <w:r w:rsidR="008421F8" w:rsidRPr="006658F1">
        <w:rPr>
          <w:rFonts w:ascii="Times New Roman" w:hAnsi="Times New Roman"/>
          <w:color w:val="595959" w:themeColor="text1" w:themeTint="A6"/>
          <w:lang w:eastAsia="lt-LT"/>
        </w:rPr>
        <w:t>vėluojantys (nutraukiami ir iš naujo skelbiami) viešieji pirkimai, dėl karantino užsitęsusios veiklos (mokymai medikams, vyresnio amžiaus žmonėms)</w:t>
      </w:r>
      <w:r w:rsidR="0087124B" w:rsidRPr="006658F1">
        <w:rPr>
          <w:rFonts w:ascii="Times New Roman" w:hAnsi="Times New Roman"/>
          <w:color w:val="595959" w:themeColor="text1" w:themeTint="A6"/>
          <w:lang w:eastAsia="lt-LT"/>
        </w:rPr>
        <w:t>.</w:t>
      </w:r>
      <w:r w:rsidR="007872F1" w:rsidRPr="006658F1">
        <w:rPr>
          <w:rFonts w:ascii="Times New Roman" w:hAnsi="Times New Roman"/>
          <w:color w:val="595959" w:themeColor="text1" w:themeTint="A6"/>
          <w:lang w:eastAsia="lt-LT"/>
        </w:rPr>
        <w:t xml:space="preserve"> </w:t>
      </w:r>
      <w:r w:rsidR="008421F8" w:rsidRPr="006658F1">
        <w:rPr>
          <w:rFonts w:ascii="Times New Roman" w:hAnsi="Times New Roman"/>
          <w:color w:val="595959" w:themeColor="text1" w:themeTint="A6"/>
          <w:lang w:eastAsia="lt-LT"/>
        </w:rPr>
        <w:t>Taip pat nemaža dalis projektų yra susiję su IT įrankių ar sistemų sukūrimu, kuomet didžiausi išmokėjimai bus projektų įgyvendinimo pabaigoje</w:t>
      </w:r>
      <w:r w:rsidR="00C23364">
        <w:rPr>
          <w:rFonts w:ascii="Times New Roman" w:hAnsi="Times New Roman"/>
          <w:color w:val="595959" w:themeColor="text1" w:themeTint="A6"/>
          <w:lang w:eastAsia="lt-LT"/>
        </w:rPr>
        <w:t xml:space="preserve">, </w:t>
      </w:r>
      <w:r w:rsidR="008421F8" w:rsidRPr="006658F1">
        <w:rPr>
          <w:rFonts w:ascii="Times New Roman" w:hAnsi="Times New Roman"/>
          <w:color w:val="595959" w:themeColor="text1" w:themeTint="A6"/>
          <w:lang w:eastAsia="lt-LT"/>
        </w:rPr>
        <w:t>kai bus sukurti IT įrankiai.</w:t>
      </w:r>
    </w:p>
    <w:p w:rsidR="002F622F" w:rsidRPr="006658F1" w:rsidRDefault="002F622F" w:rsidP="002F622F">
      <w:pPr>
        <w:pStyle w:val="tekstas"/>
        <w:ind w:firstLine="0"/>
        <w:rPr>
          <w:rFonts w:ascii="Times New Roman" w:hAnsi="Times New Roman"/>
          <w:color w:val="595959" w:themeColor="text1" w:themeTint="A6"/>
          <w:lang w:eastAsia="lt-LT"/>
        </w:rPr>
      </w:pPr>
    </w:p>
    <w:p w:rsidR="00303B08" w:rsidRPr="006658F1" w:rsidRDefault="002F622F" w:rsidP="00303B08">
      <w:pPr>
        <w:pStyle w:val="Antrat1"/>
        <w:spacing w:before="0" w:after="0"/>
        <w:ind w:left="426" w:hanging="284"/>
        <w:rPr>
          <w:rFonts w:ascii="Times New Roman" w:hAnsi="Times New Roman" w:cs="Times New Roman"/>
          <w:sz w:val="24"/>
        </w:rPr>
      </w:pPr>
      <w:bookmarkStart w:id="34" w:name="_Toc86414520"/>
      <w:r w:rsidRPr="006658F1">
        <w:rPr>
          <w:rFonts w:ascii="Times New Roman" w:hAnsi="Times New Roman" w:cs="Times New Roman"/>
          <w:sz w:val="24"/>
        </w:rPr>
        <w:t>Pasirengimas 2021–2027 m. periodui</w:t>
      </w:r>
      <w:bookmarkEnd w:id="34"/>
    </w:p>
    <w:p w:rsidR="00303B08" w:rsidRPr="006658F1" w:rsidRDefault="00303B08" w:rsidP="00303B08">
      <w:pPr>
        <w:rPr>
          <w:color w:val="595959" w:themeColor="text1" w:themeTint="A6"/>
          <w:szCs w:val="24"/>
          <w:lang w:eastAsia="lt-LT"/>
        </w:rPr>
      </w:pPr>
    </w:p>
    <w:p w:rsidR="00E75D13" w:rsidRPr="008436FF" w:rsidRDefault="00E75D13" w:rsidP="00E75D13">
      <w:pPr>
        <w:ind w:firstLine="426"/>
        <w:jc w:val="both"/>
        <w:rPr>
          <w:color w:val="595959" w:themeColor="text1" w:themeTint="A6"/>
          <w:szCs w:val="24"/>
          <w:lang w:eastAsia="lt-LT"/>
        </w:rPr>
      </w:pPr>
      <w:r>
        <w:rPr>
          <w:color w:val="595959" w:themeColor="text1" w:themeTint="A6"/>
          <w:szCs w:val="24"/>
          <w:lang w:eastAsia="lt-LT"/>
        </w:rPr>
        <w:t>K</w:t>
      </w:r>
      <w:r w:rsidRPr="008436FF">
        <w:rPr>
          <w:color w:val="595959" w:themeColor="text1" w:themeTint="A6"/>
          <w:szCs w:val="24"/>
          <w:lang w:eastAsia="lt-LT"/>
        </w:rPr>
        <w:t>ovo – birželio mėn.</w:t>
      </w:r>
      <w:r>
        <w:rPr>
          <w:color w:val="595959" w:themeColor="text1" w:themeTint="A6"/>
          <w:szCs w:val="24"/>
          <w:lang w:eastAsia="lt-LT"/>
        </w:rPr>
        <w:t xml:space="preserve"> ministerijos pagal vasario mėn. gautas EK pastabas </w:t>
      </w:r>
      <w:r w:rsidRPr="0004664B">
        <w:rPr>
          <w:color w:val="595959" w:themeColor="text1" w:themeTint="A6"/>
          <w:szCs w:val="24"/>
          <w:lang w:eastAsia="lt-LT"/>
        </w:rPr>
        <w:t xml:space="preserve">pataisytus </w:t>
      </w:r>
      <w:r>
        <w:rPr>
          <w:color w:val="595959" w:themeColor="text1" w:themeTint="A6"/>
          <w:szCs w:val="24"/>
          <w:lang w:eastAsia="lt-LT"/>
        </w:rPr>
        <w:t>Investicijų programos prioritetus pristatė ir aptarė su savo sektoriaus ekonominiais</w:t>
      </w:r>
      <w:proofErr w:type="gramStart"/>
      <w:r>
        <w:rPr>
          <w:color w:val="595959" w:themeColor="text1" w:themeTint="A6"/>
          <w:szCs w:val="24"/>
          <w:lang w:eastAsia="lt-LT"/>
        </w:rPr>
        <w:t>-</w:t>
      </w:r>
      <w:proofErr w:type="gramEnd"/>
      <w:r>
        <w:rPr>
          <w:color w:val="595959" w:themeColor="text1" w:themeTint="A6"/>
          <w:szCs w:val="24"/>
          <w:lang w:eastAsia="lt-LT"/>
        </w:rPr>
        <w:t>socialiniais partneriais.</w:t>
      </w:r>
      <w:r w:rsidRPr="008436FF">
        <w:rPr>
          <w:color w:val="595959" w:themeColor="text1" w:themeTint="A6"/>
          <w:szCs w:val="24"/>
          <w:lang w:eastAsia="lt-LT"/>
        </w:rPr>
        <w:t xml:space="preserve"> Iš viso ministerijų organizuotuose susitikimuose dalyvavo daugiau nei 300 skirtingų sričių partnerių.</w:t>
      </w:r>
    </w:p>
    <w:p w:rsidR="00E75D13" w:rsidRPr="008436FF" w:rsidRDefault="00E75D13" w:rsidP="00E75D13">
      <w:pPr>
        <w:ind w:firstLine="426"/>
        <w:jc w:val="both"/>
        <w:rPr>
          <w:color w:val="595959" w:themeColor="text1" w:themeTint="A6"/>
          <w:szCs w:val="24"/>
          <w:lang w:eastAsia="lt-LT"/>
        </w:rPr>
      </w:pPr>
      <w:r w:rsidRPr="008436FF">
        <w:rPr>
          <w:color w:val="595959" w:themeColor="text1" w:themeTint="A6"/>
          <w:szCs w:val="24"/>
          <w:lang w:eastAsia="lt-LT"/>
        </w:rPr>
        <w:t xml:space="preserve">2021 m. liepos 13 d. Investicijų programos projektas </w:t>
      </w:r>
      <w:r>
        <w:rPr>
          <w:color w:val="595959" w:themeColor="text1" w:themeTint="A6"/>
          <w:szCs w:val="24"/>
          <w:lang w:eastAsia="lt-LT"/>
        </w:rPr>
        <w:t xml:space="preserve">buvo </w:t>
      </w:r>
      <w:r w:rsidRPr="008436FF">
        <w:rPr>
          <w:color w:val="595959" w:themeColor="text1" w:themeTint="A6"/>
          <w:szCs w:val="24"/>
          <w:lang w:eastAsia="lt-LT"/>
        </w:rPr>
        <w:t>pristatytas Stebėsenos komitetui, o š.</w:t>
      </w:r>
      <w:r w:rsidR="0030574C">
        <w:rPr>
          <w:color w:val="595959" w:themeColor="text1" w:themeTint="A6"/>
          <w:szCs w:val="24"/>
          <w:lang w:eastAsia="lt-LT"/>
        </w:rPr>
        <w:t xml:space="preserve"> </w:t>
      </w:r>
      <w:r w:rsidRPr="008436FF">
        <w:rPr>
          <w:color w:val="595959" w:themeColor="text1" w:themeTint="A6"/>
          <w:szCs w:val="24"/>
          <w:lang w:eastAsia="lt-LT"/>
        </w:rPr>
        <w:t xml:space="preserve">m. rugpjūčio </w:t>
      </w:r>
      <w:r>
        <w:rPr>
          <w:color w:val="595959" w:themeColor="text1" w:themeTint="A6"/>
          <w:szCs w:val="24"/>
          <w:lang w:eastAsia="lt-LT"/>
        </w:rPr>
        <w:t>4 d.</w:t>
      </w:r>
      <w:r w:rsidRPr="008436FF">
        <w:rPr>
          <w:color w:val="595959" w:themeColor="text1" w:themeTint="A6"/>
          <w:szCs w:val="24"/>
          <w:lang w:eastAsia="lt-LT"/>
        </w:rPr>
        <w:t xml:space="preserve"> </w:t>
      </w:r>
      <w:r>
        <w:rPr>
          <w:color w:val="595959" w:themeColor="text1" w:themeTint="A6"/>
          <w:szCs w:val="24"/>
          <w:lang w:eastAsia="lt-LT"/>
        </w:rPr>
        <w:t xml:space="preserve">gautas tarpinis </w:t>
      </w:r>
      <w:r w:rsidRPr="008436FF">
        <w:rPr>
          <w:color w:val="595959" w:themeColor="text1" w:themeTint="A6"/>
          <w:szCs w:val="24"/>
          <w:lang w:eastAsia="lt-LT"/>
        </w:rPr>
        <w:t>LRV pritarim</w:t>
      </w:r>
      <w:r>
        <w:rPr>
          <w:color w:val="595959" w:themeColor="text1" w:themeTint="A6"/>
          <w:szCs w:val="24"/>
          <w:lang w:eastAsia="lt-LT"/>
        </w:rPr>
        <w:t xml:space="preserve">as </w:t>
      </w:r>
      <w:r w:rsidRPr="00CB3593">
        <w:rPr>
          <w:color w:val="595959" w:themeColor="text1" w:themeTint="A6"/>
          <w:szCs w:val="24"/>
          <w:lang w:eastAsia="lt-LT"/>
        </w:rPr>
        <w:t>oficialiems Partnerystės sutarties ir Programos projektams</w:t>
      </w:r>
      <w:r w:rsidRPr="008436FF">
        <w:rPr>
          <w:color w:val="595959" w:themeColor="text1" w:themeTint="A6"/>
          <w:szCs w:val="24"/>
          <w:lang w:eastAsia="lt-LT"/>
        </w:rPr>
        <w:t xml:space="preserve">. Rugsėjo </w:t>
      </w:r>
      <w:r>
        <w:rPr>
          <w:color w:val="595959" w:themeColor="text1" w:themeTint="A6"/>
          <w:szCs w:val="24"/>
          <w:lang w:eastAsia="lt-LT"/>
        </w:rPr>
        <w:t xml:space="preserve">17 d. EK pateiktas antrasis Partnerystės sutarties ir ketvirtasis Investicijų programos projektai. Spalio </w:t>
      </w:r>
      <w:r w:rsidRPr="008436FF">
        <w:rPr>
          <w:color w:val="595959" w:themeColor="text1" w:themeTint="A6"/>
          <w:szCs w:val="24"/>
          <w:lang w:eastAsia="lt-LT"/>
        </w:rPr>
        <w:t>mėn. darbine tvarka pabaigus derinti Investicijų programą su Sanglaudos politiką koordinuojanč</w:t>
      </w:r>
      <w:r>
        <w:rPr>
          <w:color w:val="595959" w:themeColor="text1" w:themeTint="A6"/>
          <w:szCs w:val="24"/>
          <w:lang w:eastAsia="lt-LT"/>
        </w:rPr>
        <w:t xml:space="preserve">iu </w:t>
      </w:r>
      <w:r w:rsidRPr="008436FF">
        <w:rPr>
          <w:color w:val="595959" w:themeColor="text1" w:themeTint="A6"/>
          <w:szCs w:val="24"/>
          <w:lang w:eastAsia="lt-LT"/>
        </w:rPr>
        <w:t>EK direktorat</w:t>
      </w:r>
      <w:r>
        <w:rPr>
          <w:color w:val="595959" w:themeColor="text1" w:themeTint="A6"/>
          <w:szCs w:val="24"/>
          <w:lang w:eastAsia="lt-LT"/>
        </w:rPr>
        <w:t>u</w:t>
      </w:r>
      <w:r w:rsidRPr="008436FF">
        <w:rPr>
          <w:color w:val="595959" w:themeColor="text1" w:themeTint="A6"/>
          <w:szCs w:val="24"/>
          <w:lang w:eastAsia="lt-LT"/>
        </w:rPr>
        <w:t xml:space="preserve">, ji bus teikiama derinti </w:t>
      </w:r>
      <w:r>
        <w:rPr>
          <w:color w:val="595959" w:themeColor="text1" w:themeTint="A6"/>
          <w:szCs w:val="24"/>
          <w:lang w:eastAsia="lt-LT"/>
        </w:rPr>
        <w:t xml:space="preserve">kitiems sektoriniams </w:t>
      </w:r>
      <w:r w:rsidRPr="008436FF">
        <w:rPr>
          <w:color w:val="595959" w:themeColor="text1" w:themeTint="A6"/>
          <w:szCs w:val="24"/>
          <w:lang w:eastAsia="lt-LT"/>
        </w:rPr>
        <w:t>EK direktorat</w:t>
      </w:r>
      <w:r>
        <w:rPr>
          <w:color w:val="595959" w:themeColor="text1" w:themeTint="A6"/>
          <w:szCs w:val="24"/>
          <w:lang w:eastAsia="lt-LT"/>
        </w:rPr>
        <w:t xml:space="preserve">ams. Oficialiai </w:t>
      </w:r>
      <w:r w:rsidRPr="008436FF">
        <w:rPr>
          <w:color w:val="595959" w:themeColor="text1" w:themeTint="A6"/>
          <w:szCs w:val="24"/>
          <w:lang w:eastAsia="lt-LT"/>
        </w:rPr>
        <w:t xml:space="preserve">Partnerystės sutartį </w:t>
      </w:r>
      <w:r>
        <w:rPr>
          <w:color w:val="595959" w:themeColor="text1" w:themeTint="A6"/>
          <w:szCs w:val="24"/>
          <w:lang w:eastAsia="lt-LT"/>
        </w:rPr>
        <w:t>planuojama pateikti š.</w:t>
      </w:r>
      <w:r w:rsidR="0030574C">
        <w:rPr>
          <w:color w:val="595959" w:themeColor="text1" w:themeTint="A6"/>
          <w:szCs w:val="24"/>
          <w:lang w:eastAsia="lt-LT"/>
        </w:rPr>
        <w:t xml:space="preserve"> </w:t>
      </w:r>
      <w:r>
        <w:rPr>
          <w:color w:val="595959" w:themeColor="text1" w:themeTint="A6"/>
          <w:szCs w:val="24"/>
          <w:lang w:eastAsia="lt-LT"/>
        </w:rPr>
        <w:t xml:space="preserve">m. spalio mėn. pab., o Investicijų programą </w:t>
      </w:r>
      <w:r w:rsidR="0030574C" w:rsidRPr="008436FF">
        <w:rPr>
          <w:color w:val="595959" w:themeColor="text1" w:themeTint="A6"/>
          <w:szCs w:val="24"/>
          <w:lang w:eastAsia="lt-LT"/>
        </w:rPr>
        <w:t>–</w:t>
      </w:r>
      <w:r w:rsidR="0030574C">
        <w:rPr>
          <w:color w:val="595959" w:themeColor="text1" w:themeTint="A6"/>
          <w:szCs w:val="24"/>
          <w:lang w:eastAsia="lt-LT"/>
        </w:rPr>
        <w:t xml:space="preserve"> </w:t>
      </w:r>
      <w:r>
        <w:rPr>
          <w:color w:val="595959" w:themeColor="text1" w:themeTint="A6"/>
          <w:szCs w:val="24"/>
          <w:lang w:eastAsia="lt-LT"/>
        </w:rPr>
        <w:t xml:space="preserve">šių metų gale. </w:t>
      </w:r>
      <w:r w:rsidRPr="008436FF">
        <w:rPr>
          <w:color w:val="595959" w:themeColor="text1" w:themeTint="A6"/>
          <w:szCs w:val="24"/>
          <w:lang w:eastAsia="lt-LT"/>
        </w:rPr>
        <w:t xml:space="preserve">Pateikus </w:t>
      </w:r>
      <w:r>
        <w:rPr>
          <w:color w:val="595959" w:themeColor="text1" w:themeTint="A6"/>
          <w:szCs w:val="24"/>
          <w:lang w:eastAsia="lt-LT"/>
        </w:rPr>
        <w:t xml:space="preserve">Investicijų </w:t>
      </w:r>
      <w:r w:rsidRPr="008436FF">
        <w:rPr>
          <w:color w:val="595959" w:themeColor="text1" w:themeTint="A6"/>
          <w:szCs w:val="24"/>
          <w:lang w:eastAsia="lt-LT"/>
        </w:rPr>
        <w:t xml:space="preserve">programą oficialiai EK, ji turi būti patvirtinta 2022 m. I </w:t>
      </w:r>
      <w:proofErr w:type="spellStart"/>
      <w:r w:rsidRPr="008436FF">
        <w:rPr>
          <w:color w:val="595959" w:themeColor="text1" w:themeTint="A6"/>
          <w:szCs w:val="24"/>
          <w:lang w:eastAsia="lt-LT"/>
        </w:rPr>
        <w:t>ketv</w:t>
      </w:r>
      <w:proofErr w:type="spellEnd"/>
      <w:r w:rsidRPr="008436FF">
        <w:rPr>
          <w:color w:val="595959" w:themeColor="text1" w:themeTint="A6"/>
          <w:szCs w:val="24"/>
          <w:lang w:eastAsia="lt-LT"/>
        </w:rPr>
        <w:t>.</w:t>
      </w:r>
    </w:p>
    <w:p w:rsidR="00B7788B" w:rsidRDefault="00BE3FBE" w:rsidP="00C3430B">
      <w:pPr>
        <w:ind w:firstLine="426"/>
        <w:jc w:val="both"/>
        <w:rPr>
          <w:color w:val="595959" w:themeColor="text1" w:themeTint="A6"/>
          <w:szCs w:val="24"/>
          <w:lang w:eastAsia="lt-LT"/>
        </w:rPr>
      </w:pPr>
      <w:r w:rsidRPr="006658F1">
        <w:rPr>
          <w:color w:val="595959" w:themeColor="text1" w:themeTint="A6"/>
          <w:szCs w:val="24"/>
          <w:lang w:eastAsia="lt-LT"/>
        </w:rPr>
        <w:t xml:space="preserve">Taip pat informuojame, kad </w:t>
      </w:r>
      <w:r w:rsidR="00D156FC" w:rsidRPr="006658F1">
        <w:rPr>
          <w:color w:val="595959" w:themeColor="text1" w:themeTint="A6"/>
          <w:szCs w:val="24"/>
          <w:lang w:eastAsia="lt-LT"/>
        </w:rPr>
        <w:t>2021 m. liepos 1 d. įsigaliojo naujojo laikotarpio ES sanglaudos politikos reglamentai</w:t>
      </w:r>
      <w:r w:rsidR="00B7788B">
        <w:rPr>
          <w:color w:val="595959" w:themeColor="text1" w:themeTint="A6"/>
          <w:szCs w:val="24"/>
          <w:lang w:eastAsia="lt-LT"/>
        </w:rPr>
        <w:t>, o</w:t>
      </w:r>
      <w:r w:rsidR="005073F2" w:rsidRPr="006658F1">
        <w:rPr>
          <w:color w:val="595959" w:themeColor="text1" w:themeTint="A6"/>
          <w:szCs w:val="24"/>
          <w:lang w:eastAsia="lt-LT"/>
        </w:rPr>
        <w:t xml:space="preserve"> </w:t>
      </w:r>
      <w:r w:rsidR="00B7788B">
        <w:rPr>
          <w:color w:val="595959" w:themeColor="text1" w:themeTint="A6"/>
          <w:szCs w:val="24"/>
          <w:lang w:eastAsia="lt-LT"/>
        </w:rPr>
        <w:t>liepos 7 d.</w:t>
      </w:r>
      <w:r w:rsidR="005073F2" w:rsidRPr="006658F1">
        <w:rPr>
          <w:color w:val="595959" w:themeColor="text1" w:themeTint="A6"/>
          <w:szCs w:val="24"/>
          <w:lang w:eastAsia="lt-LT"/>
        </w:rPr>
        <w:t xml:space="preserve"> patvirtintos laikinos projektų administravimo taisyklės </w:t>
      </w:r>
      <w:proofErr w:type="gramStart"/>
      <w:r w:rsidR="005073F2" w:rsidRPr="006658F1">
        <w:rPr>
          <w:color w:val="595959" w:themeColor="text1" w:themeTint="A6"/>
          <w:szCs w:val="24"/>
          <w:lang w:eastAsia="lt-LT"/>
        </w:rPr>
        <w:t>(</w:t>
      </w:r>
      <w:proofErr w:type="gramEnd"/>
      <w:r w:rsidR="007F275E">
        <w:rPr>
          <w:color w:val="595959" w:themeColor="text1" w:themeTint="A6"/>
          <w:szCs w:val="24"/>
          <w:lang w:eastAsia="lt-LT"/>
        </w:rPr>
        <w:t xml:space="preserve">Finansų ministro įsakymas Nr. </w:t>
      </w:r>
      <w:r w:rsidR="007F275E" w:rsidRPr="006658F1">
        <w:rPr>
          <w:color w:val="595959" w:themeColor="text1" w:themeTint="A6"/>
          <w:szCs w:val="24"/>
          <w:lang w:eastAsia="lt-LT"/>
        </w:rPr>
        <w:t xml:space="preserve">1K-240 </w:t>
      </w:r>
      <w:r w:rsidR="007F275E">
        <w:rPr>
          <w:color w:val="595959" w:themeColor="text1" w:themeTint="A6"/>
          <w:szCs w:val="24"/>
          <w:lang w:eastAsia="lt-LT"/>
        </w:rPr>
        <w:t>“</w:t>
      </w:r>
      <w:r w:rsidR="005073F2" w:rsidRPr="006658F1">
        <w:rPr>
          <w:color w:val="595959" w:themeColor="text1" w:themeTint="A6"/>
          <w:szCs w:val="24"/>
          <w:lang w:eastAsia="lt-LT"/>
        </w:rPr>
        <w:t>Dėl 2021–</w:t>
      </w:r>
      <w:r w:rsidR="00A8713C" w:rsidRPr="006658F1">
        <w:rPr>
          <w:color w:val="595959" w:themeColor="text1" w:themeTint="A6"/>
          <w:szCs w:val="24"/>
          <w:lang w:eastAsia="lt-LT"/>
        </w:rPr>
        <w:t>2027 m. ES</w:t>
      </w:r>
      <w:r w:rsidR="005073F2" w:rsidRPr="006658F1">
        <w:rPr>
          <w:color w:val="595959" w:themeColor="text1" w:themeTint="A6"/>
          <w:szCs w:val="24"/>
          <w:lang w:eastAsia="lt-LT"/>
        </w:rPr>
        <w:t xml:space="preserve"> fondų</w:t>
      </w:r>
      <w:r w:rsidR="00A8713C" w:rsidRPr="006658F1">
        <w:rPr>
          <w:color w:val="595959" w:themeColor="text1" w:themeTint="A6"/>
          <w:szCs w:val="24"/>
          <w:lang w:eastAsia="lt-LT"/>
        </w:rPr>
        <w:t xml:space="preserve"> ir E</w:t>
      </w:r>
      <w:r w:rsidR="005073F2" w:rsidRPr="006658F1">
        <w:rPr>
          <w:color w:val="595959" w:themeColor="text1" w:themeTint="A6"/>
          <w:szCs w:val="24"/>
          <w:lang w:eastAsia="lt-LT"/>
        </w:rPr>
        <w:t xml:space="preserve">konomikos gaivinimo ir atsparumo didinimo priemonės lėšomis finansuojamų ar iš dalies finansuojamų projektų įgyvendinimo </w:t>
      </w:r>
      <w:r w:rsidR="005073F2" w:rsidRPr="006658F1">
        <w:rPr>
          <w:color w:val="595959" w:themeColor="text1" w:themeTint="A6"/>
          <w:szCs w:val="24"/>
          <w:lang w:eastAsia="lt-LT"/>
        </w:rPr>
        <w:lastRenderedPageBreak/>
        <w:t>laikinosios tvarkos aprašo patvirtinimo</w:t>
      </w:r>
      <w:r w:rsidR="007F275E">
        <w:rPr>
          <w:color w:val="595959" w:themeColor="text1" w:themeTint="A6"/>
          <w:szCs w:val="24"/>
          <w:lang w:eastAsia="lt-LT"/>
        </w:rPr>
        <w:t>“</w:t>
      </w:r>
      <w:r w:rsidR="005073F2" w:rsidRPr="006658F1">
        <w:rPr>
          <w:color w:val="595959" w:themeColor="text1" w:themeTint="A6"/>
          <w:szCs w:val="24"/>
          <w:lang w:eastAsia="lt-LT"/>
        </w:rPr>
        <w:t xml:space="preserve">) kurios, kol vyksta paskutiniai derybų etapai dėl Investicijų programos su EK, leis pradėti įgyvendinti naujojo laikotarpio ES investicijų projektus tuose sektoriuose, kuriems neoficialių derybų metu EK </w:t>
      </w:r>
      <w:r w:rsidR="00C3430B" w:rsidRPr="006658F1">
        <w:rPr>
          <w:color w:val="595959" w:themeColor="text1" w:themeTint="A6"/>
          <w:szCs w:val="24"/>
          <w:lang w:eastAsia="lt-LT"/>
        </w:rPr>
        <w:t xml:space="preserve">Lietuvai pastabų jau neteikia. </w:t>
      </w:r>
      <w:r w:rsidR="005073F2" w:rsidRPr="006658F1">
        <w:rPr>
          <w:color w:val="595959" w:themeColor="text1" w:themeTint="A6"/>
          <w:szCs w:val="24"/>
          <w:lang w:eastAsia="lt-LT"/>
        </w:rPr>
        <w:t xml:space="preserve">Taisyklės taikomos valstybės </w:t>
      </w:r>
      <w:r w:rsidR="007F275E">
        <w:rPr>
          <w:color w:val="595959" w:themeColor="text1" w:themeTint="A6"/>
          <w:szCs w:val="24"/>
          <w:lang w:eastAsia="lt-LT"/>
        </w:rPr>
        <w:t xml:space="preserve">planuojamiems </w:t>
      </w:r>
      <w:r w:rsidR="005073F2" w:rsidRPr="006658F1">
        <w:rPr>
          <w:color w:val="595959" w:themeColor="text1" w:themeTint="A6"/>
          <w:szCs w:val="24"/>
          <w:lang w:eastAsia="lt-LT"/>
        </w:rPr>
        <w:t xml:space="preserve">projektams, kurie bus finansuojami 2021–2027 m. ES fondų arba </w:t>
      </w:r>
      <w:r w:rsidR="00C3430B" w:rsidRPr="006658F1">
        <w:rPr>
          <w:color w:val="595959" w:themeColor="text1" w:themeTint="A6"/>
          <w:szCs w:val="24"/>
          <w:lang w:eastAsia="lt-LT"/>
        </w:rPr>
        <w:t>EGADP</w:t>
      </w:r>
      <w:r w:rsidR="005073F2" w:rsidRPr="006658F1">
        <w:rPr>
          <w:color w:val="595959" w:themeColor="text1" w:themeTint="A6"/>
          <w:szCs w:val="24"/>
          <w:lang w:eastAsia="lt-LT"/>
        </w:rPr>
        <w:t xml:space="preserve"> lėšomis, jomis nustatoma projektų atrankos, sprendimų dėl jų finansavimo priėmimo ir projektų įgyvendinimo tvarka. Kaip rodo ankstesnių finansavimo laikotarpių patirtis, tokios laikinosios projektų administravimo taisyklės ne tik leidžia anksčiau pradėti įgyvendinti ES finansuojamus projektus, bet taip pat sukuria tvirtą pagrindą ES investicijų spartai Lietuvai ekonomiškai svarbiuose sektoriuose. </w:t>
      </w:r>
    </w:p>
    <w:p w:rsidR="002F622F" w:rsidRPr="006658F1" w:rsidRDefault="00253EF3" w:rsidP="00C3430B">
      <w:pPr>
        <w:ind w:firstLine="426"/>
        <w:jc w:val="both"/>
        <w:rPr>
          <w:color w:val="595959" w:themeColor="text1" w:themeTint="A6"/>
          <w:szCs w:val="24"/>
          <w:lang w:eastAsia="lt-LT"/>
        </w:rPr>
      </w:pPr>
      <w:proofErr w:type="spellStart"/>
      <w:r>
        <w:rPr>
          <w:color w:val="595959" w:themeColor="text1" w:themeTint="A6"/>
          <w:szCs w:val="24"/>
          <w:lang w:eastAsia="lt-LT"/>
        </w:rPr>
        <w:t>R</w:t>
      </w:r>
      <w:r w:rsidR="005073F2" w:rsidRPr="006658F1">
        <w:rPr>
          <w:color w:val="595959" w:themeColor="text1" w:themeTint="A6"/>
          <w:szCs w:val="24"/>
          <w:lang w:eastAsia="lt-LT"/>
        </w:rPr>
        <w:t>rengiantis</w:t>
      </w:r>
      <w:proofErr w:type="spellEnd"/>
      <w:r w:rsidR="005073F2" w:rsidRPr="006658F1">
        <w:rPr>
          <w:color w:val="595959" w:themeColor="text1" w:themeTint="A6"/>
          <w:szCs w:val="24"/>
          <w:lang w:eastAsia="lt-LT"/>
        </w:rPr>
        <w:t xml:space="preserve"> 2021–2027 m. laikotarpiui</w:t>
      </w:r>
      <w:r>
        <w:rPr>
          <w:color w:val="595959" w:themeColor="text1" w:themeTint="A6"/>
          <w:szCs w:val="24"/>
          <w:lang w:eastAsia="lt-LT"/>
        </w:rPr>
        <w:t>,</w:t>
      </w:r>
      <w:r w:rsidR="005073F2" w:rsidRPr="006658F1">
        <w:rPr>
          <w:color w:val="595959" w:themeColor="text1" w:themeTint="A6"/>
          <w:szCs w:val="24"/>
          <w:lang w:eastAsia="lt-LT"/>
        </w:rPr>
        <w:t xml:space="preserve"> 2021 m. birželio 11 d.</w:t>
      </w:r>
      <w:r w:rsidR="00B7788B">
        <w:rPr>
          <w:color w:val="595959" w:themeColor="text1" w:themeTint="A6"/>
          <w:szCs w:val="24"/>
          <w:lang w:eastAsia="lt-LT"/>
        </w:rPr>
        <w:t xml:space="preserve"> sudaryta </w:t>
      </w:r>
      <w:proofErr w:type="spellStart"/>
      <w:r w:rsidR="00B7788B">
        <w:rPr>
          <w:color w:val="595959" w:themeColor="text1" w:themeTint="A6"/>
          <w:szCs w:val="24"/>
          <w:lang w:eastAsia="lt-LT"/>
        </w:rPr>
        <w:t>Tarpinstitucinė</w:t>
      </w:r>
      <w:proofErr w:type="spellEnd"/>
      <w:r w:rsidR="00B7788B">
        <w:rPr>
          <w:color w:val="595959" w:themeColor="text1" w:themeTint="A6"/>
          <w:szCs w:val="24"/>
          <w:lang w:eastAsia="lt-LT"/>
        </w:rPr>
        <w:t xml:space="preserve"> </w:t>
      </w:r>
      <w:r w:rsidR="005073F2" w:rsidRPr="006658F1">
        <w:rPr>
          <w:color w:val="595959" w:themeColor="text1" w:themeTint="A6"/>
          <w:szCs w:val="24"/>
          <w:lang w:eastAsia="lt-LT"/>
        </w:rPr>
        <w:t xml:space="preserve">darbo grupė 2021–2027 m. ES fondų investicijų administravimo procesams kurti). Minėta darbo grupė parengė ir 2021 m. II </w:t>
      </w:r>
      <w:proofErr w:type="spellStart"/>
      <w:r w:rsidR="005073F2" w:rsidRPr="006658F1">
        <w:rPr>
          <w:color w:val="595959" w:themeColor="text1" w:themeTint="A6"/>
          <w:szCs w:val="24"/>
          <w:lang w:eastAsia="lt-LT"/>
        </w:rPr>
        <w:t>ketv</w:t>
      </w:r>
      <w:proofErr w:type="spellEnd"/>
      <w:r w:rsidR="005073F2" w:rsidRPr="006658F1">
        <w:rPr>
          <w:color w:val="595959" w:themeColor="text1" w:themeTint="A6"/>
          <w:szCs w:val="24"/>
          <w:lang w:eastAsia="lt-LT"/>
        </w:rPr>
        <w:t>. pabaigoje patvirtino 2021–2027 m. ES fondų investicijų administravimo procesų aprašymus ir jų priedus. Jų pagrindu bus rengiamos 2021–2027 m. ES fondų in</w:t>
      </w:r>
      <w:r w:rsidR="00C3430B" w:rsidRPr="006658F1">
        <w:rPr>
          <w:color w:val="595959" w:themeColor="text1" w:themeTint="A6"/>
          <w:szCs w:val="24"/>
          <w:lang w:eastAsia="lt-LT"/>
        </w:rPr>
        <w:t>vesticijų veiksmų programos ir EGADP</w:t>
      </w:r>
      <w:r w:rsidR="005073F2" w:rsidRPr="006658F1">
        <w:rPr>
          <w:color w:val="595959" w:themeColor="text1" w:themeTint="A6"/>
          <w:szCs w:val="24"/>
          <w:lang w:eastAsia="lt-LT"/>
        </w:rPr>
        <w:t xml:space="preserve"> plano </w:t>
      </w:r>
      <w:r w:rsidRPr="006658F1">
        <w:rPr>
          <w:color w:val="595959" w:themeColor="text1" w:themeTint="A6"/>
          <w:szCs w:val="24"/>
          <w:lang w:eastAsia="lt-LT"/>
        </w:rPr>
        <w:t>„</w:t>
      </w:r>
      <w:r w:rsidR="005073F2" w:rsidRPr="006658F1">
        <w:rPr>
          <w:color w:val="595959" w:themeColor="text1" w:themeTint="A6"/>
          <w:szCs w:val="24"/>
          <w:lang w:eastAsia="lt-LT"/>
        </w:rPr>
        <w:t>Naujos kartos Lietuva</w:t>
      </w:r>
      <w:r>
        <w:rPr>
          <w:color w:val="595959" w:themeColor="text1" w:themeTint="A6"/>
          <w:szCs w:val="24"/>
          <w:lang w:eastAsia="lt-LT"/>
        </w:rPr>
        <w:t>“</w:t>
      </w:r>
      <w:r w:rsidR="005073F2" w:rsidRPr="006658F1">
        <w:rPr>
          <w:color w:val="595959" w:themeColor="text1" w:themeTint="A6"/>
          <w:szCs w:val="24"/>
          <w:lang w:eastAsia="lt-LT"/>
        </w:rPr>
        <w:t xml:space="preserve"> administravimo taisyklės bei naujojo laikotarpio </w:t>
      </w:r>
      <w:r w:rsidR="005D56C4">
        <w:rPr>
          <w:color w:val="595959" w:themeColor="text1" w:themeTint="A6"/>
          <w:szCs w:val="24"/>
          <w:lang w:eastAsia="lt-LT"/>
        </w:rPr>
        <w:t>p</w:t>
      </w:r>
      <w:r w:rsidR="005073F2" w:rsidRPr="006658F1">
        <w:rPr>
          <w:color w:val="595959" w:themeColor="text1" w:themeTint="A6"/>
          <w:szCs w:val="24"/>
          <w:lang w:eastAsia="lt-LT"/>
        </w:rPr>
        <w:t xml:space="preserve">rojektų finansavimo ir administravimo taisyklės. Minėtus teisės aktus planuojama patvirtinti 2022 m. I </w:t>
      </w:r>
      <w:proofErr w:type="spellStart"/>
      <w:r w:rsidR="005073F2" w:rsidRPr="006658F1">
        <w:rPr>
          <w:color w:val="595959" w:themeColor="text1" w:themeTint="A6"/>
          <w:szCs w:val="24"/>
          <w:lang w:eastAsia="lt-LT"/>
        </w:rPr>
        <w:t>ketv</w:t>
      </w:r>
      <w:proofErr w:type="spellEnd"/>
      <w:r w:rsidR="005073F2" w:rsidRPr="006658F1">
        <w:rPr>
          <w:color w:val="595959" w:themeColor="text1" w:themeTint="A6"/>
          <w:szCs w:val="24"/>
          <w:lang w:eastAsia="lt-LT"/>
        </w:rPr>
        <w:t>.</w:t>
      </w:r>
    </w:p>
    <w:p w:rsidR="00A445F6" w:rsidRDefault="00A445F6" w:rsidP="00B40A07">
      <w:pPr>
        <w:ind w:firstLine="426"/>
        <w:jc w:val="both"/>
        <w:rPr>
          <w:color w:val="595959" w:themeColor="text1" w:themeTint="A6"/>
          <w:szCs w:val="24"/>
          <w:lang w:eastAsia="lt-LT"/>
        </w:rPr>
      </w:pPr>
      <w:r w:rsidRPr="006658F1">
        <w:rPr>
          <w:color w:val="595959" w:themeColor="text1" w:themeTint="A6"/>
          <w:szCs w:val="24"/>
          <w:lang w:eastAsia="lt-LT"/>
        </w:rPr>
        <w:t xml:space="preserve">Siekiant tinkamai pasiruošti 2021–2027 m. ES fondų investicijų programos įgyvendinimui ir administravimui, užtikrinti skaidrų lėšų panaudojimą bei veiksmų atsekamumą, taip pat atsižvelgiant į </w:t>
      </w:r>
      <w:r w:rsidR="00C3430B" w:rsidRPr="006658F1">
        <w:rPr>
          <w:color w:val="595959" w:themeColor="text1" w:themeTint="A6"/>
          <w:szCs w:val="24"/>
          <w:lang w:eastAsia="lt-LT"/>
        </w:rPr>
        <w:t>CPVA</w:t>
      </w:r>
      <w:r w:rsidRPr="006658F1">
        <w:rPr>
          <w:color w:val="595959" w:themeColor="text1" w:themeTint="A6"/>
          <w:szCs w:val="24"/>
          <w:lang w:eastAsia="lt-LT"/>
        </w:rPr>
        <w:t xml:space="preserve"> atliktos „Europos Sąjungos investicijų fondų 2021–2027 m. administravimo informacinės sistemos kūrimo galimybių studijos“ išvadas, vadovaujančioji institucija priėmė sprendimą dėl 2021</w:t>
      </w:r>
      <w:r w:rsidR="003F061A" w:rsidRPr="006658F1">
        <w:rPr>
          <w:color w:val="595959" w:themeColor="text1" w:themeTint="A6"/>
          <w:szCs w:val="24"/>
          <w:lang w:eastAsia="lt-LT"/>
        </w:rPr>
        <w:t>–</w:t>
      </w:r>
      <w:r w:rsidRPr="006658F1">
        <w:rPr>
          <w:color w:val="595959" w:themeColor="text1" w:themeTint="A6"/>
          <w:szCs w:val="24"/>
          <w:lang w:eastAsia="lt-LT"/>
        </w:rPr>
        <w:t>2027 m. ES fondų investicijų programos finansuojamų projektų administravimo informacinės sistemos</w:t>
      </w:r>
      <w:r w:rsidR="00C3430B" w:rsidRPr="006658F1">
        <w:rPr>
          <w:color w:val="595959" w:themeColor="text1" w:themeTint="A6"/>
          <w:szCs w:val="24"/>
          <w:lang w:eastAsia="lt-LT"/>
        </w:rPr>
        <w:t xml:space="preserve"> INVESTIS steigimo. </w:t>
      </w:r>
      <w:r w:rsidRPr="006658F1">
        <w:rPr>
          <w:color w:val="595959" w:themeColor="text1" w:themeTint="A6"/>
          <w:szCs w:val="24"/>
          <w:lang w:eastAsia="lt-LT"/>
        </w:rPr>
        <w:t>Š. m. birželio mėnesį Finansų ministerija inicijavo viešąjį pirkimą, kuris skirtas INVESTIS kūrimo, vystymo, palaikymo ir garantinės priežiūros paslaugoms įsigyti.</w:t>
      </w:r>
    </w:p>
    <w:p w:rsidR="00B7788B" w:rsidRDefault="00514720" w:rsidP="00B40A07">
      <w:pPr>
        <w:ind w:firstLine="426"/>
        <w:jc w:val="both"/>
        <w:rPr>
          <w:color w:val="595959" w:themeColor="text1" w:themeTint="A6"/>
          <w:szCs w:val="24"/>
          <w:lang w:eastAsia="lt-LT"/>
        </w:rPr>
      </w:pPr>
      <w:r w:rsidRPr="00514720">
        <w:rPr>
          <w:color w:val="595959" w:themeColor="text1" w:themeTint="A6"/>
          <w:szCs w:val="24"/>
          <w:lang w:eastAsia="lt-LT"/>
        </w:rPr>
        <w:t xml:space="preserve">Siekiant pradėti naujojo laikotarpio investicijas laiku, ypatingai svarbu, kad visos ministerijos </w:t>
      </w:r>
      <w:r>
        <w:rPr>
          <w:color w:val="595959" w:themeColor="text1" w:themeTint="A6"/>
          <w:szCs w:val="24"/>
          <w:lang w:eastAsia="lt-LT"/>
        </w:rPr>
        <w:t xml:space="preserve">kuo greičiau </w:t>
      </w:r>
      <w:r w:rsidRPr="00514720">
        <w:rPr>
          <w:color w:val="595959" w:themeColor="text1" w:themeTint="A6"/>
          <w:szCs w:val="24"/>
          <w:lang w:eastAsia="lt-LT"/>
        </w:rPr>
        <w:t>atsakingai ir tinkamai</w:t>
      </w:r>
      <w:r>
        <w:rPr>
          <w:color w:val="595959" w:themeColor="text1" w:themeTint="A6"/>
          <w:szCs w:val="24"/>
          <w:lang w:eastAsia="lt-LT"/>
        </w:rPr>
        <w:t xml:space="preserve"> parengtų būtinuosius strateginius dokumentus – plėtros programas (PP). Atkreiptinas dėmesys, kad iš 25 šiais metais planuojamų patvirtinti PP kol kas </w:t>
      </w:r>
      <w:r w:rsidR="008568D7" w:rsidRPr="008568D7">
        <w:rPr>
          <w:color w:val="595959" w:themeColor="text1" w:themeTint="A6"/>
          <w:szCs w:val="24"/>
          <w:lang w:eastAsia="lt-LT"/>
        </w:rPr>
        <w:t>patvirtintos 2</w:t>
      </w:r>
      <w:r w:rsidR="00202D67">
        <w:rPr>
          <w:color w:val="595959" w:themeColor="text1" w:themeTint="A6"/>
          <w:szCs w:val="24"/>
          <w:lang w:eastAsia="lt-LT"/>
        </w:rPr>
        <w:t xml:space="preserve"> -</w:t>
      </w:r>
      <w:r w:rsidR="008568D7" w:rsidRPr="008568D7">
        <w:rPr>
          <w:color w:val="595959" w:themeColor="text1" w:themeTint="A6"/>
          <w:szCs w:val="24"/>
          <w:lang w:eastAsia="lt-LT"/>
        </w:rPr>
        <w:t xml:space="preserve"> Ignalinos uždarymo PP (EM) </w:t>
      </w:r>
      <w:proofErr w:type="gramStart"/>
      <w:r w:rsidR="008568D7" w:rsidRPr="008568D7">
        <w:rPr>
          <w:color w:val="595959" w:themeColor="text1" w:themeTint="A6"/>
          <w:szCs w:val="24"/>
          <w:lang w:eastAsia="lt-LT"/>
        </w:rPr>
        <w:t>ir Kultūros ir kūrybingumo PP</w:t>
      </w:r>
      <w:proofErr w:type="gramEnd"/>
      <w:r w:rsidR="008568D7" w:rsidRPr="008568D7">
        <w:rPr>
          <w:color w:val="595959" w:themeColor="text1" w:themeTint="A6"/>
          <w:szCs w:val="24"/>
          <w:lang w:eastAsia="lt-LT"/>
        </w:rPr>
        <w:t xml:space="preserve"> (KM)</w:t>
      </w:r>
      <w:r w:rsidR="008568D7">
        <w:rPr>
          <w:color w:val="595959" w:themeColor="text1" w:themeTint="A6"/>
          <w:szCs w:val="24"/>
          <w:lang w:eastAsia="lt-LT"/>
        </w:rPr>
        <w:t>,</w:t>
      </w:r>
      <w:r w:rsidR="00202D67">
        <w:rPr>
          <w:color w:val="595959" w:themeColor="text1" w:themeTint="A6"/>
          <w:szCs w:val="24"/>
          <w:lang w:eastAsia="lt-LT"/>
        </w:rPr>
        <w:t xml:space="preserve"> </w:t>
      </w:r>
      <w:r w:rsidR="008568D7" w:rsidRPr="008568D7">
        <w:rPr>
          <w:color w:val="595959" w:themeColor="text1" w:themeTint="A6"/>
          <w:szCs w:val="24"/>
          <w:lang w:eastAsia="lt-LT"/>
        </w:rPr>
        <w:t>9 PP pateiktos L</w:t>
      </w:r>
      <w:r w:rsidR="008568D7">
        <w:rPr>
          <w:color w:val="595959" w:themeColor="text1" w:themeTint="A6"/>
          <w:szCs w:val="24"/>
          <w:lang w:eastAsia="lt-LT"/>
        </w:rPr>
        <w:t>ietuvos Respublikos Vyriausybei</w:t>
      </w:r>
      <w:r w:rsidR="008568D7" w:rsidRPr="008568D7">
        <w:rPr>
          <w:color w:val="595959" w:themeColor="text1" w:themeTint="A6"/>
          <w:szCs w:val="24"/>
          <w:lang w:eastAsia="lt-LT"/>
        </w:rPr>
        <w:t>: Teisingumo sistemos ir Intelektinės nuosavybės (</w:t>
      </w:r>
      <w:r w:rsidR="008568D7">
        <w:rPr>
          <w:color w:val="595959" w:themeColor="text1" w:themeTint="A6"/>
          <w:szCs w:val="24"/>
          <w:lang w:eastAsia="lt-LT"/>
        </w:rPr>
        <w:t>Teisingumo ministerijos</w:t>
      </w:r>
      <w:r w:rsidR="008568D7" w:rsidRPr="008568D7">
        <w:rPr>
          <w:color w:val="595959" w:themeColor="text1" w:themeTint="A6"/>
          <w:szCs w:val="24"/>
          <w:lang w:eastAsia="lt-LT"/>
        </w:rPr>
        <w:t xml:space="preserve">), Valstybės </w:t>
      </w:r>
      <w:proofErr w:type="spellStart"/>
      <w:r w:rsidR="008568D7" w:rsidRPr="008568D7">
        <w:rPr>
          <w:color w:val="595959" w:themeColor="text1" w:themeTint="A6"/>
          <w:szCs w:val="24"/>
          <w:lang w:eastAsia="lt-LT"/>
        </w:rPr>
        <w:t>skaitmeninimo</w:t>
      </w:r>
      <w:proofErr w:type="spellEnd"/>
      <w:r w:rsidR="008568D7" w:rsidRPr="008568D7">
        <w:rPr>
          <w:color w:val="595959" w:themeColor="text1" w:themeTint="A6"/>
          <w:szCs w:val="24"/>
          <w:lang w:eastAsia="lt-LT"/>
        </w:rPr>
        <w:t xml:space="preserve"> (</w:t>
      </w:r>
      <w:r w:rsidR="008568D7">
        <w:rPr>
          <w:color w:val="595959" w:themeColor="text1" w:themeTint="A6"/>
          <w:szCs w:val="24"/>
          <w:lang w:eastAsia="lt-LT"/>
        </w:rPr>
        <w:t>Ekonomikos ir inovacijų ministerijos</w:t>
      </w:r>
      <w:r w:rsidR="008568D7" w:rsidRPr="008568D7">
        <w:rPr>
          <w:color w:val="595959" w:themeColor="text1" w:themeTint="A6"/>
          <w:szCs w:val="24"/>
          <w:lang w:eastAsia="lt-LT"/>
        </w:rPr>
        <w:t>), Viešojo valdymo (</w:t>
      </w:r>
      <w:r w:rsidR="008568D7">
        <w:rPr>
          <w:color w:val="595959" w:themeColor="text1" w:themeTint="A6"/>
          <w:szCs w:val="24"/>
          <w:lang w:eastAsia="lt-LT"/>
        </w:rPr>
        <w:t>Vidaus reikalų ministerijos</w:t>
      </w:r>
      <w:r w:rsidR="008568D7" w:rsidRPr="008568D7">
        <w:rPr>
          <w:color w:val="595959" w:themeColor="text1" w:themeTint="A6"/>
          <w:szCs w:val="24"/>
          <w:lang w:eastAsia="lt-LT"/>
        </w:rPr>
        <w:t xml:space="preserve">) ir 5 </w:t>
      </w:r>
      <w:r w:rsidR="008568D7">
        <w:rPr>
          <w:color w:val="595959" w:themeColor="text1" w:themeTint="A6"/>
          <w:szCs w:val="24"/>
          <w:lang w:eastAsia="lt-LT"/>
        </w:rPr>
        <w:t>Socialinės apsaugos ir darbo ministerijos</w:t>
      </w:r>
      <w:r w:rsidR="00202D67">
        <w:rPr>
          <w:color w:val="595959" w:themeColor="text1" w:themeTint="A6"/>
          <w:szCs w:val="24"/>
          <w:lang w:eastAsia="lt-LT"/>
        </w:rPr>
        <w:t>:</w:t>
      </w:r>
      <w:r w:rsidR="008568D7" w:rsidRPr="008568D7">
        <w:rPr>
          <w:color w:val="595959" w:themeColor="text1" w:themeTint="A6"/>
          <w:szCs w:val="24"/>
          <w:lang w:eastAsia="lt-LT"/>
        </w:rPr>
        <w:t xml:space="preserve"> Šeimos politikos stiprinimo, Socialinės </w:t>
      </w:r>
      <w:proofErr w:type="spellStart"/>
      <w:r w:rsidR="008568D7" w:rsidRPr="008568D7">
        <w:rPr>
          <w:color w:val="595959" w:themeColor="text1" w:themeTint="A6"/>
          <w:szCs w:val="24"/>
          <w:lang w:eastAsia="lt-LT"/>
        </w:rPr>
        <w:t>sutelkties</w:t>
      </w:r>
      <w:proofErr w:type="spellEnd"/>
      <w:r w:rsidR="008568D7" w:rsidRPr="008568D7">
        <w:rPr>
          <w:color w:val="595959" w:themeColor="text1" w:themeTint="A6"/>
          <w:szCs w:val="24"/>
          <w:lang w:eastAsia="lt-LT"/>
        </w:rPr>
        <w:t>, Pajamų nelygybės mažinimo, Įtraukios darbo rinkos ir Aplinkos pritaikymo neįgaliesiems PP</w:t>
      </w:r>
      <w:r>
        <w:rPr>
          <w:color w:val="595959" w:themeColor="text1" w:themeTint="A6"/>
          <w:szCs w:val="24"/>
          <w:lang w:eastAsia="lt-LT"/>
        </w:rPr>
        <w:t>.</w:t>
      </w:r>
      <w:r w:rsidR="00202D67">
        <w:rPr>
          <w:color w:val="595959" w:themeColor="text1" w:themeTint="A6"/>
          <w:szCs w:val="24"/>
          <w:lang w:eastAsia="lt-LT"/>
        </w:rPr>
        <w:t xml:space="preserve"> </w:t>
      </w:r>
      <w:r w:rsidR="008568D7">
        <w:rPr>
          <w:color w:val="595959" w:themeColor="text1" w:themeTint="A6"/>
          <w:szCs w:val="24"/>
          <w:lang w:eastAsia="lt-LT"/>
        </w:rPr>
        <w:t>5</w:t>
      </w:r>
      <w:r>
        <w:rPr>
          <w:color w:val="595959" w:themeColor="text1" w:themeTint="A6"/>
          <w:szCs w:val="24"/>
          <w:lang w:eastAsia="lt-LT"/>
        </w:rPr>
        <w:t xml:space="preserve"> </w:t>
      </w:r>
      <w:r w:rsidR="008568D7">
        <w:rPr>
          <w:color w:val="595959" w:themeColor="text1" w:themeTint="A6"/>
          <w:szCs w:val="24"/>
          <w:lang w:eastAsia="lt-LT"/>
        </w:rPr>
        <w:t>PP</w:t>
      </w:r>
      <w:r w:rsidR="00202D67">
        <w:rPr>
          <w:color w:val="595959" w:themeColor="text1" w:themeTint="A6"/>
          <w:szCs w:val="24"/>
          <w:lang w:eastAsia="lt-LT"/>
        </w:rPr>
        <w:t xml:space="preserve"> šiuo metu</w:t>
      </w:r>
      <w:r w:rsidR="00BD55AC">
        <w:rPr>
          <w:color w:val="595959" w:themeColor="text1" w:themeTint="A6"/>
          <w:szCs w:val="24"/>
          <w:lang w:eastAsia="lt-LT"/>
        </w:rPr>
        <w:t xml:space="preserve"> </w:t>
      </w:r>
      <w:r w:rsidR="008568D7">
        <w:rPr>
          <w:color w:val="595959" w:themeColor="text1" w:themeTint="A6"/>
          <w:szCs w:val="24"/>
          <w:lang w:eastAsia="lt-LT"/>
        </w:rPr>
        <w:t>vertina Finansų ministerija</w:t>
      </w:r>
      <w:r w:rsidR="003F061A">
        <w:rPr>
          <w:color w:val="595959" w:themeColor="text1" w:themeTint="A6"/>
          <w:szCs w:val="24"/>
          <w:lang w:eastAsia="lt-LT"/>
        </w:rPr>
        <w:t xml:space="preserve"> </w:t>
      </w:r>
      <w:r w:rsidR="003F061A" w:rsidRPr="006658F1">
        <w:rPr>
          <w:color w:val="595959" w:themeColor="text1" w:themeTint="A6"/>
          <w:szCs w:val="24"/>
          <w:lang w:eastAsia="lt-LT"/>
        </w:rPr>
        <w:t>–</w:t>
      </w:r>
      <w:r w:rsidR="00202D67">
        <w:rPr>
          <w:color w:val="595959" w:themeColor="text1" w:themeTint="A6"/>
          <w:szCs w:val="24"/>
          <w:lang w:eastAsia="lt-LT"/>
        </w:rPr>
        <w:t xml:space="preserve"> </w:t>
      </w:r>
      <w:r w:rsidR="00202D67" w:rsidRPr="008568D7">
        <w:rPr>
          <w:color w:val="595959" w:themeColor="text1" w:themeTint="A6"/>
          <w:szCs w:val="24"/>
          <w:lang w:eastAsia="lt-LT"/>
        </w:rPr>
        <w:t>Mokslo PP</w:t>
      </w:r>
      <w:r w:rsidR="00202D67">
        <w:rPr>
          <w:color w:val="595959" w:themeColor="text1" w:themeTint="A6"/>
          <w:szCs w:val="24"/>
          <w:lang w:eastAsia="lt-LT"/>
        </w:rPr>
        <w:t xml:space="preserve"> ir</w:t>
      </w:r>
      <w:r w:rsidR="00202D67" w:rsidRPr="008568D7">
        <w:rPr>
          <w:color w:val="595959" w:themeColor="text1" w:themeTint="A6"/>
          <w:szCs w:val="24"/>
          <w:lang w:eastAsia="lt-LT"/>
        </w:rPr>
        <w:t xml:space="preserve"> Švietimo PP</w:t>
      </w:r>
      <w:r w:rsidR="00202D67" w:rsidRPr="00202D67">
        <w:rPr>
          <w:color w:val="595959" w:themeColor="text1" w:themeTint="A6"/>
          <w:szCs w:val="24"/>
          <w:lang w:eastAsia="lt-LT"/>
        </w:rPr>
        <w:t xml:space="preserve"> </w:t>
      </w:r>
      <w:r w:rsidR="00202D67">
        <w:rPr>
          <w:color w:val="595959" w:themeColor="text1" w:themeTint="A6"/>
          <w:szCs w:val="24"/>
          <w:lang w:eastAsia="lt-LT"/>
        </w:rPr>
        <w:t>(</w:t>
      </w:r>
      <w:r w:rsidR="00202D67" w:rsidRPr="00202D67">
        <w:rPr>
          <w:color w:val="595959" w:themeColor="text1" w:themeTint="A6"/>
          <w:szCs w:val="24"/>
          <w:lang w:eastAsia="lt-LT"/>
        </w:rPr>
        <w:t>Švietimo, mokslo ir sporto</w:t>
      </w:r>
      <w:r w:rsidR="00202D67">
        <w:rPr>
          <w:color w:val="595959" w:themeColor="text1" w:themeTint="A6"/>
          <w:szCs w:val="24"/>
          <w:lang w:eastAsia="lt-LT"/>
        </w:rPr>
        <w:t xml:space="preserve"> ministerijos), </w:t>
      </w:r>
      <w:r w:rsidR="008568D7" w:rsidRPr="008568D7">
        <w:rPr>
          <w:color w:val="595959" w:themeColor="text1" w:themeTint="A6"/>
          <w:szCs w:val="24"/>
          <w:lang w:eastAsia="lt-LT"/>
        </w:rPr>
        <w:t>Susisiekimo PP (</w:t>
      </w:r>
      <w:r w:rsidR="00202D67">
        <w:rPr>
          <w:color w:val="595959" w:themeColor="text1" w:themeTint="A6"/>
          <w:szCs w:val="24"/>
          <w:lang w:eastAsia="lt-LT"/>
        </w:rPr>
        <w:t>Susisiekimo ministerijos</w:t>
      </w:r>
      <w:r w:rsidR="008568D7" w:rsidRPr="008568D7">
        <w:rPr>
          <w:color w:val="595959" w:themeColor="text1" w:themeTint="A6"/>
          <w:szCs w:val="24"/>
          <w:lang w:eastAsia="lt-LT"/>
        </w:rPr>
        <w:t>), Sveikatos išsaugojimo PP (</w:t>
      </w:r>
      <w:r w:rsidR="00202D67">
        <w:rPr>
          <w:color w:val="595959" w:themeColor="text1" w:themeTint="A6"/>
          <w:szCs w:val="24"/>
          <w:lang w:eastAsia="lt-LT"/>
        </w:rPr>
        <w:t>Sveikatos apsaugos ministerijos</w:t>
      </w:r>
      <w:r w:rsidR="008568D7" w:rsidRPr="008568D7">
        <w:rPr>
          <w:color w:val="595959" w:themeColor="text1" w:themeTint="A6"/>
          <w:szCs w:val="24"/>
          <w:lang w:eastAsia="lt-LT"/>
        </w:rPr>
        <w:t>) ir Žemės ūkio, maisto, kaimo plėtros ir žuvininkystės PP (</w:t>
      </w:r>
      <w:r w:rsidR="00202D67">
        <w:rPr>
          <w:color w:val="595959" w:themeColor="text1" w:themeTint="A6"/>
          <w:szCs w:val="24"/>
          <w:lang w:eastAsia="lt-LT"/>
        </w:rPr>
        <w:t>Žemės ūkio ministerijos</w:t>
      </w:r>
      <w:r w:rsidR="008568D7" w:rsidRPr="008568D7">
        <w:rPr>
          <w:color w:val="595959" w:themeColor="text1" w:themeTint="A6"/>
          <w:szCs w:val="24"/>
          <w:lang w:eastAsia="lt-LT"/>
        </w:rPr>
        <w:t>)</w:t>
      </w:r>
      <w:r w:rsidR="008568D7">
        <w:rPr>
          <w:color w:val="595959" w:themeColor="text1" w:themeTint="A6"/>
          <w:szCs w:val="24"/>
          <w:lang w:eastAsia="lt-LT"/>
        </w:rPr>
        <w:t>,</w:t>
      </w:r>
      <w:r w:rsidR="00202D67">
        <w:rPr>
          <w:color w:val="595959" w:themeColor="text1" w:themeTint="A6"/>
          <w:szCs w:val="24"/>
          <w:lang w:eastAsia="lt-LT"/>
        </w:rPr>
        <w:t xml:space="preserve"> </w:t>
      </w:r>
      <w:r w:rsidR="004501D3">
        <w:rPr>
          <w:color w:val="595959" w:themeColor="text1" w:themeTint="A6"/>
          <w:szCs w:val="24"/>
          <w:lang w:eastAsia="lt-LT"/>
        </w:rPr>
        <w:t xml:space="preserve">9 PP ministerijos tikslina pagal gautas pastabas, </w:t>
      </w:r>
      <w:r>
        <w:rPr>
          <w:color w:val="595959" w:themeColor="text1" w:themeTint="A6"/>
          <w:szCs w:val="24"/>
          <w:lang w:eastAsia="lt-LT"/>
        </w:rPr>
        <w:t xml:space="preserve">o </w:t>
      </w:r>
      <w:r w:rsidR="008568D7">
        <w:rPr>
          <w:color w:val="595959" w:themeColor="text1" w:themeTint="A6"/>
          <w:szCs w:val="24"/>
          <w:lang w:eastAsia="lt-LT"/>
        </w:rPr>
        <w:t xml:space="preserve">Regionų </w:t>
      </w:r>
      <w:r>
        <w:rPr>
          <w:color w:val="595959" w:themeColor="text1" w:themeTint="A6"/>
          <w:szCs w:val="24"/>
          <w:lang w:eastAsia="lt-LT"/>
        </w:rPr>
        <w:t>PP</w:t>
      </w:r>
      <w:r w:rsidR="00202D67">
        <w:rPr>
          <w:color w:val="595959" w:themeColor="text1" w:themeTint="A6"/>
          <w:szCs w:val="24"/>
          <w:lang w:eastAsia="lt-LT"/>
        </w:rPr>
        <w:t xml:space="preserve"> (V</w:t>
      </w:r>
      <w:r w:rsidR="008568D7">
        <w:rPr>
          <w:color w:val="595959" w:themeColor="text1" w:themeTint="A6"/>
          <w:szCs w:val="24"/>
          <w:lang w:eastAsia="lt-LT"/>
        </w:rPr>
        <w:t>idaus reikalų ministerijos) ir Finansų plėtros (Finansų ministerijos)</w:t>
      </w:r>
      <w:r>
        <w:rPr>
          <w:color w:val="595959" w:themeColor="text1" w:themeTint="A6"/>
          <w:szCs w:val="24"/>
          <w:lang w:eastAsia="lt-LT"/>
        </w:rPr>
        <w:t xml:space="preserve"> </w:t>
      </w:r>
      <w:r w:rsidR="00ED0452">
        <w:rPr>
          <w:color w:val="595959" w:themeColor="text1" w:themeTint="A6"/>
          <w:szCs w:val="24"/>
          <w:lang w:eastAsia="lt-LT"/>
        </w:rPr>
        <w:t xml:space="preserve">oficialiai </w:t>
      </w:r>
      <w:r>
        <w:rPr>
          <w:color w:val="595959" w:themeColor="text1" w:themeTint="A6"/>
          <w:szCs w:val="24"/>
          <w:lang w:eastAsia="lt-LT"/>
        </w:rPr>
        <w:t>nepateiktos Finansų ministerijos</w:t>
      </w:r>
      <w:r w:rsidR="00BD55AC">
        <w:rPr>
          <w:color w:val="595959" w:themeColor="text1" w:themeTint="A6"/>
          <w:szCs w:val="24"/>
          <w:lang w:eastAsia="lt-LT"/>
        </w:rPr>
        <w:t xml:space="preserve"> vertinimui.</w:t>
      </w:r>
    </w:p>
    <w:p w:rsidR="00303B08" w:rsidRPr="006658F1" w:rsidRDefault="002F622F" w:rsidP="00B40A07">
      <w:pPr>
        <w:ind w:firstLine="426"/>
        <w:jc w:val="both"/>
        <w:rPr>
          <w:color w:val="595959" w:themeColor="text1" w:themeTint="A6"/>
          <w:szCs w:val="24"/>
          <w:lang w:eastAsia="lt-LT"/>
        </w:rPr>
      </w:pPr>
      <w:r w:rsidRPr="006658F1">
        <w:rPr>
          <w:color w:val="595959" w:themeColor="text1" w:themeTint="A6"/>
          <w:szCs w:val="24"/>
          <w:lang w:eastAsia="lt-LT"/>
        </w:rPr>
        <w:t>Visa informacija, susijusi su naujojo laikotarpio Sanglaudos politikos investicijų programavimu, skelbiama internetinės svetainės skiltyje Pasirengimas 2021–2027 (https://www.esinvesticijos.lt/lt/pasirengimas-2021–2027), kuriame institucijos bei socialiniai–ekonominiai partneriai gali rasti visą koncentruotą, aktualią informaciją.</w:t>
      </w:r>
    </w:p>
    <w:p w:rsidR="00303B08" w:rsidRDefault="00303B08" w:rsidP="00303B08">
      <w:pPr>
        <w:rPr>
          <w:color w:val="595959" w:themeColor="text1" w:themeTint="A6"/>
          <w:szCs w:val="24"/>
          <w:lang w:eastAsia="lt-LT"/>
        </w:rPr>
      </w:pPr>
    </w:p>
    <w:p w:rsidR="004F7027" w:rsidRPr="006658F1" w:rsidRDefault="00B40A07" w:rsidP="00207261">
      <w:pPr>
        <w:pStyle w:val="Antrat1"/>
        <w:spacing w:before="0" w:after="0"/>
        <w:ind w:left="426" w:hanging="284"/>
        <w:rPr>
          <w:rFonts w:ascii="Times New Roman" w:hAnsi="Times New Roman" w:cs="Times New Roman"/>
          <w:sz w:val="24"/>
        </w:rPr>
      </w:pPr>
      <w:bookmarkStart w:id="35" w:name="_Toc86414521"/>
      <w:r w:rsidRPr="006658F1">
        <w:rPr>
          <w:rFonts w:ascii="Times New Roman" w:hAnsi="Times New Roman" w:cs="Times New Roman"/>
          <w:sz w:val="24"/>
        </w:rPr>
        <w:t>Finansinės priemonės</w:t>
      </w:r>
      <w:bookmarkEnd w:id="35"/>
    </w:p>
    <w:p w:rsidR="008A3F27" w:rsidRPr="006658F1" w:rsidRDefault="008A3F27" w:rsidP="008A3F27">
      <w:pPr>
        <w:jc w:val="both"/>
        <w:rPr>
          <w:color w:val="595959" w:themeColor="text1" w:themeTint="A6"/>
          <w:szCs w:val="24"/>
          <w:lang w:eastAsia="lt-LT"/>
        </w:rPr>
      </w:pPr>
    </w:p>
    <w:p w:rsidR="004143E2" w:rsidRPr="006658F1" w:rsidRDefault="004143E2" w:rsidP="004143E2">
      <w:pPr>
        <w:tabs>
          <w:tab w:val="left" w:pos="709"/>
        </w:tabs>
        <w:ind w:firstLine="426"/>
        <w:jc w:val="both"/>
        <w:rPr>
          <w:color w:val="595959" w:themeColor="text1" w:themeTint="A6"/>
          <w:szCs w:val="24"/>
          <w:lang w:eastAsia="lt-LT"/>
        </w:rPr>
      </w:pPr>
      <w:r w:rsidRPr="006658F1">
        <w:rPr>
          <w:color w:val="595959" w:themeColor="text1" w:themeTint="A6"/>
          <w:szCs w:val="24"/>
          <w:lang w:eastAsia="lt-LT"/>
        </w:rPr>
        <w:t xml:space="preserve">Investicijų tiek verslo, tiek ilgalaikiams projektams finansuoti trūkumas lemia žemą įmonių konkurencingumą, darbo našumą, produktyvumą ir inovacijų stoką. Siekiant augimo susiduriama su inovacijų skatinimo iššūkiais – pagrindinės priežastys, ribojančios šalies įmonių inovacinę veiklą, yra lėšų ir finansavimo šaltinių trūkumas ar per aukšta inovacijos kaina. Todėl siekiant pagerinti viešųjų paslaugų kokybę, būklę, prieinamumą, poveikį aplinkai bei užtikrinti ekonomiškai pagrįstą ir prieinamą kainą vartotojui ar mokesčių mokėtojui, reikia skatinti privačių investuotojų </w:t>
      </w:r>
      <w:r w:rsidRPr="006658F1">
        <w:rPr>
          <w:color w:val="595959" w:themeColor="text1" w:themeTint="A6"/>
          <w:szCs w:val="24"/>
          <w:lang w:eastAsia="lt-LT"/>
        </w:rPr>
        <w:lastRenderedPageBreak/>
        <w:t xml:space="preserve">įsitraukimą į </w:t>
      </w:r>
      <w:r w:rsidR="00D76105">
        <w:rPr>
          <w:color w:val="595959" w:themeColor="text1" w:themeTint="A6"/>
          <w:szCs w:val="24"/>
          <w:lang w:eastAsia="lt-LT"/>
        </w:rPr>
        <w:t xml:space="preserve">valstybei strategiškai svarbių, įskaitant </w:t>
      </w:r>
      <w:r w:rsidRPr="006658F1">
        <w:rPr>
          <w:color w:val="595959" w:themeColor="text1" w:themeTint="A6"/>
          <w:szCs w:val="24"/>
          <w:lang w:eastAsia="lt-LT"/>
        </w:rPr>
        <w:t>viešosios infrastruktūros</w:t>
      </w:r>
      <w:r w:rsidR="00D76105">
        <w:rPr>
          <w:color w:val="595959" w:themeColor="text1" w:themeTint="A6"/>
          <w:szCs w:val="24"/>
          <w:lang w:eastAsia="lt-LT"/>
        </w:rPr>
        <w:t>,</w:t>
      </w:r>
      <w:r w:rsidRPr="006658F1">
        <w:rPr>
          <w:color w:val="595959" w:themeColor="text1" w:themeTint="A6"/>
          <w:szCs w:val="24"/>
          <w:lang w:eastAsia="lt-LT"/>
        </w:rPr>
        <w:t xml:space="preserve"> projektų finansavimą, kas leistų sumažinti valstybės finansinę naštą ir padidinti paslaugų įvairovę ir apimtį. Finansinių priemonių įgyvendinimo tikslas yra ne didinti viešojo sektoriaus įsiskolinimus, bet pasidalinant riziką pritraukti privačių lėšų viešosios infrastruktūros plėtros</w:t>
      </w:r>
      <w:r w:rsidR="00D76105">
        <w:rPr>
          <w:color w:val="595959" w:themeColor="text1" w:themeTint="A6"/>
          <w:szCs w:val="24"/>
          <w:lang w:eastAsia="lt-LT"/>
        </w:rPr>
        <w:t>, verslo, energijos efektyvumo ir kt.</w:t>
      </w:r>
      <w:r w:rsidRPr="006658F1">
        <w:rPr>
          <w:color w:val="595959" w:themeColor="text1" w:themeTint="A6"/>
          <w:szCs w:val="24"/>
          <w:lang w:eastAsia="lt-LT"/>
        </w:rPr>
        <w:t xml:space="preserve"> pro</w:t>
      </w:r>
      <w:r>
        <w:rPr>
          <w:color w:val="595959" w:themeColor="text1" w:themeTint="A6"/>
          <w:szCs w:val="24"/>
          <w:lang w:eastAsia="lt-LT"/>
        </w:rPr>
        <w:t>jektų įgyvendinimui finansuoti.</w:t>
      </w:r>
    </w:p>
    <w:p w:rsidR="00090DEB" w:rsidRPr="006658F1" w:rsidRDefault="00090DEB" w:rsidP="004143E2">
      <w:pPr>
        <w:pStyle w:val="tekstas"/>
        <w:rPr>
          <w:rFonts w:ascii="Times New Roman" w:hAnsi="Times New Roman"/>
          <w:b/>
          <w:color w:val="595959" w:themeColor="text1" w:themeTint="A6"/>
          <w:lang w:eastAsia="lt-LT"/>
        </w:rPr>
      </w:pPr>
    </w:p>
    <w:p w:rsidR="004143E2" w:rsidRDefault="004143E2" w:rsidP="004143E2">
      <w:pPr>
        <w:pStyle w:val="tekstas"/>
        <w:jc w:val="center"/>
        <w:rPr>
          <w:rFonts w:ascii="Times New Roman" w:hAnsi="Times New Roman"/>
          <w:b/>
          <w:noProof/>
          <w:color w:val="365F91" w:themeColor="accent1" w:themeShade="BF"/>
        </w:rPr>
      </w:pPr>
      <w:r w:rsidRPr="004143E2">
        <w:rPr>
          <w:rFonts w:ascii="Times New Roman" w:hAnsi="Times New Roman"/>
          <w:b/>
          <w:noProof/>
          <w:color w:val="365F91" w:themeColor="accent1" w:themeShade="BF"/>
        </w:rPr>
        <w:t>1 pav. Finansinių priemonių privalumai</w:t>
      </w:r>
    </w:p>
    <w:p w:rsidR="004143E2" w:rsidRPr="004143E2" w:rsidRDefault="004143E2" w:rsidP="004143E2">
      <w:pPr>
        <w:pStyle w:val="tekstas"/>
        <w:jc w:val="center"/>
        <w:rPr>
          <w:rFonts w:ascii="Times New Roman" w:hAnsi="Times New Roman"/>
          <w:b/>
          <w:noProof/>
          <w:color w:val="365F91" w:themeColor="accent1" w:themeShade="BF"/>
        </w:rPr>
      </w:pPr>
    </w:p>
    <w:p w:rsidR="004143E2" w:rsidRDefault="004143E2" w:rsidP="004143E2">
      <w:pPr>
        <w:pStyle w:val="tekstas"/>
        <w:ind w:firstLine="0"/>
        <w:jc w:val="center"/>
        <w:rPr>
          <w:rFonts w:ascii="Times New Roman" w:hAnsi="Times New Roman"/>
          <w:b/>
          <w:color w:val="595959" w:themeColor="text1" w:themeTint="A6"/>
          <w:lang w:eastAsia="lt-LT"/>
        </w:rPr>
      </w:pPr>
      <w:r w:rsidRPr="006658F1">
        <w:rPr>
          <w:rFonts w:ascii="Times New Roman" w:hAnsi="Times New Roman"/>
          <w:noProof/>
          <w:lang w:eastAsia="lt-LT"/>
        </w:rPr>
        <w:drawing>
          <wp:inline distT="0" distB="0" distL="0" distR="0" wp14:anchorId="5B43FE4C" wp14:editId="5A7FA0AB">
            <wp:extent cx="5144507" cy="1658679"/>
            <wp:effectExtent l="0" t="0" r="0"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44507" cy="1658679"/>
                    </a:xfrm>
                    <a:prstGeom prst="rect">
                      <a:avLst/>
                    </a:prstGeom>
                  </pic:spPr>
                </pic:pic>
              </a:graphicData>
            </a:graphic>
          </wp:inline>
        </w:drawing>
      </w:r>
    </w:p>
    <w:p w:rsidR="004143E2" w:rsidRPr="0087081D" w:rsidRDefault="004143E2" w:rsidP="0087081D">
      <w:pPr>
        <w:pStyle w:val="tekstas"/>
        <w:ind w:firstLine="0"/>
        <w:jc w:val="left"/>
        <w:rPr>
          <w:rFonts w:ascii="Times New Roman" w:hAnsi="Times New Roman"/>
          <w:color w:val="595959" w:themeColor="text1" w:themeTint="A6"/>
          <w:lang w:eastAsia="lt-LT"/>
        </w:rPr>
      </w:pP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b/>
          <w:color w:val="595959" w:themeColor="text1" w:themeTint="A6"/>
          <w:lang w:eastAsia="lt-LT"/>
        </w:rPr>
        <w:t>Pagrindinis finansinių priemonių privalumas</w:t>
      </w:r>
      <w:r w:rsidR="004501D3">
        <w:rPr>
          <w:rFonts w:ascii="Times New Roman" w:hAnsi="Times New Roman"/>
          <w:b/>
          <w:color w:val="595959" w:themeColor="text1" w:themeTint="A6"/>
          <w:lang w:eastAsia="lt-LT"/>
        </w:rPr>
        <w:t xml:space="preserve"> </w:t>
      </w:r>
      <w:r w:rsidR="004501D3" w:rsidRPr="006658F1">
        <w:rPr>
          <w:color w:val="595959" w:themeColor="text1" w:themeTint="A6"/>
          <w:lang w:eastAsia="lt-LT"/>
        </w:rPr>
        <w:t>–</w:t>
      </w:r>
      <w:r w:rsidRPr="006658F1">
        <w:rPr>
          <w:rFonts w:ascii="Times New Roman" w:hAnsi="Times New Roman"/>
          <w:b/>
          <w:color w:val="595959" w:themeColor="text1" w:themeTint="A6"/>
          <w:lang w:eastAsia="lt-LT"/>
        </w:rPr>
        <w:t xml:space="preserve"> investuotojų ir privačių lėšų pritraukimas. </w:t>
      </w:r>
      <w:r w:rsidRPr="006658F1">
        <w:rPr>
          <w:rFonts w:ascii="Times New Roman" w:hAnsi="Times New Roman"/>
          <w:color w:val="595959" w:themeColor="text1" w:themeTint="A6"/>
          <w:lang w:eastAsia="lt-LT"/>
        </w:rPr>
        <w:t xml:space="preserve">Įgyvendindami finansines priemones sprendžiame finansavimo rinkos sąlygomis nepakankamumo ir (ar) </w:t>
      </w:r>
      <w:proofErr w:type="spellStart"/>
      <w:r w:rsidRPr="006658F1">
        <w:rPr>
          <w:rFonts w:ascii="Times New Roman" w:hAnsi="Times New Roman"/>
          <w:color w:val="595959" w:themeColor="text1" w:themeTint="A6"/>
          <w:lang w:eastAsia="lt-LT"/>
        </w:rPr>
        <w:t>neoptimalumo</w:t>
      </w:r>
      <w:proofErr w:type="spellEnd"/>
      <w:r w:rsidRPr="006658F1">
        <w:rPr>
          <w:rFonts w:ascii="Times New Roman" w:hAnsi="Times New Roman"/>
          <w:color w:val="595959" w:themeColor="text1" w:themeTint="A6"/>
          <w:lang w:eastAsia="lt-LT"/>
        </w:rPr>
        <w:t xml:space="preserve"> įvairiose srityse klausimus, kai finansiškai gyvybingiems (finansinę grąžą, pelną duodantiems arba atsiperkantiems) projektams neįmanoma gauti finansavimo rinkos sąlygomis </w:t>
      </w:r>
      <w:proofErr w:type="gramStart"/>
      <w:r w:rsidRPr="006658F1">
        <w:rPr>
          <w:rFonts w:ascii="Times New Roman" w:hAnsi="Times New Roman"/>
          <w:color w:val="595959" w:themeColor="text1" w:themeTint="A6"/>
          <w:lang w:eastAsia="lt-LT"/>
        </w:rPr>
        <w:t>(</w:t>
      </w:r>
      <w:proofErr w:type="gramEnd"/>
      <w:r w:rsidRPr="006658F1">
        <w:rPr>
          <w:rFonts w:ascii="Times New Roman" w:hAnsi="Times New Roman"/>
          <w:color w:val="595959" w:themeColor="text1" w:themeTint="A6"/>
          <w:lang w:eastAsia="lt-LT"/>
        </w:rPr>
        <w:t>pavyzdžiui, kredito įstaigos atsisako teikti paslaugas viešiesiems subjektams dėl jų turimų per didelių įsipareigojimų ar per ilgo projektų atsipirkimo laikotarpio, arba vengiama investuoti į mažai žinomas sritis, kai yra mažai duomenų apie projektų finansinį gyvybingumą, todėl investavimo rizika vertinama kaip ypač aukšta) arba finansavimo sąlygos yra nepriimtinos (, trumpas kredito įstaigos paskolos grąžinimo laikotarpis</w:t>
      </w:r>
      <w:r w:rsidR="004501D3">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nepalankios palūkanos</w:t>
      </w:r>
      <w:r w:rsidR="004501D3">
        <w:rPr>
          <w:rFonts w:ascii="Times New Roman" w:hAnsi="Times New Roman"/>
          <w:color w:val="595959" w:themeColor="text1" w:themeTint="A6"/>
          <w:lang w:eastAsia="lt-LT"/>
        </w:rPr>
        <w:t xml:space="preserve"> ir pan.</w:t>
      </w:r>
      <w:r w:rsidRPr="006658F1">
        <w:rPr>
          <w:rFonts w:ascii="Times New Roman" w:hAnsi="Times New Roman"/>
          <w:color w:val="595959" w:themeColor="text1" w:themeTint="A6"/>
          <w:lang w:eastAsia="lt-LT"/>
        </w:rPr>
        <w:t>). Įgyvendinant finansines priemones</w:t>
      </w:r>
      <w:r w:rsidR="004501D3">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valstybė gali prisiimti didesnę investavimo riziką ir (arba) sutikti su mažesne ar itin ilgo laikotarpio investicine grąža nei rinkos investuotojai ir tokiu būdu dalindamasi rizika su privačiais investuotojais pritraukia privačias lėšas. </w:t>
      </w:r>
    </w:p>
    <w:p w:rsidR="004143E2" w:rsidRPr="006658F1" w:rsidRDefault="004143E2" w:rsidP="004143E2">
      <w:pPr>
        <w:pStyle w:val="tekstas"/>
        <w:rPr>
          <w:rFonts w:ascii="Times New Roman" w:hAnsi="Times New Roman"/>
          <w:b/>
          <w:color w:val="595959" w:themeColor="text1" w:themeTint="A6"/>
          <w:lang w:eastAsia="lt-LT"/>
        </w:rPr>
      </w:pPr>
      <w:r w:rsidRPr="006658F1">
        <w:rPr>
          <w:rFonts w:ascii="Times New Roman" w:hAnsi="Times New Roman"/>
          <w:color w:val="595959" w:themeColor="text1" w:themeTint="A6"/>
          <w:lang w:eastAsia="lt-LT"/>
        </w:rPr>
        <w:t xml:space="preserve">Europos šalių praktika rodo, kad </w:t>
      </w:r>
      <w:r w:rsidRPr="006658F1">
        <w:rPr>
          <w:rFonts w:ascii="Times New Roman" w:hAnsi="Times New Roman"/>
          <w:b/>
          <w:color w:val="595959" w:themeColor="text1" w:themeTint="A6"/>
          <w:lang w:eastAsia="lt-LT"/>
        </w:rPr>
        <w:t>investicijos</w:t>
      </w:r>
      <w:r w:rsidRPr="006658F1">
        <w:rPr>
          <w:rFonts w:ascii="Times New Roman" w:hAnsi="Times New Roman"/>
          <w:color w:val="595959" w:themeColor="text1" w:themeTint="A6"/>
          <w:lang w:eastAsia="lt-LT"/>
        </w:rPr>
        <w:t xml:space="preserve"> </w:t>
      </w:r>
      <w:r w:rsidRPr="006658F1">
        <w:rPr>
          <w:rFonts w:ascii="Times New Roman" w:hAnsi="Times New Roman"/>
          <w:b/>
          <w:color w:val="595959" w:themeColor="text1" w:themeTint="A6"/>
          <w:lang w:eastAsia="lt-LT"/>
        </w:rPr>
        <w:t>sukurtuose fonduose multiplikuojamos ir gali didėti 3–6 kartus</w:t>
      </w:r>
      <w:r w:rsidRPr="006658F1">
        <w:rPr>
          <w:rFonts w:ascii="Times New Roman" w:hAnsi="Times New Roman"/>
          <w:color w:val="595959" w:themeColor="text1" w:themeTint="A6"/>
          <w:lang w:eastAsia="lt-LT"/>
        </w:rPr>
        <w:t xml:space="preserve">. Valstybei finansinės priemonės suteikia galimybę įgyvendinti svarbius projektus turint ribotus viešuosius finansinius išteklius ir patenkinti didelį investicijų poreikį. Tai itin aktualu Lietuvai siekiant </w:t>
      </w:r>
      <w:r>
        <w:rPr>
          <w:rFonts w:ascii="Times New Roman" w:hAnsi="Times New Roman"/>
          <w:color w:val="595959" w:themeColor="text1" w:themeTint="A6"/>
          <w:lang w:eastAsia="lt-LT"/>
        </w:rPr>
        <w:t>mažinti priklausomybę</w:t>
      </w:r>
      <w:r w:rsidRPr="006658F1">
        <w:rPr>
          <w:rFonts w:ascii="Times New Roman" w:hAnsi="Times New Roman"/>
          <w:color w:val="595959" w:themeColor="text1" w:themeTint="A6"/>
          <w:lang w:eastAsia="lt-LT"/>
        </w:rPr>
        <w:t xml:space="preserve"> nuo ES finansavimo.</w:t>
      </w: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b/>
          <w:color w:val="595959" w:themeColor="text1" w:themeTint="A6"/>
          <w:lang w:eastAsia="lt-LT"/>
        </w:rPr>
        <w:t>Dar vienas finansinių priemonių privalumas – tęstinumas</w:t>
      </w:r>
      <w:r w:rsidRPr="006658F1">
        <w:rPr>
          <w:rFonts w:ascii="Times New Roman" w:hAnsi="Times New Roman"/>
          <w:color w:val="595959" w:themeColor="text1" w:themeTint="A6"/>
          <w:lang w:eastAsia="lt-LT"/>
        </w:rPr>
        <w:t xml:space="preserve">, nes paskolintos ar investuotos lėšos sugrįžta ir yra investuojamos kelis kartus. Grįžtančios ir grįžusios lėšos toliau naudojamos kuriant naujas priemones verslui, daugiabučių namų renovacijai ir kt. projektams, neskiriant papildomų valstybės biudžeto lėšų. Taip sukuriami </w:t>
      </w:r>
      <w:r w:rsidRPr="006658F1">
        <w:rPr>
          <w:rFonts w:ascii="Times New Roman" w:hAnsi="Times New Roman"/>
          <w:b/>
          <w:color w:val="595959" w:themeColor="text1" w:themeTint="A6"/>
          <w:lang w:eastAsia="lt-LT"/>
        </w:rPr>
        <w:t>ilgalaikiai finansavimo mechanizmai</w:t>
      </w:r>
      <w:r w:rsidRPr="006658F1">
        <w:rPr>
          <w:rFonts w:ascii="Times New Roman" w:hAnsi="Times New Roman"/>
          <w:color w:val="595959" w:themeColor="text1" w:themeTint="A6"/>
          <w:lang w:eastAsia="lt-LT"/>
        </w:rPr>
        <w:t>. Pažymėtina, kad finansinės priemonės – paskolos, garantijos, investicijos į įmonių kapitalą neiškreipia konkurencijos tarp įmonių, o suteikia galimybę didesniam skaičiui viešojo sektoriaus ir verslo ar žemės ūkio subjektų gauti reikalingą finansavimą, sumažina investicijų kainą, skatina naujų darbo vietų kūrimą ir jų išlaikymą, taip pat bendrojo vidaus produkto augimą. Svarbu pastebėti, kad įgyvendinant finansines priemones keičiamas požiūris į investavimą.  Lietuvos praktika parodė, kad finansinių priemonių atveju projektų biudžetai yra optimalūs, ženkliai mažesni, nei subsidijų atveju, todėl, kad finansinių priemonių atveju finansavimas turi būti grąžinamas.</w:t>
      </w: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Iš 2007–2013 m. ES struktūrinių fondų per finansines priemones investuotos ir grįžusios lėšos jau naudojamos kuriant naujas finansines priemones ir taip didinamos valstybės investicijos valstybei svarbiose srityse neskiriant naujų resursų iš valstybės biudžeto. </w:t>
      </w:r>
    </w:p>
    <w:p w:rsidR="004143E2"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2021 m. </w:t>
      </w:r>
      <w:r w:rsidR="00D76105" w:rsidRPr="006658F1">
        <w:rPr>
          <w:rFonts w:ascii="Times New Roman" w:hAnsi="Times New Roman"/>
          <w:color w:val="595959" w:themeColor="text1" w:themeTint="A6"/>
          <w:lang w:eastAsia="lt-LT"/>
        </w:rPr>
        <w:t xml:space="preserve">ESTEP </w:t>
      </w:r>
      <w:r w:rsidRPr="006658F1">
        <w:rPr>
          <w:rFonts w:ascii="Times New Roman" w:hAnsi="Times New Roman"/>
          <w:color w:val="595959" w:themeColor="text1" w:themeTint="A6"/>
          <w:lang w:eastAsia="lt-LT"/>
        </w:rPr>
        <w:t xml:space="preserve">atliktas Finansinių instrumentų panaudojimo, investuojant ES fondų lėšas, poveikio vertinimas parodė, kad </w:t>
      </w:r>
      <w:r w:rsidRPr="006658F1">
        <w:rPr>
          <w:rFonts w:ascii="Times New Roman" w:hAnsi="Times New Roman"/>
          <w:b/>
          <w:color w:val="595959" w:themeColor="text1" w:themeTint="A6"/>
          <w:lang w:eastAsia="lt-LT"/>
        </w:rPr>
        <w:t>2007–2020 m. įgyvendinant finansines pri</w:t>
      </w:r>
      <w:r>
        <w:rPr>
          <w:rFonts w:ascii="Times New Roman" w:hAnsi="Times New Roman"/>
          <w:b/>
          <w:color w:val="595959" w:themeColor="text1" w:themeTint="A6"/>
          <w:lang w:eastAsia="lt-LT"/>
        </w:rPr>
        <w:t xml:space="preserve">emones buvo sutelkta </w:t>
      </w:r>
      <w:r>
        <w:rPr>
          <w:rFonts w:ascii="Times New Roman" w:hAnsi="Times New Roman"/>
          <w:b/>
          <w:color w:val="595959" w:themeColor="text1" w:themeTint="A6"/>
          <w:lang w:eastAsia="lt-LT"/>
        </w:rPr>
        <w:lastRenderedPageBreak/>
        <w:t>5,1 mlrd. e</w:t>
      </w:r>
      <w:r w:rsidRPr="006658F1">
        <w:rPr>
          <w:rFonts w:ascii="Times New Roman" w:hAnsi="Times New Roman"/>
          <w:b/>
          <w:color w:val="595959" w:themeColor="text1" w:themeTint="A6"/>
          <w:lang w:eastAsia="lt-LT"/>
        </w:rPr>
        <w:t>urų lėšų</w:t>
      </w:r>
      <w:r>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iš jų viešojo finansavimo dalis (ES fondų ir valstybės biudžeto lėšos) – 3 mlrd. </w:t>
      </w:r>
      <w:r>
        <w:rPr>
          <w:rFonts w:ascii="Times New Roman" w:hAnsi="Times New Roman"/>
          <w:color w:val="595959" w:themeColor="text1" w:themeTint="A6"/>
          <w:lang w:eastAsia="lt-LT"/>
        </w:rPr>
        <w:t>eurų</w:t>
      </w:r>
      <w:r w:rsidRPr="006658F1">
        <w:rPr>
          <w:rFonts w:ascii="Times New Roman" w:hAnsi="Times New Roman"/>
          <w:color w:val="595959" w:themeColor="text1" w:themeTint="A6"/>
          <w:lang w:eastAsia="lt-LT"/>
        </w:rPr>
        <w:t xml:space="preserve"> </w:t>
      </w:r>
      <w:proofErr w:type="gramStart"/>
      <w:r w:rsidRPr="006658F1">
        <w:rPr>
          <w:rFonts w:ascii="Times New Roman" w:hAnsi="Times New Roman"/>
          <w:color w:val="595959" w:themeColor="text1" w:themeTint="A6"/>
          <w:lang w:eastAsia="lt-LT"/>
        </w:rPr>
        <w:t>(</w:t>
      </w:r>
      <w:proofErr w:type="gramEnd"/>
      <w:r w:rsidRPr="006658F1">
        <w:rPr>
          <w:rFonts w:ascii="Times New Roman" w:hAnsi="Times New Roman"/>
          <w:color w:val="595959" w:themeColor="text1" w:themeTint="A6"/>
          <w:lang w:eastAsia="lt-LT"/>
        </w:rPr>
        <w:t>60 proc.), o privataus kapitalo lėšos – 2,</w:t>
      </w:r>
      <w:r w:rsidR="00E02BB3">
        <w:rPr>
          <w:rFonts w:ascii="Times New Roman" w:hAnsi="Times New Roman"/>
          <w:color w:val="595959" w:themeColor="text1" w:themeTint="A6"/>
          <w:lang w:eastAsia="lt-LT"/>
        </w:rPr>
        <w:t>1</w:t>
      </w:r>
      <w:r w:rsidRPr="006658F1">
        <w:rPr>
          <w:rFonts w:ascii="Times New Roman" w:hAnsi="Times New Roman"/>
          <w:color w:val="595959" w:themeColor="text1" w:themeTint="A6"/>
          <w:lang w:eastAsia="lt-LT"/>
        </w:rPr>
        <w:t xml:space="preserve"> mlrd. </w:t>
      </w:r>
      <w:r>
        <w:rPr>
          <w:rFonts w:ascii="Times New Roman" w:hAnsi="Times New Roman"/>
          <w:color w:val="595959" w:themeColor="text1" w:themeTint="A6"/>
          <w:lang w:eastAsia="lt-LT"/>
        </w:rPr>
        <w:t>eurų</w:t>
      </w:r>
      <w:r w:rsidRPr="006658F1">
        <w:rPr>
          <w:rFonts w:ascii="Times New Roman" w:hAnsi="Times New Roman"/>
          <w:color w:val="595959" w:themeColor="text1" w:themeTint="A6"/>
          <w:lang w:eastAsia="lt-LT"/>
        </w:rPr>
        <w:t xml:space="preserve"> (40 proc</w:t>
      </w:r>
      <w:r>
        <w:rPr>
          <w:rFonts w:ascii="Times New Roman" w:hAnsi="Times New Roman"/>
          <w:color w:val="595959" w:themeColor="text1" w:themeTint="A6"/>
          <w:lang w:eastAsia="lt-LT"/>
        </w:rPr>
        <w:t>.).</w:t>
      </w:r>
      <w:r w:rsidR="00E02BB3">
        <w:rPr>
          <w:rFonts w:ascii="Times New Roman" w:hAnsi="Times New Roman"/>
          <w:color w:val="595959" w:themeColor="text1" w:themeTint="A6"/>
          <w:lang w:eastAsia="lt-LT"/>
        </w:rPr>
        <w:t xml:space="preserve"> </w:t>
      </w:r>
    </w:p>
    <w:p w:rsidR="004143E2" w:rsidRDefault="004143E2" w:rsidP="004143E2">
      <w:pPr>
        <w:pStyle w:val="tekstas"/>
        <w:rPr>
          <w:rFonts w:ascii="Times New Roman" w:hAnsi="Times New Roman"/>
          <w:color w:val="595959" w:themeColor="text1" w:themeTint="A6"/>
          <w:lang w:eastAsia="lt-LT"/>
        </w:rPr>
      </w:pPr>
    </w:p>
    <w:p w:rsidR="004143E2" w:rsidRPr="006658F1" w:rsidRDefault="004143E2" w:rsidP="004143E2">
      <w:pPr>
        <w:pStyle w:val="tekstas"/>
        <w:jc w:val="center"/>
        <w:rPr>
          <w:rFonts w:ascii="Times New Roman" w:hAnsi="Times New Roman"/>
          <w:b/>
          <w:color w:val="595959" w:themeColor="text1" w:themeTint="A6"/>
          <w:lang w:eastAsia="lt-LT"/>
        </w:rPr>
      </w:pPr>
      <w:r>
        <w:rPr>
          <w:rFonts w:ascii="Times New Roman" w:hAnsi="Times New Roman"/>
          <w:b/>
          <w:noProof/>
          <w:color w:val="365F91" w:themeColor="accent1" w:themeShade="BF"/>
        </w:rPr>
        <w:t>5 grafikas. Finansinių instrumentų panaudojimo 2007</w:t>
      </w:r>
      <w:r w:rsidRPr="006658F1">
        <w:rPr>
          <w:rFonts w:ascii="Times New Roman" w:hAnsi="Times New Roman"/>
          <w:b/>
          <w:noProof/>
          <w:color w:val="365F91" w:themeColor="accent1" w:themeShade="BF"/>
        </w:rPr>
        <w:t xml:space="preserve">–2020 </w:t>
      </w:r>
      <w:r>
        <w:rPr>
          <w:rFonts w:ascii="Times New Roman" w:hAnsi="Times New Roman"/>
          <w:b/>
          <w:noProof/>
          <w:color w:val="365F91" w:themeColor="accent1" w:themeShade="BF"/>
        </w:rPr>
        <w:t>m. poveikis</w:t>
      </w:r>
    </w:p>
    <w:p w:rsidR="004143E2" w:rsidRPr="006658F1" w:rsidRDefault="004143E2" w:rsidP="004143E2">
      <w:pPr>
        <w:pStyle w:val="tekstas"/>
        <w:ind w:firstLine="0"/>
        <w:rPr>
          <w:rFonts w:ascii="Times New Roman" w:hAnsi="Times New Roman"/>
          <w:color w:val="595959" w:themeColor="text1" w:themeTint="A6"/>
          <w:lang w:eastAsia="lt-LT"/>
        </w:rPr>
      </w:pP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noProof/>
          <w:lang w:eastAsia="lt-LT"/>
        </w:rPr>
        <w:drawing>
          <wp:inline distT="0" distB="0" distL="0" distR="0" wp14:anchorId="6D43B202" wp14:editId="5910FA86">
            <wp:extent cx="5358809" cy="2915583"/>
            <wp:effectExtent l="0" t="0" r="0" b="0"/>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355114" cy="2913573"/>
                    </a:xfrm>
                    <a:prstGeom prst="rect">
                      <a:avLst/>
                    </a:prstGeom>
                  </pic:spPr>
                </pic:pic>
              </a:graphicData>
            </a:graphic>
          </wp:inline>
        </w:drawing>
      </w:r>
    </w:p>
    <w:p w:rsidR="004143E2" w:rsidRPr="006658F1" w:rsidRDefault="004143E2" w:rsidP="004143E2">
      <w:pPr>
        <w:pStyle w:val="tekstas"/>
        <w:rPr>
          <w:rFonts w:ascii="Times New Roman" w:hAnsi="Times New Roman"/>
          <w:color w:val="595959" w:themeColor="text1" w:themeTint="A6"/>
          <w:lang w:eastAsia="lt-LT"/>
        </w:rPr>
      </w:pP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Finansinės priemonės </w:t>
      </w:r>
      <w:r w:rsidR="00D76105">
        <w:rPr>
          <w:rFonts w:ascii="Times New Roman" w:hAnsi="Times New Roman"/>
          <w:color w:val="595959" w:themeColor="text1" w:themeTint="A6"/>
          <w:lang w:eastAsia="lt-LT"/>
        </w:rPr>
        <w:t xml:space="preserve">įgyvendinamos </w:t>
      </w:r>
      <w:r w:rsidRPr="006658F1">
        <w:rPr>
          <w:rFonts w:ascii="Times New Roman" w:hAnsi="Times New Roman"/>
          <w:color w:val="595959" w:themeColor="text1" w:themeTint="A6"/>
          <w:lang w:eastAsia="lt-LT"/>
        </w:rPr>
        <w:t>tais atvejais, kai finansuojamos finansiškai gyvybingos investicijos, kurioms (dar) nepritraukiama pakankamai rinkos finansavimo. Priimant sprendimą dėl finansinės priemonės diegimo pajamų generavimas arba išlaidų sutaupymas yra pagrindinė sąlyga tam, kad galutiniai naudos gavėjai galėtų grąžinti gautas lėšas. Remiantis Europos Komisija</w:t>
      </w:r>
      <w:r w:rsidRPr="006658F1">
        <w:rPr>
          <w:rFonts w:ascii="Times New Roman" w:hAnsi="Times New Roman"/>
          <w:color w:val="595959" w:themeColor="text1" w:themeTint="A6"/>
          <w:vertAlign w:val="superscript"/>
          <w:lang w:eastAsia="lt-LT"/>
        </w:rPr>
        <w:footnoteReference w:id="2"/>
      </w:r>
      <w:r w:rsidRPr="006658F1">
        <w:rPr>
          <w:rFonts w:ascii="Times New Roman" w:hAnsi="Times New Roman"/>
          <w:color w:val="595959" w:themeColor="text1" w:themeTint="A6"/>
          <w:lang w:eastAsia="lt-LT"/>
        </w:rPr>
        <w:t>, finansinės priemonės visų pirma tinkamos, kai reikia:</w:t>
      </w:r>
    </w:p>
    <w:p w:rsidR="004143E2" w:rsidRPr="006658F1" w:rsidRDefault="004143E2" w:rsidP="004143E2">
      <w:pPr>
        <w:pStyle w:val="tekstas"/>
        <w:numPr>
          <w:ilvl w:val="0"/>
          <w:numId w:val="39"/>
        </w:numPr>
        <w:tabs>
          <w:tab w:val="left" w:pos="426"/>
        </w:tabs>
        <w:ind w:left="0" w:firstLine="0"/>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didinti privataus sektoriaus gebėjimą užtikrinti augimą, kurti darbo vietas, skatinti socialinę </w:t>
      </w:r>
      <w:proofErr w:type="spellStart"/>
      <w:r w:rsidRPr="006658F1">
        <w:rPr>
          <w:rFonts w:ascii="Times New Roman" w:hAnsi="Times New Roman"/>
          <w:color w:val="595959" w:themeColor="text1" w:themeTint="A6"/>
          <w:lang w:eastAsia="lt-LT"/>
        </w:rPr>
        <w:t>įtrauktį</w:t>
      </w:r>
      <w:proofErr w:type="spellEnd"/>
      <w:r w:rsidRPr="006658F1">
        <w:rPr>
          <w:rFonts w:ascii="Times New Roman" w:hAnsi="Times New Roman"/>
          <w:color w:val="595959" w:themeColor="text1" w:themeTint="A6"/>
          <w:lang w:eastAsia="lt-LT"/>
        </w:rPr>
        <w:t xml:space="preserve"> ir (arba) inovacijas, visų pirma remiant veiklą pradedančias įmones, MVĮ, socialines įmones, investicijas į žmogiškąjį kapitalą, mokslinių tyrimų įstaigas, verslo ir (arba) mokslo parkus, žinių ir (arba) technologijų perdavimą arba investicijas į intelektinės nuosavybės teises;</w:t>
      </w:r>
    </w:p>
    <w:p w:rsidR="004143E2" w:rsidRPr="006658F1" w:rsidRDefault="004143E2" w:rsidP="004143E2">
      <w:pPr>
        <w:pStyle w:val="tekstas"/>
        <w:numPr>
          <w:ilvl w:val="0"/>
          <w:numId w:val="39"/>
        </w:numPr>
        <w:tabs>
          <w:tab w:val="left" w:pos="426"/>
        </w:tabs>
        <w:ind w:left="0" w:firstLine="0"/>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kurti infrastruktūrą su numatytu pajamų srautu, panaudojant tinkamas finansavimo struktūras (pvz., viešojo ir privačiojo sektorių partnerystę) tokiose srityse kaip transportas, energetika ir skaitmeninė infrastruktūra;</w:t>
      </w:r>
    </w:p>
    <w:p w:rsidR="004143E2" w:rsidRDefault="004143E2" w:rsidP="004143E2">
      <w:pPr>
        <w:pStyle w:val="tekstas"/>
        <w:numPr>
          <w:ilvl w:val="0"/>
          <w:numId w:val="39"/>
        </w:numPr>
        <w:tabs>
          <w:tab w:val="left" w:pos="426"/>
        </w:tabs>
        <w:ind w:left="0" w:firstLine="0"/>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remti mechanizmus, kurie padeda sutelkti privačias priemones, kad būtų vykdomos viešosios funkcijos, tokios kaip klimato ir aplinkos apsauga.</w:t>
      </w:r>
    </w:p>
    <w:p w:rsidR="00E02BB3" w:rsidRDefault="00E02BB3" w:rsidP="00E90976">
      <w:pPr>
        <w:pStyle w:val="tekstas"/>
        <w:tabs>
          <w:tab w:val="left" w:pos="426"/>
        </w:tabs>
        <w:rPr>
          <w:rFonts w:ascii="Times New Roman" w:eastAsia="MS Mincho" w:hAnsi="Times New Roman"/>
        </w:rPr>
      </w:pPr>
      <w:r>
        <w:rPr>
          <w:rFonts w:ascii="Times New Roman" w:eastAsia="MS Mincho" w:hAnsi="Times New Roman"/>
        </w:rPr>
        <w:t xml:space="preserve">Kadangi </w:t>
      </w:r>
      <w:r w:rsidRPr="00C11BC4">
        <w:rPr>
          <w:rFonts w:ascii="Times New Roman" w:eastAsia="MS Mincho" w:hAnsi="Times New Roman"/>
        </w:rPr>
        <w:t>finansinės priemonės kaip pagalbos forma yra nukreipta į gyvybingas, pajam</w:t>
      </w:r>
      <w:r>
        <w:rPr>
          <w:rFonts w:ascii="Times New Roman" w:eastAsia="MS Mincho" w:hAnsi="Times New Roman"/>
        </w:rPr>
        <w:t>as generuojančias investicijas (priešingai nei subsidijos),</w:t>
      </w:r>
      <w:r w:rsidRPr="00C11BC4">
        <w:rPr>
          <w:rFonts w:ascii="Times New Roman" w:eastAsia="MS Mincho" w:hAnsi="Times New Roman"/>
        </w:rPr>
        <w:t xml:space="preserve"> jų poveikis pridėtinės vertės augimui yra </w:t>
      </w:r>
      <w:proofErr w:type="gramStart"/>
      <w:r w:rsidRPr="00C11BC4">
        <w:rPr>
          <w:rFonts w:ascii="Times New Roman" w:eastAsia="MS Mincho" w:hAnsi="Times New Roman"/>
        </w:rPr>
        <w:t>žymiai</w:t>
      </w:r>
      <w:proofErr w:type="gramEnd"/>
      <w:r w:rsidRPr="00C11BC4">
        <w:rPr>
          <w:rFonts w:ascii="Times New Roman" w:eastAsia="MS Mincho" w:hAnsi="Times New Roman"/>
        </w:rPr>
        <w:t xml:space="preserve"> didesnis</w:t>
      </w:r>
      <w:r>
        <w:rPr>
          <w:rFonts w:ascii="Times New Roman" w:eastAsia="MS Mincho" w:hAnsi="Times New Roman"/>
        </w:rPr>
        <w:t>.</w:t>
      </w:r>
      <w:r w:rsidRPr="00C11BC4">
        <w:rPr>
          <w:rFonts w:ascii="Times New Roman" w:eastAsia="MS Mincho" w:hAnsi="Times New Roman"/>
        </w:rPr>
        <w:t xml:space="preserve"> Lyginant finansines priemones pagal ekonominio efektyvumo koeficientą, kuris apskaičiuotas, kaip santykis tarp viešojo finansavimo ir papildomai sukurto BVP, buvo nustatyta, kad finansinių priemonių efektyvumo koeficientas intervencijų vykdymo metu yra beveik perpus aukštesnis (siekia 2,6), o pratęsus poveikio prognozę iki 2030 m. – dvigubai didesnis (5), lyginant su atitinkamais subsidijų koeficientais. </w:t>
      </w:r>
    </w:p>
    <w:p w:rsidR="0093794B" w:rsidRPr="006658F1" w:rsidRDefault="0093794B" w:rsidP="00E90976">
      <w:pPr>
        <w:pStyle w:val="tekstas"/>
        <w:tabs>
          <w:tab w:val="left" w:pos="426"/>
        </w:tabs>
        <w:rPr>
          <w:rFonts w:ascii="Times New Roman" w:hAnsi="Times New Roman"/>
          <w:color w:val="595959" w:themeColor="text1" w:themeTint="A6"/>
          <w:lang w:eastAsia="lt-LT"/>
        </w:rPr>
      </w:pPr>
      <w:r w:rsidRPr="0084774F">
        <w:rPr>
          <w:rFonts w:ascii="Times New Roman" w:eastAsia="MS Mincho" w:hAnsi="Times New Roman"/>
        </w:rPr>
        <w:t xml:space="preserve">Taikant </w:t>
      </w:r>
      <w:proofErr w:type="spellStart"/>
      <w:r w:rsidRPr="0084774F">
        <w:rPr>
          <w:rFonts w:ascii="Times New Roman" w:eastAsia="MS Mincho" w:hAnsi="Times New Roman"/>
        </w:rPr>
        <w:t>makroekonometrinį</w:t>
      </w:r>
      <w:proofErr w:type="spellEnd"/>
      <w:r w:rsidRPr="0084774F">
        <w:rPr>
          <w:rFonts w:ascii="Times New Roman" w:eastAsia="MS Mincho" w:hAnsi="Times New Roman"/>
        </w:rPr>
        <w:t xml:space="preserve"> modeliavimą ir įvertinus tiesioginius bei netiesioginius nagrinėjamų finansinių priemonių efektus Lietuvos ekonomikai buvo apskaičiuota, kad per 2009–2020 m. laikotarpį buvo sukurta beveik 9 mlrd. </w:t>
      </w:r>
      <w:proofErr w:type="spellStart"/>
      <w:r w:rsidRPr="0084774F">
        <w:rPr>
          <w:rFonts w:ascii="Times New Roman" w:eastAsia="MS Mincho" w:hAnsi="Times New Roman"/>
        </w:rPr>
        <w:t>Eur</w:t>
      </w:r>
      <w:proofErr w:type="spellEnd"/>
      <w:r w:rsidRPr="0084774F">
        <w:rPr>
          <w:rFonts w:ascii="Times New Roman" w:eastAsia="MS Mincho" w:hAnsi="Times New Roman"/>
        </w:rPr>
        <w:t xml:space="preserve"> papildomo BVP nominaliąja išraiška, o pratęsus poveikio prognozę iki 2030 m. suminis priemonių efektas BVP per 2009–2030 m. viršys 17 mlrd. </w:t>
      </w:r>
      <w:proofErr w:type="spellStart"/>
      <w:r w:rsidRPr="0084774F">
        <w:rPr>
          <w:rFonts w:ascii="Times New Roman" w:eastAsia="MS Mincho" w:hAnsi="Times New Roman"/>
        </w:rPr>
        <w:lastRenderedPageBreak/>
        <w:t>Eur</w:t>
      </w:r>
      <w:proofErr w:type="spellEnd"/>
      <w:r w:rsidRPr="0084774F">
        <w:rPr>
          <w:rFonts w:ascii="Times New Roman" w:eastAsia="MS Mincho" w:hAnsi="Times New Roman"/>
        </w:rPr>
        <w:t>. Šie įvertinimai leidžia teigti, kad 2009–2020 m. laikotarpiu finansinės priemonės lėmė vidutiniškai 1,9 proc. didesnį šalies metinį nominalaus BVP augimą, lyginant su scenarijumi be finansinių priemonių.</w:t>
      </w: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Jau nuo 2008 m. Lietuva sėkmingai investuoja finansinių priemonių forma daugiabučių namų renovavimo, </w:t>
      </w:r>
      <w:r w:rsidR="00335991">
        <w:rPr>
          <w:rFonts w:ascii="Times New Roman" w:hAnsi="Times New Roman"/>
          <w:color w:val="595959" w:themeColor="text1" w:themeTint="A6"/>
          <w:lang w:eastAsia="lt-LT"/>
        </w:rPr>
        <w:t>smulkiojo ir vidutinio verslo (</w:t>
      </w:r>
      <w:r w:rsidRPr="006658F1">
        <w:rPr>
          <w:rFonts w:ascii="Times New Roman" w:hAnsi="Times New Roman"/>
          <w:color w:val="595959" w:themeColor="text1" w:themeTint="A6"/>
          <w:lang w:eastAsia="lt-LT"/>
        </w:rPr>
        <w:t>SVV</w:t>
      </w:r>
      <w:r w:rsidR="00335991">
        <w:rPr>
          <w:rFonts w:ascii="Times New Roman" w:hAnsi="Times New Roman"/>
          <w:color w:val="595959" w:themeColor="text1" w:themeTint="A6"/>
          <w:lang w:eastAsia="lt-LT"/>
        </w:rPr>
        <w:t>)</w:t>
      </w:r>
      <w:r w:rsidRPr="006658F1">
        <w:rPr>
          <w:rFonts w:ascii="Times New Roman" w:hAnsi="Times New Roman"/>
          <w:color w:val="595959" w:themeColor="text1" w:themeTint="A6"/>
          <w:lang w:eastAsia="lt-LT"/>
        </w:rPr>
        <w:t xml:space="preserve"> veiklos pradžios, vystymo ir plėtros srityse. 2007–2013 m. programavimo periodu įsteigti 5 fondai, kuriems skirta 443 mln. eurų, o tai sudaro 7 proc. Lietuvai skirtos ES struktūrinių fondų sumos, ir pritraukta 510 mln. eurų privačių lėšų. </w:t>
      </w:r>
    </w:p>
    <w:p w:rsidR="004143E2" w:rsidRPr="006658F1" w:rsidRDefault="004143E2" w:rsidP="004143E2">
      <w:pPr>
        <w:pStyle w:val="tekstas"/>
        <w:rPr>
          <w:rFonts w:ascii="Times New Roman" w:hAnsi="Times New Roman"/>
          <w:color w:val="595959" w:themeColor="text1" w:themeTint="A6"/>
          <w:lang w:eastAsia="lt-LT"/>
        </w:rPr>
      </w:pPr>
    </w:p>
    <w:p w:rsidR="004143E2" w:rsidRDefault="004143E2" w:rsidP="004143E2">
      <w:pPr>
        <w:pStyle w:val="tekstas"/>
        <w:jc w:val="center"/>
        <w:rPr>
          <w:rFonts w:ascii="Times New Roman" w:hAnsi="Times New Roman"/>
          <w:b/>
          <w:noProof/>
          <w:color w:val="365F91" w:themeColor="accent1" w:themeShade="BF"/>
        </w:rPr>
      </w:pPr>
      <w:r>
        <w:rPr>
          <w:rFonts w:ascii="Times New Roman" w:hAnsi="Times New Roman"/>
          <w:b/>
          <w:noProof/>
          <w:color w:val="365F91" w:themeColor="accent1" w:themeShade="BF"/>
        </w:rPr>
        <w:t>2</w:t>
      </w:r>
      <w:r w:rsidRPr="004143E2">
        <w:rPr>
          <w:rFonts w:ascii="Times New Roman" w:hAnsi="Times New Roman"/>
          <w:b/>
          <w:noProof/>
          <w:color w:val="365F91" w:themeColor="accent1" w:themeShade="BF"/>
        </w:rPr>
        <w:t xml:space="preserve"> pav. 2007–2013 m. įsteigti fondai</w:t>
      </w:r>
    </w:p>
    <w:p w:rsidR="004143E2" w:rsidRPr="004143E2" w:rsidRDefault="004143E2" w:rsidP="004143E2">
      <w:pPr>
        <w:pStyle w:val="tekstas"/>
        <w:jc w:val="center"/>
        <w:rPr>
          <w:rFonts w:ascii="Times New Roman" w:hAnsi="Times New Roman"/>
          <w:b/>
          <w:noProof/>
          <w:color w:val="365F91" w:themeColor="accent1" w:themeShade="BF"/>
        </w:rPr>
      </w:pPr>
    </w:p>
    <w:p w:rsidR="004143E2" w:rsidRDefault="004143E2" w:rsidP="004143E2">
      <w:pPr>
        <w:pStyle w:val="tekstas"/>
        <w:ind w:firstLine="0"/>
        <w:rPr>
          <w:rFonts w:ascii="Times New Roman" w:hAnsi="Times New Roman"/>
          <w:color w:val="595959" w:themeColor="text1" w:themeTint="A6"/>
          <w:lang w:eastAsia="lt-LT"/>
        </w:rPr>
      </w:pPr>
      <w:r w:rsidRPr="006658F1">
        <w:rPr>
          <w:rFonts w:ascii="Times New Roman" w:hAnsi="Times New Roman"/>
          <w:noProof/>
          <w:color w:val="595959" w:themeColor="text1" w:themeTint="A6"/>
          <w:lang w:eastAsia="lt-LT"/>
        </w:rPr>
        <w:drawing>
          <wp:inline distT="0" distB="0" distL="0" distR="0" wp14:anchorId="7B67D3FF" wp14:editId="593CDE5D">
            <wp:extent cx="6120130" cy="2977515"/>
            <wp:effectExtent l="57150" t="76200" r="33020" b="89535"/>
            <wp:docPr id="39" name="Diagrama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4143E2" w:rsidRPr="006658F1" w:rsidRDefault="004143E2" w:rsidP="004143E2">
      <w:pPr>
        <w:pStyle w:val="tekstas"/>
        <w:ind w:firstLine="0"/>
        <w:rPr>
          <w:rFonts w:ascii="Times New Roman" w:hAnsi="Times New Roman"/>
          <w:color w:val="595959" w:themeColor="text1" w:themeTint="A6"/>
          <w:lang w:eastAsia="lt-LT"/>
        </w:rPr>
      </w:pPr>
    </w:p>
    <w:p w:rsidR="004143E2" w:rsidRPr="006658F1"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Nuo 2015 m. finansinių priemonių įgyvendinimas buvo plečiamas į naujas sritis, tokias kaip centrinės valdžios ir viešųjų pastatų atnaujinimo didinant energijos vartojimo efektyvumą, vandentvarkos, kultūros paveldo aktualizavimo, transporto sektoriaus ir kt. srityse. </w:t>
      </w:r>
      <w:r w:rsidR="00D76105">
        <w:rPr>
          <w:rFonts w:ascii="Times New Roman" w:hAnsi="Times New Roman"/>
          <w:color w:val="595959" w:themeColor="text1" w:themeTint="A6"/>
          <w:lang w:eastAsia="lt-LT"/>
        </w:rPr>
        <w:t xml:space="preserve">Šiuo periodu buvo skatinama pereiti nuo </w:t>
      </w:r>
      <w:proofErr w:type="spellStart"/>
      <w:r w:rsidR="00D76105">
        <w:rPr>
          <w:rFonts w:ascii="Times New Roman" w:hAnsi="Times New Roman"/>
          <w:color w:val="595959" w:themeColor="text1" w:themeTint="A6"/>
          <w:lang w:eastAsia="lt-LT"/>
        </w:rPr>
        <w:t>subsidinio</w:t>
      </w:r>
      <w:proofErr w:type="spellEnd"/>
      <w:r w:rsidR="00D76105">
        <w:rPr>
          <w:rFonts w:ascii="Times New Roman" w:hAnsi="Times New Roman"/>
          <w:color w:val="595959" w:themeColor="text1" w:themeTint="A6"/>
          <w:lang w:eastAsia="lt-LT"/>
        </w:rPr>
        <w:t xml:space="preserve"> finansavimo prie finansinių priemonių tose srityse, kurios tradiciškai anksčiau buvo finansuojamos subsidijų forma, tačiau buvo nustatytos finansiškai gyvybingos ar sutaupymus generuojančios veiklos</w:t>
      </w:r>
      <w:r w:rsidR="00456588">
        <w:rPr>
          <w:rFonts w:ascii="Times New Roman" w:hAnsi="Times New Roman"/>
          <w:color w:val="595959" w:themeColor="text1" w:themeTint="A6"/>
          <w:lang w:eastAsia="lt-LT"/>
        </w:rPr>
        <w:t>, pvz., viešųjų pastatų renovacija, vandentvarkos, kultūros paveldo objektų aktualizavimo projektai ir pan.</w:t>
      </w:r>
    </w:p>
    <w:p w:rsidR="000C6F14" w:rsidRPr="006658F1" w:rsidRDefault="00D76105" w:rsidP="000C6F14">
      <w:pPr>
        <w:autoSpaceDE w:val="0"/>
        <w:autoSpaceDN w:val="0"/>
        <w:adjustRightInd w:val="0"/>
        <w:ind w:firstLine="426"/>
        <w:jc w:val="both"/>
        <w:rPr>
          <w:color w:val="666666"/>
          <w:szCs w:val="24"/>
        </w:rPr>
      </w:pPr>
      <w:r>
        <w:rPr>
          <w:color w:val="666666"/>
          <w:szCs w:val="24"/>
        </w:rPr>
        <w:t>20</w:t>
      </w:r>
      <w:r w:rsidR="000C6F14" w:rsidRPr="006658F1">
        <w:rPr>
          <w:color w:val="666666"/>
          <w:szCs w:val="24"/>
        </w:rPr>
        <w:t xml:space="preserve">14–2020 m. </w:t>
      </w:r>
      <w:r w:rsidR="000C6F14">
        <w:rPr>
          <w:color w:val="666666"/>
          <w:szCs w:val="24"/>
        </w:rPr>
        <w:t xml:space="preserve">programavimo </w:t>
      </w:r>
      <w:r w:rsidR="000C6F14" w:rsidRPr="006658F1">
        <w:rPr>
          <w:color w:val="666666"/>
          <w:szCs w:val="24"/>
        </w:rPr>
        <w:t>laikotarpiu</w:t>
      </w:r>
      <w:r w:rsidR="000C6F14">
        <w:rPr>
          <w:color w:val="666666"/>
          <w:szCs w:val="24"/>
        </w:rPr>
        <w:t xml:space="preserve"> (apima iki 2024 m.)</w:t>
      </w:r>
      <w:r w:rsidR="000C6F14" w:rsidRPr="006658F1">
        <w:rPr>
          <w:color w:val="666666"/>
          <w:szCs w:val="24"/>
        </w:rPr>
        <w:t xml:space="preserve"> </w:t>
      </w:r>
      <w:r w:rsidR="000C6F14">
        <w:rPr>
          <w:color w:val="666666"/>
          <w:szCs w:val="24"/>
        </w:rPr>
        <w:t xml:space="preserve">atliekant išankstinius vertinimus </w:t>
      </w:r>
      <w:r w:rsidR="000C6F14" w:rsidRPr="006658F1">
        <w:rPr>
          <w:color w:val="666666"/>
          <w:szCs w:val="24"/>
        </w:rPr>
        <w:t xml:space="preserve">nustatytas finansavimo poreikis: </w:t>
      </w:r>
    </w:p>
    <w:p w:rsidR="000C6F14" w:rsidRPr="000112E5" w:rsidRDefault="000C6F14" w:rsidP="000C6F14">
      <w:pPr>
        <w:pStyle w:val="Sraopastraipa"/>
        <w:numPr>
          <w:ilvl w:val="0"/>
          <w:numId w:val="45"/>
        </w:numPr>
        <w:autoSpaceDE w:val="0"/>
        <w:autoSpaceDN w:val="0"/>
        <w:adjustRightInd w:val="0"/>
        <w:spacing w:after="0" w:line="240" w:lineRule="auto"/>
        <w:jc w:val="both"/>
        <w:rPr>
          <w:rFonts w:ascii="Times New Roman" w:eastAsia="Times New Roman" w:hAnsi="Times New Roman"/>
          <w:color w:val="666666"/>
          <w:sz w:val="24"/>
          <w:szCs w:val="24"/>
        </w:rPr>
      </w:pPr>
      <w:r w:rsidRPr="000C6F14">
        <w:rPr>
          <w:rFonts w:ascii="Times New Roman" w:eastAsia="Times New Roman" w:hAnsi="Times New Roman"/>
          <w:color w:val="666666"/>
          <w:sz w:val="24"/>
          <w:szCs w:val="24"/>
        </w:rPr>
        <w:t>SVV finansavimo poreikis – 614,45 mln. eurų, tačiau, atsižvelgiant į susidariusią situaciją rinkoje dėl COVID-19 pandemijos gali siekti 1 044,57 mln. eurų;</w:t>
      </w:r>
    </w:p>
    <w:p w:rsidR="004143E2" w:rsidRPr="006658F1" w:rsidRDefault="004143E2" w:rsidP="004143E2">
      <w:pPr>
        <w:pStyle w:val="Sraopastraipa"/>
        <w:numPr>
          <w:ilvl w:val="0"/>
          <w:numId w:val="45"/>
        </w:numPr>
        <w:autoSpaceDE w:val="0"/>
        <w:autoSpaceDN w:val="0"/>
        <w:adjustRightInd w:val="0"/>
        <w:spacing w:after="0" w:line="240" w:lineRule="auto"/>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Individualių garantijų – 675 mln. eurų;</w:t>
      </w:r>
    </w:p>
    <w:p w:rsidR="004143E2" w:rsidRPr="006658F1" w:rsidRDefault="004143E2" w:rsidP="004143E2">
      <w:pPr>
        <w:pStyle w:val="Sraopastraipa"/>
        <w:numPr>
          <w:ilvl w:val="0"/>
          <w:numId w:val="45"/>
        </w:numPr>
        <w:autoSpaceDE w:val="0"/>
        <w:autoSpaceDN w:val="0"/>
        <w:adjustRightInd w:val="0"/>
        <w:spacing w:after="0" w:line="240" w:lineRule="auto"/>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MTEPI – 756 mln. eurų;</w:t>
      </w:r>
    </w:p>
    <w:p w:rsidR="004143E2" w:rsidRPr="006658F1" w:rsidRDefault="004143E2" w:rsidP="004143E2">
      <w:pPr>
        <w:pStyle w:val="Sraopastraipa"/>
        <w:numPr>
          <w:ilvl w:val="0"/>
          <w:numId w:val="45"/>
        </w:numPr>
        <w:autoSpaceDE w:val="0"/>
        <w:autoSpaceDN w:val="0"/>
        <w:adjustRightInd w:val="0"/>
        <w:spacing w:after="0" w:line="240" w:lineRule="auto"/>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 xml:space="preserve">Socialiniam verslui </w:t>
      </w:r>
      <w:r>
        <w:rPr>
          <w:rFonts w:ascii="Times New Roman" w:eastAsia="Times New Roman" w:hAnsi="Times New Roman"/>
          <w:color w:val="666666"/>
          <w:sz w:val="24"/>
          <w:szCs w:val="24"/>
        </w:rPr>
        <w:t xml:space="preserve">vystyti </w:t>
      </w:r>
      <w:r w:rsidRPr="006658F1">
        <w:rPr>
          <w:rFonts w:ascii="Times New Roman" w:eastAsia="Times New Roman" w:hAnsi="Times New Roman"/>
          <w:color w:val="666666"/>
          <w:sz w:val="24"/>
          <w:szCs w:val="24"/>
        </w:rPr>
        <w:t>– 800 tūkst. eurų;</w:t>
      </w:r>
    </w:p>
    <w:p w:rsidR="004143E2" w:rsidRPr="006658F1" w:rsidRDefault="004143E2" w:rsidP="004143E2">
      <w:pPr>
        <w:pStyle w:val="Sraopastraipa"/>
        <w:numPr>
          <w:ilvl w:val="0"/>
          <w:numId w:val="45"/>
        </w:numPr>
        <w:autoSpaceDE w:val="0"/>
        <w:autoSpaceDN w:val="0"/>
        <w:adjustRightInd w:val="0"/>
        <w:spacing w:after="0" w:line="240" w:lineRule="auto"/>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 xml:space="preserve">Viešųjų pastatų </w:t>
      </w:r>
      <w:r>
        <w:rPr>
          <w:rFonts w:ascii="Times New Roman" w:eastAsia="Times New Roman" w:hAnsi="Times New Roman"/>
          <w:color w:val="666666"/>
          <w:sz w:val="24"/>
          <w:szCs w:val="24"/>
        </w:rPr>
        <w:t>modernizavimui</w:t>
      </w:r>
      <w:r w:rsidRPr="006658F1">
        <w:rPr>
          <w:rFonts w:ascii="Times New Roman" w:eastAsia="Times New Roman" w:hAnsi="Times New Roman"/>
          <w:color w:val="666666"/>
          <w:sz w:val="24"/>
          <w:szCs w:val="24"/>
        </w:rPr>
        <w:t>– 700 mln. eurų;</w:t>
      </w:r>
    </w:p>
    <w:p w:rsidR="004143E2" w:rsidRPr="006658F1" w:rsidRDefault="004143E2" w:rsidP="004143E2">
      <w:pPr>
        <w:pStyle w:val="Sraopastraipa"/>
        <w:numPr>
          <w:ilvl w:val="0"/>
          <w:numId w:val="45"/>
        </w:numPr>
        <w:autoSpaceDE w:val="0"/>
        <w:autoSpaceDN w:val="0"/>
        <w:adjustRightInd w:val="0"/>
        <w:spacing w:after="0" w:line="240" w:lineRule="auto"/>
        <w:jc w:val="both"/>
        <w:rPr>
          <w:rFonts w:ascii="Times New Roman" w:hAnsi="Times New Roman"/>
          <w:color w:val="595959" w:themeColor="text1" w:themeTint="A6"/>
          <w:lang w:eastAsia="lt-LT"/>
        </w:rPr>
      </w:pPr>
      <w:r w:rsidRPr="006658F1">
        <w:rPr>
          <w:rFonts w:ascii="Times New Roman" w:eastAsia="Times New Roman" w:hAnsi="Times New Roman"/>
          <w:color w:val="666666"/>
          <w:sz w:val="24"/>
          <w:szCs w:val="24"/>
        </w:rPr>
        <w:t>Daugiabučių namų modernizavimui – 1 357 mln. eurų.</w:t>
      </w:r>
    </w:p>
    <w:p w:rsidR="00B128E0" w:rsidRDefault="00B128E0" w:rsidP="00B128E0">
      <w:pPr>
        <w:pStyle w:val="tekstas"/>
        <w:rPr>
          <w:rFonts w:ascii="Times New Roman" w:hAnsi="Times New Roman"/>
          <w:color w:val="595959" w:themeColor="text1" w:themeTint="A6"/>
          <w:lang w:eastAsia="lt-LT"/>
        </w:rPr>
      </w:pPr>
    </w:p>
    <w:p w:rsidR="00B128E0" w:rsidRDefault="00B128E0" w:rsidP="00B128E0">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2014–2020 m. programavimo periodu įsteigta 10 fondų, kuriems skirta daugiau nei 628 mln. eurų ir tai sudaro apie 10 proc. visos Lietuvai skirtos ES struktūrinių fondų sumos ir pritraukta daugiau nei 1,1 mlrd. eurų privačių lėšų. Įgyvendinant finansines priemones pritraukta daugiau nei 1 mlrd. eurų privataus kapitalo, o grįžusios ar grįšiančios lėšos toliau skiriamos naujoms investicijoms. 2009–2020 m. bendra galutinius naudos gavėjus (juridinius ir fizinius asmenis) per </w:t>
      </w:r>
      <w:r w:rsidRPr="006658F1">
        <w:rPr>
          <w:rFonts w:ascii="Times New Roman" w:hAnsi="Times New Roman"/>
          <w:color w:val="595959" w:themeColor="text1" w:themeTint="A6"/>
          <w:lang w:eastAsia="lt-LT"/>
        </w:rPr>
        <w:lastRenderedPageBreak/>
        <w:t>finansines priemones pasiekusi suma sudaro 4,18 mlrd. eurų. (Infrastruktūros sektorius, privatus sektorius, Žemės ūkio ir maisto pramonės sektorius). Į šią sumą įskaičiuotos ir finansinėms priemonėms įgyvendinti pritraukto privataus kapitalo lėšos.</w:t>
      </w:r>
    </w:p>
    <w:p w:rsidR="00D205AD" w:rsidRPr="006658F1" w:rsidRDefault="00D205AD" w:rsidP="00B128E0">
      <w:pPr>
        <w:pStyle w:val="tekstas"/>
        <w:rPr>
          <w:rFonts w:ascii="Times New Roman" w:hAnsi="Times New Roman"/>
          <w:color w:val="595959" w:themeColor="text1" w:themeTint="A6"/>
          <w:lang w:eastAsia="lt-LT"/>
        </w:rPr>
      </w:pPr>
    </w:p>
    <w:p w:rsidR="0087081D" w:rsidRDefault="0087081D" w:rsidP="0087081D">
      <w:pPr>
        <w:autoSpaceDE w:val="0"/>
        <w:autoSpaceDN w:val="0"/>
        <w:adjustRightInd w:val="0"/>
        <w:ind w:firstLine="426"/>
        <w:jc w:val="center"/>
        <w:rPr>
          <w:b/>
          <w:color w:val="595959" w:themeColor="text1" w:themeTint="A6"/>
          <w:lang w:eastAsia="lt-LT"/>
        </w:rPr>
      </w:pPr>
      <w:r>
        <w:rPr>
          <w:b/>
          <w:noProof/>
          <w:color w:val="365F91" w:themeColor="accent1" w:themeShade="BF"/>
        </w:rPr>
        <w:t>3</w:t>
      </w:r>
      <w:r w:rsidRPr="004143E2">
        <w:rPr>
          <w:b/>
          <w:noProof/>
          <w:color w:val="365F91" w:themeColor="accent1" w:themeShade="BF"/>
        </w:rPr>
        <w:t xml:space="preserve"> pav. </w:t>
      </w:r>
      <w:r>
        <w:rPr>
          <w:b/>
          <w:noProof/>
          <w:color w:val="365F91" w:themeColor="accent1" w:themeShade="BF"/>
        </w:rPr>
        <w:t>2014</w:t>
      </w:r>
      <w:r w:rsidRPr="0087081D">
        <w:rPr>
          <w:b/>
          <w:noProof/>
          <w:color w:val="365F91" w:themeColor="accent1" w:themeShade="BF"/>
        </w:rPr>
        <w:t>–2020 m. įsteigti fondai</w:t>
      </w:r>
    </w:p>
    <w:p w:rsidR="0087081D" w:rsidRPr="006658F1" w:rsidRDefault="0087081D" w:rsidP="0087081D">
      <w:pPr>
        <w:pStyle w:val="tekstas"/>
        <w:rPr>
          <w:rFonts w:ascii="Times New Roman" w:hAnsi="Times New Roman"/>
          <w:b/>
          <w:color w:val="595959" w:themeColor="text1" w:themeTint="A6"/>
          <w:lang w:eastAsia="lt-LT"/>
        </w:rPr>
      </w:pPr>
    </w:p>
    <w:p w:rsidR="0087081D" w:rsidRPr="006658F1" w:rsidRDefault="0087081D" w:rsidP="0087081D">
      <w:pPr>
        <w:pStyle w:val="tekstas"/>
        <w:ind w:firstLine="0"/>
        <w:rPr>
          <w:rFonts w:ascii="Times New Roman" w:hAnsi="Times New Roman"/>
          <w:b/>
          <w:color w:val="595959" w:themeColor="text1" w:themeTint="A6"/>
          <w:lang w:eastAsia="lt-LT"/>
        </w:rPr>
      </w:pPr>
      <w:r w:rsidRPr="006658F1">
        <w:rPr>
          <w:rFonts w:ascii="Times New Roman" w:hAnsi="Times New Roman"/>
          <w:noProof/>
          <w:lang w:eastAsia="lt-LT"/>
        </w:rPr>
        <w:drawing>
          <wp:inline distT="0" distB="0" distL="0" distR="0" wp14:anchorId="0F2B7206" wp14:editId="10C21AA9">
            <wp:extent cx="6120130" cy="2915285"/>
            <wp:effectExtent l="0" t="0" r="0" b="0"/>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120130" cy="2915285"/>
                    </a:xfrm>
                    <a:prstGeom prst="rect">
                      <a:avLst/>
                    </a:prstGeom>
                  </pic:spPr>
                </pic:pic>
              </a:graphicData>
            </a:graphic>
          </wp:inline>
        </w:drawing>
      </w:r>
    </w:p>
    <w:p w:rsidR="0087081D" w:rsidRPr="006658F1" w:rsidRDefault="0087081D" w:rsidP="0087081D">
      <w:pPr>
        <w:pStyle w:val="tekstas"/>
        <w:rPr>
          <w:rFonts w:ascii="Times New Roman" w:hAnsi="Times New Roman"/>
          <w:color w:val="595959" w:themeColor="text1" w:themeTint="A6"/>
          <w:lang w:eastAsia="lt-LT"/>
        </w:rPr>
      </w:pPr>
    </w:p>
    <w:p w:rsidR="0087081D" w:rsidRPr="006658F1" w:rsidRDefault="0087081D" w:rsidP="0087081D">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t xml:space="preserve">2014–2020 m. programavimo periodu išduota apie 2000 paskolų daugiabučių renovacijai, pasirašyta apie 90 paskolos sutarčių dėl centrinės valdžios ir savivaldybių pastatų renovacijos, 5 paskolų sutartys dėl kultūros paveldo objektų aktualizavimo, 20 paskolų sutarčių vandentvarkos srityje, CO2 sumažinta 143 667 T, suteikta 2659 paskolų/garantijų SVV, atlikta 116 investicijų į rizikos kapitalą. </w:t>
      </w:r>
    </w:p>
    <w:p w:rsidR="0087081D" w:rsidRDefault="0087081D" w:rsidP="004143E2">
      <w:pPr>
        <w:autoSpaceDE w:val="0"/>
        <w:autoSpaceDN w:val="0"/>
        <w:adjustRightInd w:val="0"/>
        <w:ind w:firstLine="426"/>
        <w:jc w:val="both"/>
        <w:rPr>
          <w:b/>
          <w:color w:val="595959" w:themeColor="text1" w:themeTint="A6"/>
          <w:lang w:eastAsia="lt-LT"/>
        </w:rPr>
      </w:pPr>
    </w:p>
    <w:p w:rsidR="004143E2" w:rsidRPr="006658F1" w:rsidRDefault="0087081D" w:rsidP="004143E2">
      <w:pPr>
        <w:pStyle w:val="tekstas"/>
        <w:jc w:val="center"/>
        <w:rPr>
          <w:rFonts w:ascii="Times New Roman" w:hAnsi="Times New Roman"/>
          <w:b/>
          <w:color w:val="595959" w:themeColor="text1" w:themeTint="A6"/>
          <w:lang w:eastAsia="lt-LT"/>
        </w:rPr>
      </w:pPr>
      <w:r>
        <w:rPr>
          <w:rFonts w:ascii="Times New Roman" w:hAnsi="Times New Roman"/>
          <w:b/>
          <w:noProof/>
          <w:color w:val="365F91" w:themeColor="accent1" w:themeShade="BF"/>
        </w:rPr>
        <w:t>6</w:t>
      </w:r>
      <w:r w:rsidR="004143E2" w:rsidRPr="006658F1">
        <w:rPr>
          <w:rFonts w:ascii="Times New Roman" w:hAnsi="Times New Roman"/>
          <w:b/>
          <w:noProof/>
          <w:color w:val="365F91" w:themeColor="accent1" w:themeShade="BF"/>
        </w:rPr>
        <w:t xml:space="preserve"> grafikas. 2014–2020 pasiekti rodikliai taikant finansines priemones</w:t>
      </w:r>
    </w:p>
    <w:p w:rsidR="004143E2" w:rsidRPr="006658F1" w:rsidRDefault="004143E2" w:rsidP="004143E2">
      <w:pPr>
        <w:pStyle w:val="tekstas"/>
        <w:ind w:firstLine="0"/>
        <w:rPr>
          <w:rFonts w:ascii="Times New Roman" w:hAnsi="Times New Roman"/>
          <w:color w:val="595959" w:themeColor="text1" w:themeTint="A6"/>
          <w:lang w:eastAsia="lt-LT"/>
        </w:rPr>
      </w:pPr>
    </w:p>
    <w:p w:rsidR="004143E2" w:rsidRPr="006658F1" w:rsidRDefault="004143E2" w:rsidP="004143E2">
      <w:pPr>
        <w:pStyle w:val="tekstas"/>
        <w:ind w:firstLine="0"/>
        <w:jc w:val="center"/>
        <w:rPr>
          <w:rFonts w:ascii="Times New Roman" w:hAnsi="Times New Roman"/>
          <w:i/>
          <w:color w:val="595959" w:themeColor="text1" w:themeTint="A6"/>
          <w:lang w:eastAsia="lt-LT"/>
        </w:rPr>
      </w:pPr>
      <w:r>
        <w:rPr>
          <w:noProof/>
          <w:lang w:eastAsia="lt-LT"/>
        </w:rPr>
        <w:drawing>
          <wp:inline distT="0" distB="0" distL="0" distR="0" wp14:anchorId="01858E01" wp14:editId="7BA57036">
            <wp:extent cx="5348176" cy="3115340"/>
            <wp:effectExtent l="0" t="0" r="24130" b="27940"/>
            <wp:docPr id="17" name="Diagrama 17" title="2014–2020 pasiekti rodikliai"/>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143E2" w:rsidRPr="006658F1" w:rsidRDefault="004143E2" w:rsidP="004143E2">
      <w:pPr>
        <w:pStyle w:val="tekstas"/>
        <w:ind w:firstLine="0"/>
        <w:rPr>
          <w:rFonts w:ascii="Times New Roman" w:hAnsi="Times New Roman"/>
          <w:color w:val="595959" w:themeColor="text1" w:themeTint="A6"/>
          <w:lang w:eastAsia="lt-LT"/>
        </w:rPr>
      </w:pPr>
    </w:p>
    <w:p w:rsidR="004143E2" w:rsidRDefault="004143E2" w:rsidP="004143E2">
      <w:pPr>
        <w:pStyle w:val="tekstas"/>
        <w:rPr>
          <w:rFonts w:ascii="Times New Roman" w:hAnsi="Times New Roman"/>
          <w:color w:val="595959" w:themeColor="text1" w:themeTint="A6"/>
          <w:lang w:eastAsia="lt-LT"/>
        </w:rPr>
      </w:pPr>
      <w:r w:rsidRPr="006658F1">
        <w:rPr>
          <w:rFonts w:ascii="Times New Roman" w:hAnsi="Times New Roman"/>
          <w:color w:val="595959" w:themeColor="text1" w:themeTint="A6"/>
          <w:lang w:eastAsia="lt-LT"/>
        </w:rPr>
        <w:lastRenderedPageBreak/>
        <w:t>Populiariausias per fondus teikiamas finansinis produktas – paskolos (61 proc.), garantijos (25 proc.) ir rizikos kapitalo investicijos (14 proc.).</w:t>
      </w:r>
    </w:p>
    <w:p w:rsidR="00456588" w:rsidRDefault="00456588" w:rsidP="0087081D">
      <w:pPr>
        <w:pStyle w:val="tekstas"/>
        <w:jc w:val="center"/>
        <w:rPr>
          <w:rFonts w:ascii="Times New Roman" w:hAnsi="Times New Roman"/>
          <w:b/>
          <w:color w:val="595959" w:themeColor="text1" w:themeTint="A6"/>
          <w:lang w:eastAsia="lt-LT"/>
        </w:rPr>
      </w:pPr>
    </w:p>
    <w:p w:rsidR="004143E2" w:rsidRPr="00387245" w:rsidRDefault="004143E2" w:rsidP="0087081D">
      <w:pPr>
        <w:pStyle w:val="tekstas"/>
        <w:jc w:val="center"/>
        <w:rPr>
          <w:rFonts w:ascii="Times New Roman" w:hAnsi="Times New Roman"/>
          <w:b/>
          <w:color w:val="595959" w:themeColor="text1" w:themeTint="A6"/>
          <w:lang w:eastAsia="lt-LT"/>
        </w:rPr>
      </w:pPr>
      <w:r w:rsidRPr="00387245">
        <w:rPr>
          <w:rFonts w:ascii="Times New Roman" w:hAnsi="Times New Roman"/>
          <w:b/>
          <w:color w:val="595959" w:themeColor="text1" w:themeTint="A6"/>
          <w:lang w:eastAsia="lt-LT"/>
        </w:rPr>
        <w:t>Nacionalinės plėtros įstaigos</w:t>
      </w:r>
    </w:p>
    <w:p w:rsidR="004143E2" w:rsidRPr="006658F1" w:rsidRDefault="004143E2" w:rsidP="0087081D">
      <w:pPr>
        <w:pStyle w:val="tekstas"/>
        <w:ind w:firstLine="0"/>
        <w:rPr>
          <w:rFonts w:ascii="Times New Roman" w:hAnsi="Times New Roman"/>
          <w:color w:val="595959" w:themeColor="text1" w:themeTint="A6"/>
          <w:lang w:eastAsia="lt-LT"/>
        </w:rPr>
      </w:pPr>
    </w:p>
    <w:p w:rsidR="004143E2" w:rsidRDefault="004143E2" w:rsidP="004143E2">
      <w:pPr>
        <w:pStyle w:val="tekstas"/>
        <w:rPr>
          <w:rFonts w:ascii="Times New Roman" w:hAnsi="Times New Roman"/>
        </w:rPr>
      </w:pPr>
      <w:r w:rsidRPr="006658F1">
        <w:rPr>
          <w:rFonts w:ascii="Times New Roman" w:hAnsi="Times New Roman"/>
          <w:color w:val="595959" w:themeColor="text1" w:themeTint="A6"/>
          <w:lang w:eastAsia="lt-LT"/>
        </w:rPr>
        <w:t xml:space="preserve">Finansines priemones Lietuvoje įgyvendina nacionalinės plėtros įstaigos (NPĮ) – UAB „Investicijų ir verslo garantijos“, UAB Viešųjų investicijų plėtros agentūra, UAB Valstybės investicijų valdymo agentūra, UAB Žemės ūkio paskolų garantijų fondas arba tarptautinė finansų institucija Europos investicijų bankas (EIB). Siekiant </w:t>
      </w:r>
      <w:r w:rsidRPr="006658F1">
        <w:rPr>
          <w:rFonts w:ascii="Times New Roman" w:hAnsi="Times New Roman"/>
        </w:rPr>
        <w:t xml:space="preserve">plėsti finansinių priemonių įgyvendinimą rinkos nepakankamumui/ </w:t>
      </w:r>
      <w:proofErr w:type="spellStart"/>
      <w:r w:rsidRPr="006658F1">
        <w:rPr>
          <w:rFonts w:ascii="Times New Roman" w:hAnsi="Times New Roman"/>
        </w:rPr>
        <w:t>neoptimalumui</w:t>
      </w:r>
      <w:proofErr w:type="spellEnd"/>
      <w:r w:rsidRPr="006658F1">
        <w:rPr>
          <w:rFonts w:ascii="Times New Roman" w:hAnsi="Times New Roman"/>
        </w:rPr>
        <w:t xml:space="preserve"> padengti, pritraukti tarptautinių, institucinių, privačių investuotojų strateginėms valstybės sritims finansuoti, stiprinti valstybės ir privačių investuotojų partnerystę, didinti Lietuvos NPĮ žinomumą tarptautinėje rinkoje, užtikrinant kokybišką ir skaidrų viešojo investavimo standartą, tikslingai sutelkti įvairius finansavimo šaltinius svarbioms Lietuvos ekonomikos sritims </w:t>
      </w:r>
      <w:proofErr w:type="gramStart"/>
      <w:r w:rsidRPr="006658F1">
        <w:rPr>
          <w:rFonts w:ascii="Times New Roman" w:hAnsi="Times New Roman"/>
        </w:rPr>
        <w:t>(</w:t>
      </w:r>
      <w:proofErr w:type="gramEnd"/>
      <w:r w:rsidRPr="006658F1">
        <w:rPr>
          <w:rFonts w:ascii="Times New Roman" w:hAnsi="Times New Roman"/>
        </w:rPr>
        <w:t xml:space="preserve">verslo finansavimo sąlygų gerinimui, inovacijų skatinimui, tvariųjų finansų užtikrinimui, energijos efektyvumui, finansinių paslaugų ir technologijų ekosistemos gerinimui) finansuoti šiuo metu Finansų ministerija atlieka analizę dėl veikiančių 4 NPĮ jungimo ar Nacionalinio plėtros fondo steigimo vienos iš NPĮ pagrindu. Šios analizės pagrindu 2021 m. </w:t>
      </w:r>
      <w:r w:rsidR="00D205AD">
        <w:rPr>
          <w:rFonts w:ascii="Times New Roman" w:hAnsi="Times New Roman"/>
        </w:rPr>
        <w:t>pabaigoje</w:t>
      </w:r>
      <w:r w:rsidRPr="006658F1">
        <w:rPr>
          <w:rFonts w:ascii="Times New Roman" w:hAnsi="Times New Roman"/>
        </w:rPr>
        <w:t xml:space="preserve"> bus teikiamas siūlymas LRV, kuri priims sprendimą dėl Lietuvoje veikiančių NPĮ.</w:t>
      </w:r>
    </w:p>
    <w:p w:rsidR="004143E2" w:rsidRPr="006658F1" w:rsidRDefault="004143E2" w:rsidP="004143E2">
      <w:pPr>
        <w:tabs>
          <w:tab w:val="left" w:pos="426"/>
        </w:tabs>
        <w:ind w:firstLine="426"/>
        <w:jc w:val="both"/>
        <w:rPr>
          <w:color w:val="666666"/>
          <w:szCs w:val="24"/>
        </w:rPr>
      </w:pPr>
      <w:r w:rsidRPr="006658F1">
        <w:rPr>
          <w:color w:val="666666"/>
          <w:szCs w:val="24"/>
        </w:rPr>
        <w:t>4 NPĮ turimų stiprybių ir gebėjimų sutelkimas, sustiprinant jų patirtį, sudarant sąlygas pritraukti didelių privataus kapitalo ir institucinių investuotojų lėšas, užtikrintų:</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vieno langelio principą investuotojui ir lankstų sprendimų priėmimą;</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bendrą NPĮ strategiją, kuri leistų optimaliai planuoti ir valdyti investicijas skirtingose srityse;</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didesnį NPĮ finansinį pajėgumą ir rizikos pasidalijimą;</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daugiau galimybių pritraukti privačių investuotojų;</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 xml:space="preserve">patikimą statusą ir vienodą Lietuvos NPĮ atstovavimą tarptautinėje rinkoje; </w:t>
      </w:r>
    </w:p>
    <w:p w:rsidR="004143E2" w:rsidRPr="006658F1" w:rsidRDefault="004143E2" w:rsidP="004143E2">
      <w:pPr>
        <w:pStyle w:val="Sraopastraipa"/>
        <w:numPr>
          <w:ilvl w:val="0"/>
          <w:numId w:val="46"/>
        </w:numPr>
        <w:tabs>
          <w:tab w:val="left" w:pos="426"/>
        </w:tabs>
        <w:autoSpaceDE w:val="0"/>
        <w:autoSpaceDN w:val="0"/>
        <w:adjustRightInd w:val="0"/>
        <w:spacing w:after="0" w:line="240" w:lineRule="auto"/>
        <w:ind w:left="0" w:firstLine="0"/>
        <w:jc w:val="both"/>
        <w:rPr>
          <w:rFonts w:ascii="Times New Roman" w:eastAsia="Times New Roman" w:hAnsi="Times New Roman"/>
          <w:color w:val="666666"/>
          <w:sz w:val="24"/>
          <w:szCs w:val="24"/>
        </w:rPr>
      </w:pPr>
      <w:r w:rsidRPr="006658F1">
        <w:rPr>
          <w:rFonts w:ascii="Times New Roman" w:eastAsia="Times New Roman" w:hAnsi="Times New Roman"/>
          <w:color w:val="666666"/>
          <w:sz w:val="24"/>
          <w:szCs w:val="24"/>
        </w:rPr>
        <w:t>tvarias investicijas strategiškai Lietuvos ekonomikai svarbioms sritims</w:t>
      </w:r>
      <w:r w:rsidR="00456588">
        <w:rPr>
          <w:rFonts w:ascii="Times New Roman" w:eastAsia="Times New Roman" w:hAnsi="Times New Roman"/>
          <w:color w:val="666666"/>
          <w:sz w:val="24"/>
          <w:szCs w:val="24"/>
        </w:rPr>
        <w:t>, tokioms kaip klimato kaita, atsinaujinantys energijos ištekliai ir kt.,</w:t>
      </w:r>
      <w:r w:rsidRPr="006658F1">
        <w:rPr>
          <w:rFonts w:ascii="Times New Roman" w:eastAsia="Times New Roman" w:hAnsi="Times New Roman"/>
          <w:color w:val="666666"/>
          <w:sz w:val="24"/>
          <w:szCs w:val="24"/>
        </w:rPr>
        <w:t xml:space="preserve"> finansuoti.</w:t>
      </w:r>
    </w:p>
    <w:p w:rsidR="004143E2" w:rsidRDefault="004143E2" w:rsidP="004143E2">
      <w:pPr>
        <w:pStyle w:val="tekstas"/>
        <w:rPr>
          <w:rFonts w:ascii="Times New Roman" w:hAnsi="Times New Roman"/>
          <w:color w:val="595959" w:themeColor="text1" w:themeTint="A6"/>
          <w:lang w:eastAsia="lt-LT"/>
        </w:rPr>
      </w:pPr>
      <w:r w:rsidRPr="006658F1">
        <w:rPr>
          <w:rFonts w:ascii="Times New Roman" w:hAnsi="Times New Roman"/>
        </w:rPr>
        <w:t>NPĮ ir EIB ieško naujų investavimo formų, kuria įvairias investavimo platformas, kurios sudaro palankesnes sąlygas sutelkti privačių investuotojų ir tarptautinių finansinių institucijų lėšas, kad</w:t>
      </w:r>
      <w:r w:rsidRPr="006658F1">
        <w:rPr>
          <w:rFonts w:ascii="Times New Roman" w:hAnsi="Times New Roman"/>
          <w:color w:val="595959" w:themeColor="text1" w:themeTint="A6"/>
          <w:lang w:eastAsia="lt-LT"/>
        </w:rPr>
        <w:t xml:space="preserve"> būtų finansuojama kuo daugiau finansiškai gyvybingų projektų, efektyviau ir su mažesne rizika valdomos investicijos bei valstybei svarbiems projektams suteikiamas finansavimas. </w:t>
      </w:r>
    </w:p>
    <w:p w:rsidR="004143E2" w:rsidRDefault="004143E2" w:rsidP="0087081D">
      <w:pPr>
        <w:pStyle w:val="tekstas"/>
        <w:ind w:firstLine="0"/>
        <w:rPr>
          <w:rFonts w:ascii="Times New Roman" w:hAnsi="Times New Roman"/>
          <w:color w:val="595959" w:themeColor="text1" w:themeTint="A6"/>
          <w:lang w:eastAsia="lt-LT"/>
        </w:rPr>
      </w:pPr>
    </w:p>
    <w:p w:rsidR="004143E2" w:rsidRPr="00387245" w:rsidRDefault="004143E2" w:rsidP="0087081D">
      <w:pPr>
        <w:pStyle w:val="tekstas"/>
        <w:jc w:val="center"/>
        <w:rPr>
          <w:rFonts w:ascii="Times New Roman" w:hAnsi="Times New Roman"/>
          <w:b/>
          <w:color w:val="595959" w:themeColor="text1" w:themeTint="A6"/>
          <w:lang w:eastAsia="lt-LT"/>
        </w:rPr>
      </w:pPr>
      <w:r w:rsidRPr="00387245">
        <w:rPr>
          <w:rFonts w:ascii="Times New Roman" w:hAnsi="Times New Roman"/>
          <w:b/>
          <w:color w:val="595959" w:themeColor="text1" w:themeTint="A6"/>
          <w:lang w:eastAsia="lt-LT"/>
        </w:rPr>
        <w:t>2021-2027 m. programavimo periodo perspektyva</w:t>
      </w:r>
    </w:p>
    <w:p w:rsidR="004143E2" w:rsidRPr="00B128E0" w:rsidRDefault="004143E2" w:rsidP="0087081D">
      <w:pPr>
        <w:pStyle w:val="tekstas"/>
        <w:ind w:firstLine="0"/>
        <w:rPr>
          <w:rFonts w:ascii="Times New Roman" w:hAnsi="Times New Roman"/>
          <w:color w:val="595959" w:themeColor="text1" w:themeTint="A6"/>
          <w:lang w:eastAsia="lt-LT"/>
        </w:rPr>
      </w:pPr>
    </w:p>
    <w:p w:rsidR="004143E2" w:rsidRPr="006658F1" w:rsidRDefault="004143E2" w:rsidP="004143E2">
      <w:pPr>
        <w:pStyle w:val="tekstas"/>
        <w:rPr>
          <w:rFonts w:ascii="Times New Roman" w:hAnsi="Times New Roman"/>
        </w:rPr>
      </w:pPr>
      <w:r w:rsidRPr="006658F1">
        <w:rPr>
          <w:rFonts w:ascii="Times New Roman" w:hAnsi="Times New Roman"/>
        </w:rPr>
        <w:t>Planuojant investicijas per finansines priemones 2021–2027 m. programavimo periodu atliekam</w:t>
      </w:r>
      <w:r>
        <w:rPr>
          <w:rFonts w:ascii="Times New Roman" w:hAnsi="Times New Roman"/>
        </w:rPr>
        <w:t>i</w:t>
      </w:r>
      <w:r w:rsidRPr="006658F1">
        <w:rPr>
          <w:rFonts w:ascii="Times New Roman" w:hAnsi="Times New Roman"/>
        </w:rPr>
        <w:t xml:space="preserve"> finansavimo poreikio vertinimai, kuriais remiantis nustatyti žemiau pateikiami finansavimo trūkumai pagal planuojamas finansuoti sritis (ES+ kt. lėšos):</w:t>
      </w:r>
    </w:p>
    <w:tbl>
      <w:tblPr>
        <w:tblW w:w="9580" w:type="dxa"/>
        <w:tblInd w:w="93" w:type="dxa"/>
        <w:tblLook w:val="04A0" w:firstRow="1" w:lastRow="0" w:firstColumn="1" w:lastColumn="0" w:noHBand="0" w:noVBand="1"/>
      </w:tblPr>
      <w:tblGrid>
        <w:gridCol w:w="6678"/>
        <w:gridCol w:w="2902"/>
      </w:tblGrid>
      <w:tr w:rsidR="004143E2" w:rsidRPr="006658F1" w:rsidTr="00271C4D">
        <w:trPr>
          <w:trHeight w:val="315"/>
        </w:trPr>
        <w:tc>
          <w:tcPr>
            <w:tcW w:w="6678" w:type="dxa"/>
            <w:tcBorders>
              <w:top w:val="single" w:sz="8" w:space="0" w:color="auto"/>
              <w:left w:val="single" w:sz="8" w:space="0" w:color="auto"/>
              <w:bottom w:val="nil"/>
              <w:right w:val="single" w:sz="4" w:space="0" w:color="auto"/>
            </w:tcBorders>
            <w:shd w:val="clear" w:color="auto" w:fill="auto"/>
            <w:noWrap/>
            <w:vAlign w:val="center"/>
            <w:hideMark/>
          </w:tcPr>
          <w:p w:rsidR="004143E2" w:rsidRPr="006658F1" w:rsidRDefault="004143E2" w:rsidP="00271C4D">
            <w:pPr>
              <w:jc w:val="center"/>
              <w:rPr>
                <w:color w:val="666666"/>
                <w:szCs w:val="24"/>
              </w:rPr>
            </w:pPr>
            <w:r w:rsidRPr="006658F1">
              <w:rPr>
                <w:color w:val="666666"/>
                <w:szCs w:val="24"/>
              </w:rPr>
              <w:t>Sritis</w:t>
            </w:r>
          </w:p>
        </w:tc>
        <w:tc>
          <w:tcPr>
            <w:tcW w:w="2902" w:type="dxa"/>
            <w:tcBorders>
              <w:top w:val="single" w:sz="8" w:space="0" w:color="auto"/>
              <w:left w:val="nil"/>
              <w:bottom w:val="nil"/>
              <w:right w:val="single" w:sz="8" w:space="0" w:color="auto"/>
            </w:tcBorders>
            <w:shd w:val="clear" w:color="auto" w:fill="auto"/>
            <w:noWrap/>
            <w:vAlign w:val="bottom"/>
            <w:hideMark/>
          </w:tcPr>
          <w:p w:rsidR="004143E2" w:rsidRPr="006658F1" w:rsidRDefault="004143E2" w:rsidP="00271C4D">
            <w:pPr>
              <w:jc w:val="center"/>
              <w:rPr>
                <w:color w:val="666666"/>
                <w:szCs w:val="24"/>
              </w:rPr>
            </w:pPr>
            <w:r w:rsidRPr="006658F1">
              <w:rPr>
                <w:color w:val="666666"/>
                <w:szCs w:val="24"/>
              </w:rPr>
              <w:t>Finansavimo poreikis,</w:t>
            </w:r>
          </w:p>
          <w:p w:rsidR="004143E2" w:rsidRPr="006658F1" w:rsidRDefault="004143E2" w:rsidP="00271C4D">
            <w:pPr>
              <w:jc w:val="center"/>
              <w:rPr>
                <w:color w:val="666666"/>
                <w:szCs w:val="24"/>
              </w:rPr>
            </w:pPr>
            <w:r w:rsidRPr="006658F1">
              <w:rPr>
                <w:color w:val="666666"/>
                <w:szCs w:val="24"/>
              </w:rPr>
              <w:t>mln. eurų</w:t>
            </w:r>
          </w:p>
        </w:tc>
      </w:tr>
      <w:tr w:rsidR="004143E2" w:rsidRPr="006658F1" w:rsidTr="00271C4D">
        <w:trPr>
          <w:trHeight w:val="259"/>
        </w:trPr>
        <w:tc>
          <w:tcPr>
            <w:tcW w:w="667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proofErr w:type="spellStart"/>
            <w:r w:rsidRPr="006658F1">
              <w:rPr>
                <w:color w:val="666666"/>
                <w:szCs w:val="24"/>
              </w:rPr>
              <w:t>Startuolių</w:t>
            </w:r>
            <w:proofErr w:type="spellEnd"/>
            <w:r w:rsidRPr="006658F1">
              <w:rPr>
                <w:color w:val="666666"/>
                <w:szCs w:val="24"/>
              </w:rPr>
              <w:t xml:space="preserve"> vystymo, </w:t>
            </w:r>
            <w:proofErr w:type="spellStart"/>
            <w:r w:rsidRPr="006658F1">
              <w:rPr>
                <w:color w:val="666666"/>
                <w:szCs w:val="24"/>
              </w:rPr>
              <w:t>akceleravimo</w:t>
            </w:r>
            <w:proofErr w:type="spellEnd"/>
            <w:r w:rsidRPr="006658F1">
              <w:rPr>
                <w:color w:val="666666"/>
                <w:szCs w:val="24"/>
              </w:rPr>
              <w:t xml:space="preserve"> ir plėtros finansavimas</w:t>
            </w:r>
          </w:p>
        </w:tc>
        <w:tc>
          <w:tcPr>
            <w:tcW w:w="2902" w:type="dxa"/>
            <w:tcBorders>
              <w:top w:val="single" w:sz="8" w:space="0" w:color="auto"/>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94 - 104</w:t>
            </w:r>
          </w:p>
        </w:tc>
      </w:tr>
      <w:tr w:rsidR="004143E2" w:rsidRPr="006658F1" w:rsidTr="00271C4D">
        <w:trPr>
          <w:trHeight w:val="300"/>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MTEP vykdymas visoje Lietuvoje</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608</w:t>
            </w:r>
          </w:p>
        </w:tc>
      </w:tr>
      <w:tr w:rsidR="004143E2" w:rsidRPr="006658F1" w:rsidTr="00271C4D">
        <w:trPr>
          <w:trHeight w:val="900"/>
        </w:trPr>
        <w:tc>
          <w:tcPr>
            <w:tcW w:w="6678" w:type="dxa"/>
            <w:tcBorders>
              <w:top w:val="nil"/>
              <w:left w:val="single" w:sz="8" w:space="0" w:color="auto"/>
              <w:bottom w:val="single" w:sz="4" w:space="0" w:color="auto"/>
              <w:right w:val="single" w:sz="4" w:space="0" w:color="auto"/>
            </w:tcBorders>
            <w:shd w:val="clear" w:color="auto" w:fill="auto"/>
            <w:vAlign w:val="center"/>
            <w:hideMark/>
          </w:tcPr>
          <w:p w:rsidR="004143E2" w:rsidRPr="006658F1" w:rsidRDefault="004143E2" w:rsidP="00271C4D">
            <w:pPr>
              <w:rPr>
                <w:color w:val="666666"/>
                <w:szCs w:val="24"/>
              </w:rPr>
            </w:pPr>
            <w:r w:rsidRPr="006658F1">
              <w:rPr>
                <w:color w:val="666666"/>
                <w:szCs w:val="24"/>
              </w:rPr>
              <w:t xml:space="preserve">MVĮ (pramonės) transformacijos skatinimas (technologinių inovacijų diegimas) </w:t>
            </w:r>
          </w:p>
        </w:tc>
        <w:tc>
          <w:tcPr>
            <w:tcW w:w="2902" w:type="dxa"/>
            <w:tcBorders>
              <w:top w:val="nil"/>
              <w:left w:val="nil"/>
              <w:bottom w:val="single" w:sz="4" w:space="0" w:color="auto"/>
              <w:right w:val="single" w:sz="8" w:space="0" w:color="auto"/>
            </w:tcBorders>
            <w:shd w:val="clear" w:color="auto" w:fill="auto"/>
            <w:vAlign w:val="center"/>
            <w:hideMark/>
          </w:tcPr>
          <w:p w:rsidR="004143E2" w:rsidRPr="006658F1" w:rsidRDefault="004143E2" w:rsidP="0087081D">
            <w:pPr>
              <w:jc w:val="center"/>
              <w:rPr>
                <w:color w:val="666666"/>
                <w:szCs w:val="24"/>
              </w:rPr>
            </w:pPr>
            <w:r>
              <w:rPr>
                <w:color w:val="666666"/>
                <w:szCs w:val="24"/>
              </w:rPr>
              <w:t>189 (151</w:t>
            </w:r>
            <w:r w:rsidR="0087081D">
              <w:rPr>
                <w:color w:val="666666"/>
                <w:szCs w:val="24"/>
              </w:rPr>
              <w:t xml:space="preserve"> </w:t>
            </w:r>
            <w:r w:rsidRPr="006658F1">
              <w:rPr>
                <w:color w:val="666666"/>
                <w:szCs w:val="24"/>
              </w:rPr>
              <w:t>–</w:t>
            </w:r>
            <w:r w:rsidR="0087081D">
              <w:rPr>
                <w:color w:val="666666"/>
                <w:szCs w:val="24"/>
              </w:rPr>
              <w:t xml:space="preserve"> </w:t>
            </w:r>
            <w:r w:rsidRPr="006658F1">
              <w:rPr>
                <w:color w:val="666666"/>
                <w:szCs w:val="24"/>
              </w:rPr>
              <w:t>technolog</w:t>
            </w:r>
            <w:r>
              <w:rPr>
                <w:color w:val="666666"/>
                <w:szCs w:val="24"/>
              </w:rPr>
              <w:t>inių inovacijų diegimui, o 38</w:t>
            </w:r>
            <w:r w:rsidRPr="006658F1">
              <w:rPr>
                <w:color w:val="666666"/>
                <w:szCs w:val="24"/>
              </w:rPr>
              <w:t xml:space="preserve">  – inovacijų, susijusių su žaliąja pramone diegimui)</w:t>
            </w:r>
          </w:p>
        </w:tc>
      </w:tr>
      <w:tr w:rsidR="004143E2" w:rsidRPr="006658F1" w:rsidTr="00271C4D">
        <w:trPr>
          <w:trHeight w:val="300"/>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TUI pritraukimas MTEPI veiklų skatinimui</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B128E0">
            <w:pPr>
              <w:jc w:val="center"/>
              <w:rPr>
                <w:color w:val="666666"/>
                <w:szCs w:val="24"/>
              </w:rPr>
            </w:pPr>
            <w:r>
              <w:rPr>
                <w:color w:val="666666"/>
                <w:szCs w:val="24"/>
              </w:rPr>
              <w:t>57</w:t>
            </w:r>
            <w:r w:rsidRPr="006658F1">
              <w:rPr>
                <w:color w:val="666666"/>
                <w:szCs w:val="24"/>
              </w:rPr>
              <w:t xml:space="preserve"> + </w:t>
            </w:r>
            <w:r w:rsidR="00B128E0">
              <w:rPr>
                <w:color w:val="666666"/>
                <w:szCs w:val="24"/>
              </w:rPr>
              <w:t>11,4</w:t>
            </w:r>
            <w:r w:rsidRPr="006658F1">
              <w:rPr>
                <w:color w:val="666666"/>
                <w:szCs w:val="24"/>
              </w:rPr>
              <w:t xml:space="preserve"> rezervas</w:t>
            </w:r>
          </w:p>
        </w:tc>
      </w:tr>
      <w:tr w:rsidR="004143E2" w:rsidRPr="006658F1" w:rsidTr="00271C4D">
        <w:trPr>
          <w:trHeight w:val="555"/>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 xml:space="preserve">Pramonės MVĮ gamybos procesų automatizavimo ir </w:t>
            </w:r>
            <w:proofErr w:type="spellStart"/>
            <w:r w:rsidRPr="006658F1">
              <w:rPr>
                <w:color w:val="666666"/>
                <w:szCs w:val="24"/>
              </w:rPr>
              <w:t>skaitmeninimo</w:t>
            </w:r>
            <w:proofErr w:type="spellEnd"/>
            <w:r w:rsidRPr="006658F1">
              <w:rPr>
                <w:color w:val="666666"/>
                <w:szCs w:val="24"/>
              </w:rPr>
              <w:t xml:space="preserve"> technologijų diegimo (pramonės </w:t>
            </w:r>
            <w:proofErr w:type="spellStart"/>
            <w:r w:rsidRPr="006658F1">
              <w:rPr>
                <w:color w:val="666666"/>
                <w:szCs w:val="24"/>
              </w:rPr>
              <w:t>skaitmeninimas</w:t>
            </w:r>
            <w:proofErr w:type="spellEnd"/>
            <w:r w:rsidRPr="006658F1">
              <w:rPr>
                <w:color w:val="666666"/>
                <w:szCs w:val="24"/>
              </w:rPr>
              <w:t xml:space="preserve">) investicijų paklausa </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321</w:t>
            </w:r>
          </w:p>
        </w:tc>
      </w:tr>
      <w:tr w:rsidR="004143E2" w:rsidRPr="006658F1" w:rsidTr="00271C4D">
        <w:trPr>
          <w:trHeight w:val="300"/>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Trumpų vertės grandinių formavimas ir plėtra</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146</w:t>
            </w:r>
          </w:p>
        </w:tc>
      </w:tr>
      <w:tr w:rsidR="004143E2" w:rsidRPr="006658F1" w:rsidTr="00271C4D">
        <w:trPr>
          <w:trHeight w:val="317"/>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lastRenderedPageBreak/>
              <w:t xml:space="preserve">Aukštą pridėtinę vertę kuriančių MVĮ verslo procesų </w:t>
            </w:r>
            <w:proofErr w:type="spellStart"/>
            <w:r w:rsidRPr="006658F1">
              <w:rPr>
                <w:color w:val="666666"/>
                <w:szCs w:val="24"/>
              </w:rPr>
              <w:t>skaitmeninimas</w:t>
            </w:r>
            <w:proofErr w:type="spellEnd"/>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135</w:t>
            </w:r>
          </w:p>
        </w:tc>
      </w:tr>
      <w:tr w:rsidR="004143E2" w:rsidRPr="006658F1" w:rsidTr="00271C4D">
        <w:trPr>
          <w:trHeight w:val="539"/>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Centralizuoto šilumos, karšto vandens ir vėsumos tiekimo sistemų energijos vartojimo efektyvumo didinimui bei sistemų plėtros skatinimui</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193–246</w:t>
            </w:r>
          </w:p>
        </w:tc>
      </w:tr>
      <w:tr w:rsidR="004143E2" w:rsidRPr="006658F1" w:rsidTr="00271C4D">
        <w:trPr>
          <w:trHeight w:val="212"/>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AEI panaudojimo šilumos ir vėsumos gamybai CŠT sektoriuje didinimui</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207</w:t>
            </w:r>
          </w:p>
        </w:tc>
      </w:tr>
      <w:tr w:rsidR="004143E2" w:rsidRPr="006658F1" w:rsidTr="00271C4D">
        <w:trPr>
          <w:trHeight w:val="229"/>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AEI panaudojimo transporto sektoriuje didinimui. Infrastruktūros plėtra</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180–203</w:t>
            </w:r>
          </w:p>
        </w:tc>
      </w:tr>
      <w:tr w:rsidR="004143E2" w:rsidRPr="006658F1" w:rsidTr="00271C4D">
        <w:trPr>
          <w:trHeight w:val="615"/>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AEI panaudojimo transporto sektoriuje didinimui. Transporto priemonių įsigijimas</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sidRPr="006658F1">
              <w:rPr>
                <w:color w:val="666666"/>
                <w:szCs w:val="24"/>
              </w:rPr>
              <w:t>8</w:t>
            </w:r>
            <w:r>
              <w:rPr>
                <w:color w:val="666666"/>
                <w:szCs w:val="24"/>
              </w:rPr>
              <w:t>7–</w:t>
            </w:r>
            <w:r w:rsidRPr="006658F1">
              <w:rPr>
                <w:color w:val="666666"/>
                <w:szCs w:val="24"/>
              </w:rPr>
              <w:t>13</w:t>
            </w:r>
            <w:r>
              <w:rPr>
                <w:color w:val="666666"/>
                <w:szCs w:val="24"/>
              </w:rPr>
              <w:t>3</w:t>
            </w:r>
          </w:p>
        </w:tc>
      </w:tr>
      <w:tr w:rsidR="004143E2" w:rsidRPr="006658F1" w:rsidTr="00271C4D">
        <w:trPr>
          <w:trHeight w:val="345"/>
        </w:trPr>
        <w:tc>
          <w:tcPr>
            <w:tcW w:w="6678" w:type="dxa"/>
            <w:tcBorders>
              <w:top w:val="nil"/>
              <w:left w:val="single" w:sz="8" w:space="0" w:color="auto"/>
              <w:bottom w:val="single" w:sz="4" w:space="0" w:color="auto"/>
              <w:right w:val="single" w:sz="4" w:space="0" w:color="auto"/>
            </w:tcBorders>
            <w:shd w:val="clear" w:color="auto" w:fill="auto"/>
            <w:vAlign w:val="bottom"/>
            <w:hideMark/>
          </w:tcPr>
          <w:p w:rsidR="004143E2" w:rsidRPr="006658F1" w:rsidRDefault="004143E2" w:rsidP="00271C4D">
            <w:pPr>
              <w:rPr>
                <w:color w:val="666666"/>
                <w:szCs w:val="24"/>
              </w:rPr>
            </w:pPr>
            <w:r w:rsidRPr="006658F1">
              <w:rPr>
                <w:color w:val="666666"/>
                <w:szCs w:val="24"/>
              </w:rPr>
              <w:t>AEI panaudojimo transporto sektoriuje didinimui. Mokslo, technologijų, eksperimentinės plėtros ir inovacijų (MTEPI) veiklos</w:t>
            </w:r>
          </w:p>
        </w:tc>
        <w:tc>
          <w:tcPr>
            <w:tcW w:w="2902" w:type="dxa"/>
            <w:tcBorders>
              <w:top w:val="nil"/>
              <w:left w:val="nil"/>
              <w:bottom w:val="single" w:sz="4" w:space="0" w:color="auto"/>
              <w:right w:val="single" w:sz="8" w:space="0" w:color="auto"/>
            </w:tcBorders>
            <w:shd w:val="clear" w:color="auto" w:fill="auto"/>
            <w:noWrap/>
            <w:vAlign w:val="center"/>
            <w:hideMark/>
          </w:tcPr>
          <w:p w:rsidR="004143E2" w:rsidRPr="006658F1" w:rsidRDefault="004143E2" w:rsidP="00271C4D">
            <w:pPr>
              <w:jc w:val="center"/>
              <w:rPr>
                <w:color w:val="666666"/>
                <w:szCs w:val="24"/>
              </w:rPr>
            </w:pPr>
            <w:r>
              <w:rPr>
                <w:color w:val="666666"/>
                <w:szCs w:val="24"/>
              </w:rPr>
              <w:t>30</w:t>
            </w:r>
          </w:p>
        </w:tc>
      </w:tr>
      <w:tr w:rsidR="004143E2" w:rsidRPr="006658F1" w:rsidTr="0087081D">
        <w:trPr>
          <w:trHeight w:val="374"/>
        </w:trPr>
        <w:tc>
          <w:tcPr>
            <w:tcW w:w="6678" w:type="dxa"/>
            <w:tcBorders>
              <w:top w:val="nil"/>
              <w:left w:val="single" w:sz="8" w:space="0" w:color="auto"/>
              <w:bottom w:val="single" w:sz="8" w:space="0" w:color="auto"/>
              <w:right w:val="single" w:sz="4" w:space="0" w:color="auto"/>
            </w:tcBorders>
            <w:shd w:val="clear" w:color="auto" w:fill="auto"/>
            <w:vAlign w:val="bottom"/>
            <w:hideMark/>
          </w:tcPr>
          <w:p w:rsidR="004143E2" w:rsidRPr="006658F1" w:rsidRDefault="004143E2" w:rsidP="00271C4D">
            <w:pPr>
              <w:rPr>
                <w:color w:val="666666"/>
                <w:szCs w:val="24"/>
              </w:rPr>
            </w:pPr>
            <w:r>
              <w:rPr>
                <w:color w:val="666666"/>
                <w:szCs w:val="24"/>
              </w:rPr>
              <w:t>Prieinamo</w:t>
            </w:r>
            <w:r w:rsidRPr="006658F1">
              <w:rPr>
                <w:color w:val="666666"/>
                <w:szCs w:val="24"/>
              </w:rPr>
              <w:t xml:space="preserve"> būsto paklausa</w:t>
            </w:r>
          </w:p>
        </w:tc>
        <w:tc>
          <w:tcPr>
            <w:tcW w:w="2902" w:type="dxa"/>
            <w:tcBorders>
              <w:top w:val="nil"/>
              <w:left w:val="nil"/>
              <w:bottom w:val="single" w:sz="8" w:space="0" w:color="auto"/>
              <w:right w:val="single" w:sz="8" w:space="0" w:color="auto"/>
            </w:tcBorders>
            <w:shd w:val="clear" w:color="auto" w:fill="auto"/>
            <w:noWrap/>
            <w:vAlign w:val="center"/>
            <w:hideMark/>
          </w:tcPr>
          <w:p w:rsidR="004143E2" w:rsidRPr="0087081D" w:rsidRDefault="0087081D" w:rsidP="0087081D">
            <w:pPr>
              <w:tabs>
                <w:tab w:val="num" w:pos="720"/>
              </w:tabs>
              <w:jc w:val="center"/>
              <w:rPr>
                <w:color w:val="666666"/>
                <w:szCs w:val="24"/>
              </w:rPr>
            </w:pPr>
            <w:r>
              <w:rPr>
                <w:color w:val="666666"/>
                <w:szCs w:val="24"/>
              </w:rPr>
              <w:t>1,965– 2,</w:t>
            </w:r>
            <w:r w:rsidR="004143E2" w:rsidRPr="0087081D">
              <w:rPr>
                <w:color w:val="666666"/>
                <w:szCs w:val="24"/>
              </w:rPr>
              <w:t>855</w:t>
            </w:r>
          </w:p>
        </w:tc>
      </w:tr>
    </w:tbl>
    <w:p w:rsidR="004143E2" w:rsidRPr="006658F1" w:rsidRDefault="004143E2" w:rsidP="004143E2">
      <w:pPr>
        <w:pStyle w:val="tekstas"/>
        <w:ind w:firstLine="0"/>
        <w:rPr>
          <w:rFonts w:ascii="Times New Roman" w:hAnsi="Times New Roman"/>
        </w:rPr>
      </w:pPr>
    </w:p>
    <w:p w:rsidR="004143E2" w:rsidRDefault="004143E2" w:rsidP="004143E2">
      <w:pPr>
        <w:pStyle w:val="tekstas"/>
        <w:rPr>
          <w:rFonts w:ascii="Times New Roman" w:hAnsi="Times New Roman"/>
        </w:rPr>
      </w:pPr>
      <w:r>
        <w:rPr>
          <w:rFonts w:ascii="Times New Roman" w:hAnsi="Times New Roman"/>
        </w:rPr>
        <w:t>Atsižvelgiant į nustatytus rinkos trūkumus 2021–2027 m. toliau planuojama kurti naujas finansines priemones naujose srityse bei tęsti jau pradėtas įgyvendinti finansines priemones verslo finansavimo, MTEP vystymo, inovacijų skatinimo, energijos efektyvumo, daugiabučių renovacijos, AEI panaudojimo, darnaus transporto, prieinamo būsto ir kt. srityse.</w:t>
      </w:r>
    </w:p>
    <w:p w:rsidR="004143E2" w:rsidRPr="006658F1" w:rsidRDefault="004143E2" w:rsidP="004143E2">
      <w:pPr>
        <w:pStyle w:val="tekstas"/>
        <w:rPr>
          <w:rFonts w:ascii="Times New Roman" w:hAnsi="Times New Roman"/>
        </w:rPr>
      </w:pPr>
      <w:r w:rsidRPr="006658F1">
        <w:rPr>
          <w:rFonts w:ascii="Times New Roman" w:hAnsi="Times New Roman"/>
        </w:rPr>
        <w:t>Lietuvos geroji patirtis įgyvendinant finansines priemones plačiai viešinama EK ir kaip gerasis pavyzdys pristatoma ES šalims narėms. EK vertina Lietuvos siekius plėsti finansinių priemonių įgyvendinimą į naujas sritis, pavyzdžiui, vandentvarkos, kultūros paveldo, viešųjų pastatų, transporto ir kt. sritis. Taip pat pagal Lietuvoje sukurtas ir sėkmingai įgyvendinamas priemones, pavyzdžiui, verslumo skatinimo finansinė priemonė, EK kuria standartines finansines priemones, kurias šalys narės gali įgyvendinti savo šalyse.</w:t>
      </w:r>
    </w:p>
    <w:p w:rsidR="004143E2" w:rsidRPr="00630490" w:rsidRDefault="004143E2" w:rsidP="004143E2">
      <w:pPr>
        <w:pStyle w:val="tekstas"/>
        <w:rPr>
          <w:rFonts w:ascii="Times New Roman" w:hAnsi="Times New Roman"/>
        </w:rPr>
      </w:pPr>
      <w:r w:rsidRPr="006658F1">
        <w:rPr>
          <w:rFonts w:ascii="Times New Roman" w:hAnsi="Times New Roman"/>
        </w:rPr>
        <w:t xml:space="preserve">Svarbu pažymėti, kad Lietuva dalyvauja naujoje 3 Baltijos šalių iniciatyvoje </w:t>
      </w:r>
      <w:r w:rsidR="00D205AD">
        <w:rPr>
          <w:rFonts w:ascii="Times New Roman" w:hAnsi="Times New Roman"/>
        </w:rPr>
        <w:t>kuriant</w:t>
      </w:r>
      <w:r w:rsidR="00D205AD" w:rsidRPr="006658F1">
        <w:rPr>
          <w:rFonts w:ascii="Times New Roman" w:hAnsi="Times New Roman"/>
        </w:rPr>
        <w:t xml:space="preserve"> </w:t>
      </w:r>
      <w:r w:rsidRPr="006658F1">
        <w:rPr>
          <w:rFonts w:ascii="Times New Roman" w:hAnsi="Times New Roman"/>
        </w:rPr>
        <w:t>bendrą Baltijos šalių regi</w:t>
      </w:r>
      <w:r w:rsidR="00AB0B54">
        <w:rPr>
          <w:rFonts w:ascii="Times New Roman" w:hAnsi="Times New Roman"/>
        </w:rPr>
        <w:t xml:space="preserve">oninį kapitalo rinkų plėtros </w:t>
      </w:r>
      <w:proofErr w:type="spellStart"/>
      <w:r w:rsidR="00AB0B54">
        <w:rPr>
          <w:rFonts w:ascii="Times New Roman" w:hAnsi="Times New Roman"/>
        </w:rPr>
        <w:t>aks</w:t>
      </w:r>
      <w:r w:rsidRPr="006658F1">
        <w:rPr>
          <w:rFonts w:ascii="Times New Roman" w:hAnsi="Times New Roman"/>
        </w:rPr>
        <w:t>eleravimo</w:t>
      </w:r>
      <w:proofErr w:type="spellEnd"/>
      <w:r w:rsidRPr="006658F1">
        <w:rPr>
          <w:rFonts w:ascii="Times New Roman" w:hAnsi="Times New Roman"/>
        </w:rPr>
        <w:t xml:space="preserve"> fondą, siekiant sudaryti daugiau galimybių smulkiojo ir vidutinio verslo įmonėms pritraukti papildomų lėšų per vertybinių popierių įtraukimą į biržos prekybos sąrašą ir skatinti kapitalo rinkų plėtrą. Bendras fondas investuos į mažas ir vidutinės įmones ir vidutinės kapitalizacijos įmones, įtrauktas į vertybinių popierių biržą (prieš IPO ir IPO stadijoje). Fondo įsteigimas padidins MVĮ finansavimosi galimybes, taip pat leis</w:t>
      </w:r>
      <w:r w:rsidRPr="00630490">
        <w:rPr>
          <w:rFonts w:ascii="Times New Roman" w:hAnsi="Times New Roman"/>
        </w:rPr>
        <w:t xml:space="preserve"> instituciniams investuotojams fondo pagalba dalyvauti MVĮ augimo rinkose. Šiam fondui finansuoti planuojama panaudoti iš ES struktūrinių fondų grįžusias ir grįšiančias lėšas.</w:t>
      </w:r>
    </w:p>
    <w:p w:rsidR="004143E2" w:rsidRPr="00630490" w:rsidRDefault="004143E2" w:rsidP="004143E2">
      <w:pPr>
        <w:pStyle w:val="tekstas"/>
        <w:rPr>
          <w:rFonts w:ascii="Times New Roman" w:hAnsi="Times New Roman"/>
        </w:rPr>
      </w:pPr>
      <w:r w:rsidRPr="00630490">
        <w:rPr>
          <w:rFonts w:ascii="Times New Roman" w:hAnsi="Times New Roman"/>
        </w:rPr>
        <w:t>Tačiau Lietuvoje</w:t>
      </w:r>
      <w:r w:rsidRPr="00630490" w:rsidDel="007441B1">
        <w:rPr>
          <w:rFonts w:ascii="Times New Roman" w:hAnsi="Times New Roman"/>
        </w:rPr>
        <w:t xml:space="preserve"> </w:t>
      </w:r>
      <w:r w:rsidRPr="00630490">
        <w:rPr>
          <w:rFonts w:ascii="Times New Roman" w:hAnsi="Times New Roman"/>
        </w:rPr>
        <w:t xml:space="preserve">pokyčio investicijoms skiriamas finansavimas vis dar didžiąja dalimi finansuojamas subsidijų iš ES ir kitos tarptautinės finansinės paramos lėšomis, todėl skatiname ministerijas tęsti finansinių priemonių įgyvendinimą ir ieškoti naujų sričių, kuriose būtų įgyvendinamos finansinės priemonės finansavimo rinkos sąlygomis nepakankamumui ir (ar) </w:t>
      </w:r>
      <w:proofErr w:type="spellStart"/>
      <w:r w:rsidRPr="00630490">
        <w:rPr>
          <w:rFonts w:ascii="Times New Roman" w:hAnsi="Times New Roman"/>
        </w:rPr>
        <w:t>neoptimalumui</w:t>
      </w:r>
      <w:proofErr w:type="spellEnd"/>
      <w:r w:rsidRPr="00630490">
        <w:rPr>
          <w:rFonts w:ascii="Times New Roman" w:hAnsi="Times New Roman"/>
        </w:rPr>
        <w:t xml:space="preserve"> padengti bei kartu su NPĮ vykdyti aktyvią tarptautinių, institucinių ir privačių investuotojų paiešką bei kurti priemones, tinkamas instituciniams investuotojams. </w:t>
      </w:r>
    </w:p>
    <w:p w:rsidR="00A75F2D" w:rsidRPr="00630490" w:rsidRDefault="00A75F2D" w:rsidP="008A3F27">
      <w:pPr>
        <w:jc w:val="both"/>
        <w:rPr>
          <w:color w:val="666666"/>
          <w:szCs w:val="24"/>
        </w:rPr>
      </w:pPr>
    </w:p>
    <w:p w:rsidR="00007F90" w:rsidRPr="006658F1" w:rsidRDefault="00C60C4F" w:rsidP="00827740">
      <w:pPr>
        <w:pStyle w:val="tekstas"/>
        <w:ind w:firstLine="0"/>
      </w:pPr>
      <w:r w:rsidRPr="006658F1">
        <w:rPr>
          <w:rFonts w:ascii="Times New Roman" w:hAnsi="Times New Roman"/>
          <w:color w:val="595959" w:themeColor="text1" w:themeTint="A6"/>
          <w:lang w:eastAsia="lt-LT"/>
        </w:rPr>
        <w:br w:type="page"/>
      </w:r>
    </w:p>
    <w:p w:rsidR="00007F90" w:rsidRPr="006658F1" w:rsidRDefault="00007F90" w:rsidP="00007F90">
      <w:pPr>
        <w:jc w:val="center"/>
        <w:rPr>
          <w:rFonts w:eastAsia="Calibri"/>
          <w:b/>
          <w:noProof/>
          <w:color w:val="0070C0"/>
          <w:szCs w:val="24"/>
          <w:lang w:eastAsia="lt-LT"/>
        </w:rPr>
      </w:pPr>
      <w:r w:rsidRPr="006658F1">
        <w:rPr>
          <w:rFonts w:eastAsia="Calibri"/>
          <w:b/>
          <w:noProof/>
          <w:color w:val="0070C0"/>
          <w:szCs w:val="24"/>
          <w:lang w:eastAsia="lt-LT"/>
        </w:rPr>
        <w:lastRenderedPageBreak/>
        <w:drawing>
          <wp:inline distT="0" distB="0" distL="0" distR="0" wp14:anchorId="14CEBC23" wp14:editId="5A1434C0">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6658F1">
        <w:rPr>
          <w:rFonts w:eastAsia="Calibri"/>
          <w:b/>
          <w:noProof/>
          <w:color w:val="0070C0"/>
          <w:szCs w:val="24"/>
          <w:lang w:eastAsia="lt-LT"/>
        </w:rPr>
        <w:drawing>
          <wp:inline distT="0" distB="0" distL="0" distR="0" wp14:anchorId="54387FC4" wp14:editId="168A7020">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r w:rsidRPr="006658F1">
        <w:rPr>
          <w:rFonts w:eastAsia="Calibri"/>
          <w:b/>
          <w:noProof/>
          <w:color w:val="0070C0"/>
          <w:szCs w:val="24"/>
          <w:lang w:eastAsia="lt-LT"/>
        </w:rPr>
        <w:drawing>
          <wp:inline distT="0" distB="0" distL="0" distR="0" wp14:anchorId="57FC4102" wp14:editId="0356CB36">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rFonts w:eastAsia="Calibri"/>
          <w:b/>
          <w:noProof/>
          <w:color w:val="0070C0"/>
          <w:szCs w:val="24"/>
          <w:lang w:eastAsia="lt-LT"/>
        </w:rPr>
      </w:pPr>
    </w:p>
    <w:p w:rsidR="00007F90" w:rsidRPr="006658F1" w:rsidRDefault="00007F90" w:rsidP="00007F90">
      <w:pPr>
        <w:jc w:val="center"/>
        <w:rPr>
          <w:color w:val="666666"/>
          <w:szCs w:val="24"/>
        </w:rPr>
      </w:pPr>
      <w:r w:rsidRPr="006658F1">
        <w:rPr>
          <w:rFonts w:eastAsia="Calibri"/>
          <w:b/>
          <w:noProof/>
          <w:color w:val="0070C0"/>
          <w:szCs w:val="24"/>
          <w:lang w:eastAsia="lt-LT"/>
        </w:rPr>
        <w:drawing>
          <wp:inline distT="0" distB="0" distL="0" distR="0" wp14:anchorId="33BE9628" wp14:editId="31935792">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3"/>
    <w:p w:rsidR="009F53D9" w:rsidRPr="006658F1" w:rsidRDefault="009F53D9" w:rsidP="00A429C5">
      <w:pPr>
        <w:spacing w:after="200" w:line="276" w:lineRule="auto"/>
        <w:rPr>
          <w:color w:val="666666"/>
          <w:szCs w:val="24"/>
        </w:rPr>
      </w:pPr>
    </w:p>
    <w:sectPr w:rsidR="009F53D9" w:rsidRPr="006658F1" w:rsidSect="007459D9">
      <w:headerReference w:type="default" r:id="rId38"/>
      <w:footerReference w:type="default" r:id="rId39"/>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F0" w:rsidRDefault="00DC29F0" w:rsidP="00885DE2">
      <w:r>
        <w:separator/>
      </w:r>
    </w:p>
    <w:p w:rsidR="00DC29F0" w:rsidRDefault="00DC29F0"/>
  </w:endnote>
  <w:endnote w:type="continuationSeparator" w:id="0">
    <w:p w:rsidR="00DC29F0" w:rsidRDefault="00DC29F0" w:rsidP="00885DE2">
      <w:r>
        <w:continuationSeparator/>
      </w:r>
    </w:p>
    <w:p w:rsidR="00DC29F0" w:rsidRDefault="00DC2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EndPr/>
    <w:sdtContent>
      <w:p w:rsidR="00DC29F0" w:rsidRDefault="00DC29F0">
        <w:pPr>
          <w:pStyle w:val="Porat"/>
          <w:jc w:val="center"/>
        </w:pPr>
      </w:p>
      <w:p w:rsidR="00DC29F0" w:rsidRDefault="00DC29F0">
        <w:pPr>
          <w:pStyle w:val="Porat"/>
          <w:jc w:val="center"/>
        </w:pPr>
        <w:r>
          <w:fldChar w:fldCharType="begin"/>
        </w:r>
        <w:r>
          <w:instrText>PAGE   \* MERGEFORMAT</w:instrText>
        </w:r>
        <w:r>
          <w:fldChar w:fldCharType="separate"/>
        </w:r>
        <w:r w:rsidR="001E5FBD">
          <w:rPr>
            <w:noProof/>
          </w:rPr>
          <w:t>13</w:t>
        </w:r>
        <w:r>
          <w:fldChar w:fldCharType="end"/>
        </w:r>
      </w:p>
    </w:sdtContent>
  </w:sdt>
  <w:p w:rsidR="00DC29F0" w:rsidRDefault="00DC29F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F0" w:rsidRDefault="00DC29F0" w:rsidP="00885DE2">
      <w:r>
        <w:separator/>
      </w:r>
    </w:p>
    <w:p w:rsidR="00DC29F0" w:rsidRDefault="00DC29F0"/>
  </w:footnote>
  <w:footnote w:type="continuationSeparator" w:id="0">
    <w:p w:rsidR="00DC29F0" w:rsidRDefault="00DC29F0" w:rsidP="00885DE2">
      <w:r>
        <w:continuationSeparator/>
      </w:r>
    </w:p>
    <w:p w:rsidR="00DC29F0" w:rsidRDefault="00DC29F0"/>
  </w:footnote>
  <w:footnote w:id="1">
    <w:p w:rsidR="00DC29F0" w:rsidRPr="008A63C3" w:rsidRDefault="00DC29F0">
      <w:pPr>
        <w:pStyle w:val="Puslapioinaostekstas"/>
        <w:rPr>
          <w:color w:val="595959" w:themeColor="text1" w:themeTint="A6"/>
        </w:rPr>
      </w:pPr>
      <w:r w:rsidRPr="008A63C3">
        <w:rPr>
          <w:rStyle w:val="Puslapioinaosnuoroda"/>
          <w:color w:val="595959" w:themeColor="text1" w:themeTint="A6"/>
        </w:rPr>
        <w:footnoteRef/>
      </w:r>
      <w:r w:rsidRPr="008A63C3">
        <w:rPr>
          <w:color w:val="595959" w:themeColor="text1" w:themeTint="A6"/>
        </w:rPr>
        <w:t xml:space="preserve"> Projektų administravimo ir finansavimo taisyklės, patvirtintos Lietuvos Respublikos finansų ministro 2014 m. spalio 8 d. įsakymu Nr. 1K-316 „Dėl projektų administravimo ir finansavimo taisyklių patvirtinimo“.</w:t>
      </w:r>
    </w:p>
  </w:footnote>
  <w:footnote w:id="2">
    <w:p w:rsidR="00DC29F0" w:rsidRPr="00EA0D1D" w:rsidRDefault="00DC29F0" w:rsidP="004143E2">
      <w:pPr>
        <w:pStyle w:val="Puslapioinaostekstas"/>
        <w:rPr>
          <w:color w:val="595959" w:themeColor="text1" w:themeTint="A6"/>
        </w:rPr>
      </w:pPr>
      <w:r w:rsidRPr="00EA0D1D">
        <w:rPr>
          <w:rStyle w:val="Puslapioinaosnuoroda"/>
          <w:color w:val="595959" w:themeColor="text1" w:themeTint="A6"/>
        </w:rPr>
        <w:footnoteRef/>
      </w:r>
      <w:r w:rsidRPr="00EA0D1D">
        <w:rPr>
          <w:color w:val="595959" w:themeColor="text1" w:themeTint="A6"/>
          <w:lang w:val="fi-FI"/>
        </w:rPr>
        <w:t xml:space="preserve"> Europos </w:t>
      </w:r>
      <w:r w:rsidRPr="00EA0D1D">
        <w:rPr>
          <w:color w:val="595959" w:themeColor="text1" w:themeTint="A6"/>
        </w:rPr>
        <w:t>Komisijos komunikatas „Naujos kartos naujoviškų finansinių priemonių – ES nuosavo kapitalo ir skolos platformų – programa“, KOM (2011) 662 galutinis.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F0" w:rsidRDefault="00DC29F0" w:rsidP="00B86403">
    <w:pPr>
      <w:pStyle w:val="Antrats"/>
      <w:jc w:val="center"/>
    </w:pPr>
  </w:p>
  <w:p w:rsidR="00DC29F0" w:rsidRDefault="00DC2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6EE"/>
    <w:multiLevelType w:val="hybridMultilevel"/>
    <w:tmpl w:val="2EB65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4BB3928"/>
    <w:multiLevelType w:val="hybridMultilevel"/>
    <w:tmpl w:val="DB587B1E"/>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FA252D"/>
    <w:multiLevelType w:val="hybridMultilevel"/>
    <w:tmpl w:val="DE843302"/>
    <w:lvl w:ilvl="0" w:tplc="7116E6B2">
      <w:numFmt w:val="bullet"/>
      <w:lvlText w:val="-"/>
      <w:lvlJc w:val="left"/>
      <w:pPr>
        <w:ind w:left="1146" w:hanging="360"/>
      </w:pPr>
      <w:rPr>
        <w:rFonts w:ascii="Times New Roman" w:eastAsiaTheme="minorHAns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nsid w:val="0DA6540C"/>
    <w:multiLevelType w:val="hybridMultilevel"/>
    <w:tmpl w:val="F9920E86"/>
    <w:lvl w:ilvl="0" w:tplc="858608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5601EB"/>
    <w:multiLevelType w:val="hybridMultilevel"/>
    <w:tmpl w:val="A97434BC"/>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1580865"/>
    <w:multiLevelType w:val="hybridMultilevel"/>
    <w:tmpl w:val="6C3A7DE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nsid w:val="14F94746"/>
    <w:multiLevelType w:val="hybridMultilevel"/>
    <w:tmpl w:val="8784607E"/>
    <w:lvl w:ilvl="0" w:tplc="E7BCCC0C">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nsid w:val="27AA6AF5"/>
    <w:multiLevelType w:val="hybridMultilevel"/>
    <w:tmpl w:val="D8A24F30"/>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AC3379D"/>
    <w:multiLevelType w:val="hybridMultilevel"/>
    <w:tmpl w:val="939C341C"/>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CED31D9"/>
    <w:multiLevelType w:val="hybridMultilevel"/>
    <w:tmpl w:val="4D50548E"/>
    <w:lvl w:ilvl="0" w:tplc="12301B66">
      <w:start w:val="1"/>
      <w:numFmt w:val="upperRoman"/>
      <w:pStyle w:val="Antrat1"/>
      <w:lvlText w:val="%1."/>
      <w:lvlJc w:val="righ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F5B701C"/>
    <w:multiLevelType w:val="hybridMultilevel"/>
    <w:tmpl w:val="87A8A2DC"/>
    <w:lvl w:ilvl="0" w:tplc="7116E6B2">
      <w:numFmt w:val="bullet"/>
      <w:lvlText w:val="-"/>
      <w:lvlJc w:val="left"/>
      <w:pPr>
        <w:ind w:left="2629" w:hanging="360"/>
      </w:pPr>
      <w:rPr>
        <w:rFonts w:ascii="Times New Roman" w:eastAsiaTheme="minorHAnsi" w:hAnsi="Times New Roman" w:cs="Times New Roman" w:hint="default"/>
      </w:rPr>
    </w:lvl>
    <w:lvl w:ilvl="1" w:tplc="04270003" w:tentative="1">
      <w:start w:val="1"/>
      <w:numFmt w:val="bullet"/>
      <w:lvlText w:val="o"/>
      <w:lvlJc w:val="left"/>
      <w:pPr>
        <w:ind w:left="3349" w:hanging="360"/>
      </w:pPr>
      <w:rPr>
        <w:rFonts w:ascii="Courier New" w:hAnsi="Courier New" w:cs="Courier New" w:hint="default"/>
      </w:rPr>
    </w:lvl>
    <w:lvl w:ilvl="2" w:tplc="04270005" w:tentative="1">
      <w:start w:val="1"/>
      <w:numFmt w:val="bullet"/>
      <w:lvlText w:val=""/>
      <w:lvlJc w:val="left"/>
      <w:pPr>
        <w:ind w:left="4069" w:hanging="360"/>
      </w:pPr>
      <w:rPr>
        <w:rFonts w:ascii="Wingdings" w:hAnsi="Wingdings"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11">
    <w:nsid w:val="2FE6496B"/>
    <w:multiLevelType w:val="hybridMultilevel"/>
    <w:tmpl w:val="EE408C2A"/>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FFF0A8E"/>
    <w:multiLevelType w:val="hybridMultilevel"/>
    <w:tmpl w:val="B3B46E36"/>
    <w:lvl w:ilvl="0" w:tplc="04270003">
      <w:start w:val="1"/>
      <w:numFmt w:val="bullet"/>
      <w:lvlText w:val="o"/>
      <w:lvlJc w:val="left"/>
      <w:pPr>
        <w:ind w:left="1146" w:hanging="360"/>
      </w:pPr>
      <w:rPr>
        <w:rFonts w:ascii="Courier New" w:hAnsi="Courier New" w:cs="Courier New"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nsid w:val="317C1D77"/>
    <w:multiLevelType w:val="hybridMultilevel"/>
    <w:tmpl w:val="7AFA52CA"/>
    <w:lvl w:ilvl="0" w:tplc="04270003">
      <w:start w:val="1"/>
      <w:numFmt w:val="bullet"/>
      <w:lvlText w:val="o"/>
      <w:lvlJc w:val="left"/>
      <w:pPr>
        <w:ind w:left="1146" w:hanging="360"/>
      </w:pPr>
      <w:rPr>
        <w:rFonts w:ascii="Courier New" w:hAnsi="Courier New" w:cs="Courier New"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nsid w:val="33B267D2"/>
    <w:multiLevelType w:val="hybridMultilevel"/>
    <w:tmpl w:val="7A92BA6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nsid w:val="342A5A7B"/>
    <w:multiLevelType w:val="hybridMultilevel"/>
    <w:tmpl w:val="1AEAD8A2"/>
    <w:lvl w:ilvl="0" w:tplc="2F64812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9C15606"/>
    <w:multiLevelType w:val="hybridMultilevel"/>
    <w:tmpl w:val="F28A310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B707087"/>
    <w:multiLevelType w:val="hybridMultilevel"/>
    <w:tmpl w:val="5EFE8DB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nsid w:val="43113730"/>
    <w:multiLevelType w:val="hybridMultilevel"/>
    <w:tmpl w:val="F0208ED6"/>
    <w:lvl w:ilvl="0" w:tplc="7116E6B2">
      <w:numFmt w:val="bullet"/>
      <w:lvlText w:val="-"/>
      <w:lvlJc w:val="left"/>
      <w:pPr>
        <w:ind w:left="1146" w:hanging="360"/>
      </w:pPr>
      <w:rPr>
        <w:rFonts w:ascii="Times New Roman" w:eastAsiaTheme="minorHAnsi" w:hAnsi="Times New Roman" w:cs="Times New Roman" w:hint="default"/>
      </w:rPr>
    </w:lvl>
    <w:lvl w:ilvl="1" w:tplc="7116E6B2">
      <w:numFmt w:val="bullet"/>
      <w:lvlText w:val="-"/>
      <w:lvlJc w:val="left"/>
      <w:pPr>
        <w:ind w:left="1866" w:hanging="360"/>
      </w:pPr>
      <w:rPr>
        <w:rFonts w:ascii="Times New Roman" w:eastAsiaTheme="minorHAnsi" w:hAnsi="Times New Roman" w:cs="Times New Roman"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nsid w:val="43623F28"/>
    <w:multiLevelType w:val="hybridMultilevel"/>
    <w:tmpl w:val="282A5524"/>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37066B5"/>
    <w:multiLevelType w:val="hybridMultilevel"/>
    <w:tmpl w:val="04A47B6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44BE7796"/>
    <w:multiLevelType w:val="hybridMultilevel"/>
    <w:tmpl w:val="F844F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B81924"/>
    <w:multiLevelType w:val="hybridMultilevel"/>
    <w:tmpl w:val="4B7C3BF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8D97DBF"/>
    <w:multiLevelType w:val="hybridMultilevel"/>
    <w:tmpl w:val="882A4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97887"/>
    <w:multiLevelType w:val="hybridMultilevel"/>
    <w:tmpl w:val="2F0A0248"/>
    <w:lvl w:ilvl="0" w:tplc="7116E6B2">
      <w:numFmt w:val="bullet"/>
      <w:lvlText w:val="-"/>
      <w:lvlJc w:val="left"/>
      <w:pPr>
        <w:ind w:left="928" w:hanging="360"/>
      </w:pPr>
      <w:rPr>
        <w:rFonts w:ascii="Times New Roman" w:eastAsiaTheme="minorHAnsi" w:hAnsi="Times New Roman" w:cs="Times New Roman" w:hint="default"/>
      </w:rPr>
    </w:lvl>
    <w:lvl w:ilvl="1" w:tplc="027209EC">
      <w:start w:val="2020"/>
      <w:numFmt w:val="bullet"/>
      <w:lvlText w:val="•"/>
      <w:lvlJc w:val="left"/>
      <w:pPr>
        <w:ind w:left="1500" w:hanging="4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99805F3"/>
    <w:multiLevelType w:val="hybridMultilevel"/>
    <w:tmpl w:val="E2F0A164"/>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nsid w:val="49D8382E"/>
    <w:multiLevelType w:val="hybridMultilevel"/>
    <w:tmpl w:val="E1CAC3BC"/>
    <w:lvl w:ilvl="0" w:tplc="7116E6B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AFE3543"/>
    <w:multiLevelType w:val="hybridMultilevel"/>
    <w:tmpl w:val="21BA2F80"/>
    <w:lvl w:ilvl="0" w:tplc="7116E6B2">
      <w:numFmt w:val="bullet"/>
      <w:lvlText w:val="-"/>
      <w:lvlJc w:val="left"/>
      <w:pPr>
        <w:ind w:left="1998"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BAA0801"/>
    <w:multiLevelType w:val="hybridMultilevel"/>
    <w:tmpl w:val="94922896"/>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nsid w:val="4D881465"/>
    <w:multiLevelType w:val="hybridMultilevel"/>
    <w:tmpl w:val="36E0BE4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0">
    <w:nsid w:val="56926F6A"/>
    <w:multiLevelType w:val="hybridMultilevel"/>
    <w:tmpl w:val="5518DB3E"/>
    <w:lvl w:ilvl="0" w:tplc="355468E4">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9AF620C"/>
    <w:multiLevelType w:val="hybridMultilevel"/>
    <w:tmpl w:val="5CB64D0C"/>
    <w:lvl w:ilvl="0" w:tplc="7116E6B2">
      <w:numFmt w:val="bullet"/>
      <w:lvlText w:val="-"/>
      <w:lvlJc w:val="left"/>
      <w:pPr>
        <w:ind w:left="720" w:hanging="360"/>
      </w:pPr>
      <w:rPr>
        <w:rFonts w:ascii="Times New Roman" w:eastAsiaTheme="minorHAnsi" w:hAnsi="Times New Roman" w:cs="Times New Roman" w:hint="default"/>
      </w:rPr>
    </w:lvl>
    <w:lvl w:ilvl="1" w:tplc="7116E6B2">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BB87C04"/>
    <w:multiLevelType w:val="hybridMultilevel"/>
    <w:tmpl w:val="0CB49DAC"/>
    <w:lvl w:ilvl="0" w:tplc="7116E6B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5C9E561B"/>
    <w:multiLevelType w:val="hybridMultilevel"/>
    <w:tmpl w:val="08144FF4"/>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nsid w:val="5D640A3C"/>
    <w:multiLevelType w:val="hybridMultilevel"/>
    <w:tmpl w:val="462ECB42"/>
    <w:lvl w:ilvl="0" w:tplc="EDB25892">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E2F039C"/>
    <w:multiLevelType w:val="hybridMultilevel"/>
    <w:tmpl w:val="CAD26220"/>
    <w:lvl w:ilvl="0" w:tplc="7116E6B2">
      <w:numFmt w:val="bullet"/>
      <w:lvlText w:val="-"/>
      <w:lvlJc w:val="left"/>
      <w:pPr>
        <w:ind w:left="1998" w:hanging="360"/>
      </w:pPr>
      <w:rPr>
        <w:rFonts w:ascii="Times New Roman" w:eastAsiaTheme="minorHAnsi" w:hAnsi="Times New Roman" w:cs="Times New Roman" w:hint="default"/>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36">
    <w:nsid w:val="5E7B6166"/>
    <w:multiLevelType w:val="hybridMultilevel"/>
    <w:tmpl w:val="7326DB5E"/>
    <w:lvl w:ilvl="0" w:tplc="F9944C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5EDB4EFC"/>
    <w:multiLevelType w:val="hybridMultilevel"/>
    <w:tmpl w:val="DEB8C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EF6539E"/>
    <w:multiLevelType w:val="hybridMultilevel"/>
    <w:tmpl w:val="590EF26E"/>
    <w:lvl w:ilvl="0" w:tplc="98F6C1FC">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9">
    <w:nsid w:val="602E17CE"/>
    <w:multiLevelType w:val="hybridMultilevel"/>
    <w:tmpl w:val="01AEB4EE"/>
    <w:lvl w:ilvl="0" w:tplc="E7A68502">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nsid w:val="65E977C8"/>
    <w:multiLevelType w:val="hybridMultilevel"/>
    <w:tmpl w:val="E8B8680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1">
    <w:nsid w:val="66441D20"/>
    <w:multiLevelType w:val="hybridMultilevel"/>
    <w:tmpl w:val="1198599A"/>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D0A68B6"/>
    <w:multiLevelType w:val="hybridMultilevel"/>
    <w:tmpl w:val="5D2CC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36E0D11"/>
    <w:multiLevelType w:val="hybridMultilevel"/>
    <w:tmpl w:val="D480E664"/>
    <w:lvl w:ilvl="0" w:tplc="E62CD80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6101E87"/>
    <w:multiLevelType w:val="hybridMultilevel"/>
    <w:tmpl w:val="A9D84F6C"/>
    <w:lvl w:ilvl="0" w:tplc="E5E2A808">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5">
    <w:nsid w:val="769325AC"/>
    <w:multiLevelType w:val="hybridMultilevel"/>
    <w:tmpl w:val="DF3CB278"/>
    <w:lvl w:ilvl="0" w:tplc="04270003">
      <w:start w:val="1"/>
      <w:numFmt w:val="bullet"/>
      <w:lvlText w:val="o"/>
      <w:lvlJc w:val="left"/>
      <w:pPr>
        <w:ind w:left="1146" w:hanging="360"/>
      </w:pPr>
      <w:rPr>
        <w:rFonts w:ascii="Courier New" w:hAnsi="Courier New" w:cs="Courier New" w:hint="default"/>
      </w:rPr>
    </w:lvl>
    <w:lvl w:ilvl="1" w:tplc="04270001">
      <w:start w:val="1"/>
      <w:numFmt w:val="bullet"/>
      <w:lvlText w:val=""/>
      <w:lvlJc w:val="left"/>
      <w:pPr>
        <w:ind w:left="1866" w:hanging="360"/>
      </w:pPr>
      <w:rPr>
        <w:rFonts w:ascii="Symbol" w:hAnsi="Symbol"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6">
    <w:nsid w:val="76FB4922"/>
    <w:multiLevelType w:val="hybridMultilevel"/>
    <w:tmpl w:val="81D8A290"/>
    <w:lvl w:ilvl="0" w:tplc="63CAA8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B7F043A"/>
    <w:multiLevelType w:val="hybridMultilevel"/>
    <w:tmpl w:val="0DAAAEAA"/>
    <w:lvl w:ilvl="0" w:tplc="316080F0">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abstractNumId w:val="9"/>
  </w:num>
  <w:num w:numId="2">
    <w:abstractNumId w:val="20"/>
  </w:num>
  <w:num w:numId="3">
    <w:abstractNumId w:val="23"/>
  </w:num>
  <w:num w:numId="4">
    <w:abstractNumId w:val="16"/>
  </w:num>
  <w:num w:numId="5">
    <w:abstractNumId w:val="7"/>
  </w:num>
  <w:num w:numId="6">
    <w:abstractNumId w:val="9"/>
    <w:lvlOverride w:ilvl="0">
      <w:startOverride w:val="1"/>
    </w:lvlOverride>
  </w:num>
  <w:num w:numId="7">
    <w:abstractNumId w:val="9"/>
  </w:num>
  <w:num w:numId="8">
    <w:abstractNumId w:val="36"/>
  </w:num>
  <w:num w:numId="9">
    <w:abstractNumId w:val="3"/>
  </w:num>
  <w:num w:numId="10">
    <w:abstractNumId w:val="44"/>
  </w:num>
  <w:num w:numId="11">
    <w:abstractNumId w:val="15"/>
  </w:num>
  <w:num w:numId="12">
    <w:abstractNumId w:val="43"/>
  </w:num>
  <w:num w:numId="13">
    <w:abstractNumId w:val="42"/>
  </w:num>
  <w:num w:numId="14">
    <w:abstractNumId w:val="46"/>
  </w:num>
  <w:num w:numId="15">
    <w:abstractNumId w:val="11"/>
  </w:num>
  <w:num w:numId="16">
    <w:abstractNumId w:val="10"/>
  </w:num>
  <w:num w:numId="17">
    <w:abstractNumId w:val="8"/>
  </w:num>
  <w:num w:numId="18">
    <w:abstractNumId w:val="1"/>
  </w:num>
  <w:num w:numId="19">
    <w:abstractNumId w:val="19"/>
  </w:num>
  <w:num w:numId="20">
    <w:abstractNumId w:val="24"/>
  </w:num>
  <w:num w:numId="21">
    <w:abstractNumId w:val="35"/>
  </w:num>
  <w:num w:numId="22">
    <w:abstractNumId w:val="25"/>
  </w:num>
  <w:num w:numId="23">
    <w:abstractNumId w:val="28"/>
  </w:num>
  <w:num w:numId="24">
    <w:abstractNumId w:val="37"/>
  </w:num>
  <w:num w:numId="25">
    <w:abstractNumId w:val="32"/>
  </w:num>
  <w:num w:numId="26">
    <w:abstractNumId w:val="41"/>
  </w:num>
  <w:num w:numId="27">
    <w:abstractNumId w:val="2"/>
  </w:num>
  <w:num w:numId="28">
    <w:abstractNumId w:val="26"/>
  </w:num>
  <w:num w:numId="29">
    <w:abstractNumId w:val="31"/>
  </w:num>
  <w:num w:numId="30">
    <w:abstractNumId w:val="33"/>
  </w:num>
  <w:num w:numId="31">
    <w:abstractNumId w:val="18"/>
  </w:num>
  <w:num w:numId="32">
    <w:abstractNumId w:val="29"/>
  </w:num>
  <w:num w:numId="33">
    <w:abstractNumId w:val="4"/>
  </w:num>
  <w:num w:numId="34">
    <w:abstractNumId w:val="30"/>
  </w:num>
  <w:num w:numId="35">
    <w:abstractNumId w:val="34"/>
  </w:num>
  <w:num w:numId="36">
    <w:abstractNumId w:val="27"/>
  </w:num>
  <w:num w:numId="37">
    <w:abstractNumId w:val="5"/>
  </w:num>
  <w:num w:numId="38">
    <w:abstractNumId w:val="22"/>
  </w:num>
  <w:num w:numId="39">
    <w:abstractNumId w:val="40"/>
  </w:num>
  <w:num w:numId="40">
    <w:abstractNumId w:val="39"/>
  </w:num>
  <w:num w:numId="41">
    <w:abstractNumId w:val="47"/>
  </w:num>
  <w:num w:numId="42">
    <w:abstractNumId w:val="38"/>
  </w:num>
  <w:num w:numId="43">
    <w:abstractNumId w:val="21"/>
  </w:num>
  <w:num w:numId="44">
    <w:abstractNumId w:val="6"/>
  </w:num>
  <w:num w:numId="45">
    <w:abstractNumId w:val="0"/>
  </w:num>
  <w:num w:numId="46">
    <w:abstractNumId w:val="17"/>
  </w:num>
  <w:num w:numId="47">
    <w:abstractNumId w:val="13"/>
  </w:num>
  <w:num w:numId="48">
    <w:abstractNumId w:val="12"/>
  </w:num>
  <w:num w:numId="49">
    <w:abstractNumId w:val="14"/>
  </w:num>
  <w:num w:numId="50">
    <w:abstractNumId w:val="9"/>
    <w:lvlOverride w:ilvl="0">
      <w:startOverride w:val="1"/>
    </w:lvlOverride>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1296"/>
  <w:hyphenationZone w:val="396"/>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086"/>
    <w:rsid w:val="00000A8B"/>
    <w:rsid w:val="00001003"/>
    <w:rsid w:val="00001867"/>
    <w:rsid w:val="00001905"/>
    <w:rsid w:val="0000192D"/>
    <w:rsid w:val="00001A53"/>
    <w:rsid w:val="0000262B"/>
    <w:rsid w:val="00002CCC"/>
    <w:rsid w:val="0000367F"/>
    <w:rsid w:val="000038D6"/>
    <w:rsid w:val="0000409B"/>
    <w:rsid w:val="00004454"/>
    <w:rsid w:val="00005647"/>
    <w:rsid w:val="000058CC"/>
    <w:rsid w:val="0000592B"/>
    <w:rsid w:val="00005D87"/>
    <w:rsid w:val="000061AD"/>
    <w:rsid w:val="0000643A"/>
    <w:rsid w:val="0000692F"/>
    <w:rsid w:val="0000760A"/>
    <w:rsid w:val="00007F90"/>
    <w:rsid w:val="000102C5"/>
    <w:rsid w:val="000104C4"/>
    <w:rsid w:val="00010C7F"/>
    <w:rsid w:val="00010CFA"/>
    <w:rsid w:val="00010F32"/>
    <w:rsid w:val="00011121"/>
    <w:rsid w:val="0001113C"/>
    <w:rsid w:val="000112AF"/>
    <w:rsid w:val="00011729"/>
    <w:rsid w:val="0001197F"/>
    <w:rsid w:val="0001198C"/>
    <w:rsid w:val="00011E09"/>
    <w:rsid w:val="00011E10"/>
    <w:rsid w:val="00012338"/>
    <w:rsid w:val="0001242D"/>
    <w:rsid w:val="00012653"/>
    <w:rsid w:val="00012D02"/>
    <w:rsid w:val="0001301A"/>
    <w:rsid w:val="000130A3"/>
    <w:rsid w:val="00013643"/>
    <w:rsid w:val="0001398C"/>
    <w:rsid w:val="00013F4B"/>
    <w:rsid w:val="00014605"/>
    <w:rsid w:val="0001517B"/>
    <w:rsid w:val="000153B4"/>
    <w:rsid w:val="00015444"/>
    <w:rsid w:val="00015BAD"/>
    <w:rsid w:val="00016210"/>
    <w:rsid w:val="000164B1"/>
    <w:rsid w:val="000165E2"/>
    <w:rsid w:val="00016996"/>
    <w:rsid w:val="0001708F"/>
    <w:rsid w:val="000171AE"/>
    <w:rsid w:val="000172D5"/>
    <w:rsid w:val="0001737F"/>
    <w:rsid w:val="000174B6"/>
    <w:rsid w:val="000175D7"/>
    <w:rsid w:val="0001784F"/>
    <w:rsid w:val="00017AE5"/>
    <w:rsid w:val="00017C89"/>
    <w:rsid w:val="000209FC"/>
    <w:rsid w:val="00020BAB"/>
    <w:rsid w:val="00020BE0"/>
    <w:rsid w:val="00020D31"/>
    <w:rsid w:val="0002138B"/>
    <w:rsid w:val="00021951"/>
    <w:rsid w:val="00022531"/>
    <w:rsid w:val="000226EE"/>
    <w:rsid w:val="00022718"/>
    <w:rsid w:val="00022B97"/>
    <w:rsid w:val="0002379C"/>
    <w:rsid w:val="00023802"/>
    <w:rsid w:val="00023C54"/>
    <w:rsid w:val="00023E5E"/>
    <w:rsid w:val="00024153"/>
    <w:rsid w:val="0002426C"/>
    <w:rsid w:val="000245F8"/>
    <w:rsid w:val="00024CF4"/>
    <w:rsid w:val="0002532A"/>
    <w:rsid w:val="0002540D"/>
    <w:rsid w:val="00025633"/>
    <w:rsid w:val="00025986"/>
    <w:rsid w:val="00026181"/>
    <w:rsid w:val="00026605"/>
    <w:rsid w:val="00026979"/>
    <w:rsid w:val="00026A23"/>
    <w:rsid w:val="00026D35"/>
    <w:rsid w:val="00026DCF"/>
    <w:rsid w:val="00026E21"/>
    <w:rsid w:val="000270EE"/>
    <w:rsid w:val="0002759C"/>
    <w:rsid w:val="000276A8"/>
    <w:rsid w:val="000277AC"/>
    <w:rsid w:val="000277FF"/>
    <w:rsid w:val="00027B58"/>
    <w:rsid w:val="00027DC5"/>
    <w:rsid w:val="00027E8A"/>
    <w:rsid w:val="000305AE"/>
    <w:rsid w:val="00030721"/>
    <w:rsid w:val="000309AE"/>
    <w:rsid w:val="00030A0F"/>
    <w:rsid w:val="00030B2B"/>
    <w:rsid w:val="00030E87"/>
    <w:rsid w:val="000319F9"/>
    <w:rsid w:val="00031D09"/>
    <w:rsid w:val="00031E0B"/>
    <w:rsid w:val="000325DD"/>
    <w:rsid w:val="000326F4"/>
    <w:rsid w:val="00033060"/>
    <w:rsid w:val="00033398"/>
    <w:rsid w:val="00033C1B"/>
    <w:rsid w:val="00033DA1"/>
    <w:rsid w:val="0003408E"/>
    <w:rsid w:val="0003449B"/>
    <w:rsid w:val="0003478D"/>
    <w:rsid w:val="00034A12"/>
    <w:rsid w:val="00034BB3"/>
    <w:rsid w:val="00034CB6"/>
    <w:rsid w:val="00035123"/>
    <w:rsid w:val="000354C0"/>
    <w:rsid w:val="0003583B"/>
    <w:rsid w:val="00035A9F"/>
    <w:rsid w:val="00035C9C"/>
    <w:rsid w:val="00035E4D"/>
    <w:rsid w:val="00036131"/>
    <w:rsid w:val="000361F4"/>
    <w:rsid w:val="000363C7"/>
    <w:rsid w:val="000372DD"/>
    <w:rsid w:val="00037E5E"/>
    <w:rsid w:val="00037F30"/>
    <w:rsid w:val="0004050A"/>
    <w:rsid w:val="000406F5"/>
    <w:rsid w:val="000408D4"/>
    <w:rsid w:val="00041F7F"/>
    <w:rsid w:val="00042BCB"/>
    <w:rsid w:val="00042D8E"/>
    <w:rsid w:val="00042FE6"/>
    <w:rsid w:val="000433B6"/>
    <w:rsid w:val="000435B9"/>
    <w:rsid w:val="00043745"/>
    <w:rsid w:val="00044A18"/>
    <w:rsid w:val="00044BF8"/>
    <w:rsid w:val="00044E0F"/>
    <w:rsid w:val="00044F50"/>
    <w:rsid w:val="00045D29"/>
    <w:rsid w:val="00045F66"/>
    <w:rsid w:val="00046004"/>
    <w:rsid w:val="0004611B"/>
    <w:rsid w:val="0004665E"/>
    <w:rsid w:val="000466F5"/>
    <w:rsid w:val="000468BB"/>
    <w:rsid w:val="00046983"/>
    <w:rsid w:val="000471B8"/>
    <w:rsid w:val="00047362"/>
    <w:rsid w:val="0004739D"/>
    <w:rsid w:val="0004758C"/>
    <w:rsid w:val="000478EC"/>
    <w:rsid w:val="00047E42"/>
    <w:rsid w:val="000500A6"/>
    <w:rsid w:val="000503D4"/>
    <w:rsid w:val="000509AB"/>
    <w:rsid w:val="00050A45"/>
    <w:rsid w:val="00050C53"/>
    <w:rsid w:val="000514FF"/>
    <w:rsid w:val="00051619"/>
    <w:rsid w:val="00051BE5"/>
    <w:rsid w:val="00051CA2"/>
    <w:rsid w:val="00051F96"/>
    <w:rsid w:val="00052321"/>
    <w:rsid w:val="00052893"/>
    <w:rsid w:val="00052F98"/>
    <w:rsid w:val="00053130"/>
    <w:rsid w:val="0005332A"/>
    <w:rsid w:val="000534E5"/>
    <w:rsid w:val="00053534"/>
    <w:rsid w:val="00053645"/>
    <w:rsid w:val="0005370A"/>
    <w:rsid w:val="00053C6A"/>
    <w:rsid w:val="00053DB6"/>
    <w:rsid w:val="000540BD"/>
    <w:rsid w:val="000548EF"/>
    <w:rsid w:val="00054913"/>
    <w:rsid w:val="00054C4D"/>
    <w:rsid w:val="00055BCB"/>
    <w:rsid w:val="00055E9D"/>
    <w:rsid w:val="000561BA"/>
    <w:rsid w:val="000562E8"/>
    <w:rsid w:val="0005635C"/>
    <w:rsid w:val="000564EB"/>
    <w:rsid w:val="00056557"/>
    <w:rsid w:val="00056949"/>
    <w:rsid w:val="00056DC0"/>
    <w:rsid w:val="000572F7"/>
    <w:rsid w:val="000575C5"/>
    <w:rsid w:val="00057D22"/>
    <w:rsid w:val="00057DF3"/>
    <w:rsid w:val="000606D5"/>
    <w:rsid w:val="00060F38"/>
    <w:rsid w:val="000617F5"/>
    <w:rsid w:val="00061C76"/>
    <w:rsid w:val="00061EB0"/>
    <w:rsid w:val="000620F0"/>
    <w:rsid w:val="0006214E"/>
    <w:rsid w:val="000625C2"/>
    <w:rsid w:val="000628F2"/>
    <w:rsid w:val="00062E17"/>
    <w:rsid w:val="00063419"/>
    <w:rsid w:val="00063563"/>
    <w:rsid w:val="000635ED"/>
    <w:rsid w:val="00063A24"/>
    <w:rsid w:val="00063EF4"/>
    <w:rsid w:val="00064037"/>
    <w:rsid w:val="000644F2"/>
    <w:rsid w:val="000648A5"/>
    <w:rsid w:val="00064A47"/>
    <w:rsid w:val="00065231"/>
    <w:rsid w:val="000652F9"/>
    <w:rsid w:val="0006540D"/>
    <w:rsid w:val="000656BB"/>
    <w:rsid w:val="00065EBA"/>
    <w:rsid w:val="000663F5"/>
    <w:rsid w:val="00066926"/>
    <w:rsid w:val="00066F8D"/>
    <w:rsid w:val="000672AC"/>
    <w:rsid w:val="00067DEC"/>
    <w:rsid w:val="0007040F"/>
    <w:rsid w:val="000704F3"/>
    <w:rsid w:val="00070DE6"/>
    <w:rsid w:val="0007132A"/>
    <w:rsid w:val="00071373"/>
    <w:rsid w:val="000718C2"/>
    <w:rsid w:val="000719C4"/>
    <w:rsid w:val="000719D4"/>
    <w:rsid w:val="000722AF"/>
    <w:rsid w:val="0007282F"/>
    <w:rsid w:val="00072883"/>
    <w:rsid w:val="00072EA2"/>
    <w:rsid w:val="00072FD5"/>
    <w:rsid w:val="00073427"/>
    <w:rsid w:val="00073432"/>
    <w:rsid w:val="000734D2"/>
    <w:rsid w:val="00073F49"/>
    <w:rsid w:val="0007407F"/>
    <w:rsid w:val="0007415C"/>
    <w:rsid w:val="00074546"/>
    <w:rsid w:val="0007544B"/>
    <w:rsid w:val="00075538"/>
    <w:rsid w:val="00075746"/>
    <w:rsid w:val="00075889"/>
    <w:rsid w:val="000758EC"/>
    <w:rsid w:val="00076115"/>
    <w:rsid w:val="00076783"/>
    <w:rsid w:val="00076A27"/>
    <w:rsid w:val="00076C3E"/>
    <w:rsid w:val="00076DE0"/>
    <w:rsid w:val="00077876"/>
    <w:rsid w:val="00077B03"/>
    <w:rsid w:val="00077B70"/>
    <w:rsid w:val="00080A4E"/>
    <w:rsid w:val="00080B81"/>
    <w:rsid w:val="00080EFF"/>
    <w:rsid w:val="00081321"/>
    <w:rsid w:val="000813C4"/>
    <w:rsid w:val="00081B8D"/>
    <w:rsid w:val="000826EE"/>
    <w:rsid w:val="00082902"/>
    <w:rsid w:val="00082E20"/>
    <w:rsid w:val="00083426"/>
    <w:rsid w:val="00083900"/>
    <w:rsid w:val="00084269"/>
    <w:rsid w:val="000844C6"/>
    <w:rsid w:val="0008477E"/>
    <w:rsid w:val="00084B50"/>
    <w:rsid w:val="00084B53"/>
    <w:rsid w:val="00084F7F"/>
    <w:rsid w:val="000852CA"/>
    <w:rsid w:val="0008562D"/>
    <w:rsid w:val="0008564C"/>
    <w:rsid w:val="00085A1E"/>
    <w:rsid w:val="00085CCF"/>
    <w:rsid w:val="0008601D"/>
    <w:rsid w:val="000868D4"/>
    <w:rsid w:val="00086AA8"/>
    <w:rsid w:val="00086CF9"/>
    <w:rsid w:val="000871A8"/>
    <w:rsid w:val="0008720D"/>
    <w:rsid w:val="00087DEF"/>
    <w:rsid w:val="0009043F"/>
    <w:rsid w:val="000904FD"/>
    <w:rsid w:val="00090809"/>
    <w:rsid w:val="00090893"/>
    <w:rsid w:val="000909CF"/>
    <w:rsid w:val="00090B5E"/>
    <w:rsid w:val="00090C5D"/>
    <w:rsid w:val="00090DEB"/>
    <w:rsid w:val="00091124"/>
    <w:rsid w:val="00091548"/>
    <w:rsid w:val="00091716"/>
    <w:rsid w:val="00091A08"/>
    <w:rsid w:val="00091CB0"/>
    <w:rsid w:val="00091D81"/>
    <w:rsid w:val="000920A3"/>
    <w:rsid w:val="000924FC"/>
    <w:rsid w:val="00092B25"/>
    <w:rsid w:val="00092E74"/>
    <w:rsid w:val="000930DD"/>
    <w:rsid w:val="00093918"/>
    <w:rsid w:val="000939BB"/>
    <w:rsid w:val="00093FBE"/>
    <w:rsid w:val="000940B1"/>
    <w:rsid w:val="000947E8"/>
    <w:rsid w:val="000948C9"/>
    <w:rsid w:val="00094ABF"/>
    <w:rsid w:val="00094DCD"/>
    <w:rsid w:val="00095032"/>
    <w:rsid w:val="000950EE"/>
    <w:rsid w:val="0009510C"/>
    <w:rsid w:val="00095317"/>
    <w:rsid w:val="000954B9"/>
    <w:rsid w:val="00095E81"/>
    <w:rsid w:val="00095F43"/>
    <w:rsid w:val="00096C2B"/>
    <w:rsid w:val="00096C30"/>
    <w:rsid w:val="00097180"/>
    <w:rsid w:val="00097564"/>
    <w:rsid w:val="000975A5"/>
    <w:rsid w:val="00097652"/>
    <w:rsid w:val="0009776B"/>
    <w:rsid w:val="00097D5D"/>
    <w:rsid w:val="000A0269"/>
    <w:rsid w:val="000A04A2"/>
    <w:rsid w:val="000A0541"/>
    <w:rsid w:val="000A0917"/>
    <w:rsid w:val="000A0922"/>
    <w:rsid w:val="000A0B43"/>
    <w:rsid w:val="000A0C09"/>
    <w:rsid w:val="000A0C4D"/>
    <w:rsid w:val="000A0D10"/>
    <w:rsid w:val="000A0E2E"/>
    <w:rsid w:val="000A1574"/>
    <w:rsid w:val="000A17E4"/>
    <w:rsid w:val="000A1C84"/>
    <w:rsid w:val="000A221E"/>
    <w:rsid w:val="000A23FE"/>
    <w:rsid w:val="000A2415"/>
    <w:rsid w:val="000A28B4"/>
    <w:rsid w:val="000A2B78"/>
    <w:rsid w:val="000A2CCA"/>
    <w:rsid w:val="000A31B8"/>
    <w:rsid w:val="000A3260"/>
    <w:rsid w:val="000A335F"/>
    <w:rsid w:val="000A336F"/>
    <w:rsid w:val="000A3461"/>
    <w:rsid w:val="000A34AD"/>
    <w:rsid w:val="000A3A87"/>
    <w:rsid w:val="000A3CEE"/>
    <w:rsid w:val="000A4573"/>
    <w:rsid w:val="000A4A70"/>
    <w:rsid w:val="000A563F"/>
    <w:rsid w:val="000A5838"/>
    <w:rsid w:val="000A5C43"/>
    <w:rsid w:val="000A5D83"/>
    <w:rsid w:val="000A63E6"/>
    <w:rsid w:val="000A68B8"/>
    <w:rsid w:val="000A6CA8"/>
    <w:rsid w:val="000A71BF"/>
    <w:rsid w:val="000A7340"/>
    <w:rsid w:val="000A788A"/>
    <w:rsid w:val="000A7929"/>
    <w:rsid w:val="000A7F83"/>
    <w:rsid w:val="000B00FE"/>
    <w:rsid w:val="000B0356"/>
    <w:rsid w:val="000B0A89"/>
    <w:rsid w:val="000B0E1B"/>
    <w:rsid w:val="000B117F"/>
    <w:rsid w:val="000B148A"/>
    <w:rsid w:val="000B1A94"/>
    <w:rsid w:val="000B1B2F"/>
    <w:rsid w:val="000B20A1"/>
    <w:rsid w:val="000B2202"/>
    <w:rsid w:val="000B2663"/>
    <w:rsid w:val="000B274F"/>
    <w:rsid w:val="000B285E"/>
    <w:rsid w:val="000B2B31"/>
    <w:rsid w:val="000B2E6D"/>
    <w:rsid w:val="000B3A28"/>
    <w:rsid w:val="000B3AF6"/>
    <w:rsid w:val="000B3D46"/>
    <w:rsid w:val="000B3E6F"/>
    <w:rsid w:val="000B5082"/>
    <w:rsid w:val="000B549E"/>
    <w:rsid w:val="000B59A2"/>
    <w:rsid w:val="000B6072"/>
    <w:rsid w:val="000B6579"/>
    <w:rsid w:val="000B66F2"/>
    <w:rsid w:val="000B695A"/>
    <w:rsid w:val="000B6BCB"/>
    <w:rsid w:val="000B7133"/>
    <w:rsid w:val="000B725C"/>
    <w:rsid w:val="000B72B4"/>
    <w:rsid w:val="000B7F6C"/>
    <w:rsid w:val="000C00AF"/>
    <w:rsid w:val="000C0722"/>
    <w:rsid w:val="000C0CDE"/>
    <w:rsid w:val="000C0EE7"/>
    <w:rsid w:val="000C1001"/>
    <w:rsid w:val="000C1074"/>
    <w:rsid w:val="000C15C4"/>
    <w:rsid w:val="000C1B7A"/>
    <w:rsid w:val="000C1CE1"/>
    <w:rsid w:val="000C1DD1"/>
    <w:rsid w:val="000C23B5"/>
    <w:rsid w:val="000C2CB8"/>
    <w:rsid w:val="000C2F19"/>
    <w:rsid w:val="000C34C8"/>
    <w:rsid w:val="000C3954"/>
    <w:rsid w:val="000C3B29"/>
    <w:rsid w:val="000C3F66"/>
    <w:rsid w:val="000C43A6"/>
    <w:rsid w:val="000C44F4"/>
    <w:rsid w:val="000C45F4"/>
    <w:rsid w:val="000C4B38"/>
    <w:rsid w:val="000C4C16"/>
    <w:rsid w:val="000C51D2"/>
    <w:rsid w:val="000C5580"/>
    <w:rsid w:val="000C558A"/>
    <w:rsid w:val="000C57CC"/>
    <w:rsid w:val="000C58BB"/>
    <w:rsid w:val="000C593A"/>
    <w:rsid w:val="000C5DE1"/>
    <w:rsid w:val="000C60E5"/>
    <w:rsid w:val="000C61CC"/>
    <w:rsid w:val="000C62AE"/>
    <w:rsid w:val="000C6E6E"/>
    <w:rsid w:val="000C6F14"/>
    <w:rsid w:val="000C7211"/>
    <w:rsid w:val="000C7298"/>
    <w:rsid w:val="000C7711"/>
    <w:rsid w:val="000D0954"/>
    <w:rsid w:val="000D09C5"/>
    <w:rsid w:val="000D0C33"/>
    <w:rsid w:val="000D0D0C"/>
    <w:rsid w:val="000D107D"/>
    <w:rsid w:val="000D1308"/>
    <w:rsid w:val="000D13DF"/>
    <w:rsid w:val="000D13F9"/>
    <w:rsid w:val="000D18C0"/>
    <w:rsid w:val="000D19A0"/>
    <w:rsid w:val="000D1A53"/>
    <w:rsid w:val="000D1AA2"/>
    <w:rsid w:val="000D1AA6"/>
    <w:rsid w:val="000D1D56"/>
    <w:rsid w:val="000D1D7C"/>
    <w:rsid w:val="000D209E"/>
    <w:rsid w:val="000D2DA5"/>
    <w:rsid w:val="000D3113"/>
    <w:rsid w:val="000D31EC"/>
    <w:rsid w:val="000D3F84"/>
    <w:rsid w:val="000D3FD5"/>
    <w:rsid w:val="000D40CB"/>
    <w:rsid w:val="000D43A9"/>
    <w:rsid w:val="000D45E0"/>
    <w:rsid w:val="000D45F3"/>
    <w:rsid w:val="000D4928"/>
    <w:rsid w:val="000D4B13"/>
    <w:rsid w:val="000D4CEA"/>
    <w:rsid w:val="000D4DF9"/>
    <w:rsid w:val="000D4E4B"/>
    <w:rsid w:val="000D527A"/>
    <w:rsid w:val="000D5A25"/>
    <w:rsid w:val="000D5DC1"/>
    <w:rsid w:val="000D60C5"/>
    <w:rsid w:val="000D61AF"/>
    <w:rsid w:val="000D6638"/>
    <w:rsid w:val="000D68A8"/>
    <w:rsid w:val="000D691B"/>
    <w:rsid w:val="000D6BBE"/>
    <w:rsid w:val="000D6CD6"/>
    <w:rsid w:val="000D7106"/>
    <w:rsid w:val="000D7777"/>
    <w:rsid w:val="000D78DD"/>
    <w:rsid w:val="000D7C79"/>
    <w:rsid w:val="000D7D76"/>
    <w:rsid w:val="000D7EF4"/>
    <w:rsid w:val="000E00DC"/>
    <w:rsid w:val="000E05AC"/>
    <w:rsid w:val="000E086E"/>
    <w:rsid w:val="000E134F"/>
    <w:rsid w:val="000E19F5"/>
    <w:rsid w:val="000E20AC"/>
    <w:rsid w:val="000E2D43"/>
    <w:rsid w:val="000E2D44"/>
    <w:rsid w:val="000E300B"/>
    <w:rsid w:val="000E3183"/>
    <w:rsid w:val="000E3377"/>
    <w:rsid w:val="000E378A"/>
    <w:rsid w:val="000E4034"/>
    <w:rsid w:val="000E4F49"/>
    <w:rsid w:val="000E52E6"/>
    <w:rsid w:val="000E531D"/>
    <w:rsid w:val="000E58A1"/>
    <w:rsid w:val="000E58EE"/>
    <w:rsid w:val="000E5A04"/>
    <w:rsid w:val="000E5A3A"/>
    <w:rsid w:val="000E5DB0"/>
    <w:rsid w:val="000E6459"/>
    <w:rsid w:val="000E6639"/>
    <w:rsid w:val="000E6900"/>
    <w:rsid w:val="000E6F6A"/>
    <w:rsid w:val="000E716D"/>
    <w:rsid w:val="000E73BB"/>
    <w:rsid w:val="000E7866"/>
    <w:rsid w:val="000E78EE"/>
    <w:rsid w:val="000E78F3"/>
    <w:rsid w:val="000E7D08"/>
    <w:rsid w:val="000E7F29"/>
    <w:rsid w:val="000F063D"/>
    <w:rsid w:val="000F090C"/>
    <w:rsid w:val="000F0E27"/>
    <w:rsid w:val="000F0FBA"/>
    <w:rsid w:val="000F2185"/>
    <w:rsid w:val="000F22B7"/>
    <w:rsid w:val="000F2C09"/>
    <w:rsid w:val="000F34CA"/>
    <w:rsid w:val="000F352D"/>
    <w:rsid w:val="000F353C"/>
    <w:rsid w:val="000F3F41"/>
    <w:rsid w:val="000F40E3"/>
    <w:rsid w:val="000F4230"/>
    <w:rsid w:val="000F4483"/>
    <w:rsid w:val="000F4641"/>
    <w:rsid w:val="000F46ED"/>
    <w:rsid w:val="000F50C4"/>
    <w:rsid w:val="000F5159"/>
    <w:rsid w:val="000F59D2"/>
    <w:rsid w:val="000F62E8"/>
    <w:rsid w:val="000F648D"/>
    <w:rsid w:val="000F6A28"/>
    <w:rsid w:val="000F6A97"/>
    <w:rsid w:val="000F6C44"/>
    <w:rsid w:val="000F6D24"/>
    <w:rsid w:val="000F6F26"/>
    <w:rsid w:val="000F701E"/>
    <w:rsid w:val="000F7101"/>
    <w:rsid w:val="000F746B"/>
    <w:rsid w:val="000F750E"/>
    <w:rsid w:val="000F75A7"/>
    <w:rsid w:val="000F7AA4"/>
    <w:rsid w:val="001004A9"/>
    <w:rsid w:val="001007A9"/>
    <w:rsid w:val="00100C9D"/>
    <w:rsid w:val="00100D2D"/>
    <w:rsid w:val="00100F76"/>
    <w:rsid w:val="0010181F"/>
    <w:rsid w:val="001018C0"/>
    <w:rsid w:val="00101A01"/>
    <w:rsid w:val="0010258D"/>
    <w:rsid w:val="001026EE"/>
    <w:rsid w:val="001026FD"/>
    <w:rsid w:val="00102707"/>
    <w:rsid w:val="00102DE8"/>
    <w:rsid w:val="00102E65"/>
    <w:rsid w:val="00102FF0"/>
    <w:rsid w:val="00103021"/>
    <w:rsid w:val="0010394A"/>
    <w:rsid w:val="00103ACF"/>
    <w:rsid w:val="0010403D"/>
    <w:rsid w:val="00104118"/>
    <w:rsid w:val="001046F3"/>
    <w:rsid w:val="0010470F"/>
    <w:rsid w:val="00104CB5"/>
    <w:rsid w:val="00105449"/>
    <w:rsid w:val="00105616"/>
    <w:rsid w:val="00105646"/>
    <w:rsid w:val="00105A8E"/>
    <w:rsid w:val="001062BF"/>
    <w:rsid w:val="00106330"/>
    <w:rsid w:val="00106792"/>
    <w:rsid w:val="0010694A"/>
    <w:rsid w:val="00106FF7"/>
    <w:rsid w:val="00107081"/>
    <w:rsid w:val="001074AE"/>
    <w:rsid w:val="00107D56"/>
    <w:rsid w:val="00107F5E"/>
    <w:rsid w:val="00110367"/>
    <w:rsid w:val="00110664"/>
    <w:rsid w:val="0011075C"/>
    <w:rsid w:val="00110AD0"/>
    <w:rsid w:val="00110F88"/>
    <w:rsid w:val="00110FD8"/>
    <w:rsid w:val="00111FAD"/>
    <w:rsid w:val="00112326"/>
    <w:rsid w:val="00112455"/>
    <w:rsid w:val="00112877"/>
    <w:rsid w:val="00112979"/>
    <w:rsid w:val="00112D87"/>
    <w:rsid w:val="00112FA7"/>
    <w:rsid w:val="00113149"/>
    <w:rsid w:val="00113171"/>
    <w:rsid w:val="0011343C"/>
    <w:rsid w:val="0011385C"/>
    <w:rsid w:val="00113957"/>
    <w:rsid w:val="00113CD6"/>
    <w:rsid w:val="00113DB8"/>
    <w:rsid w:val="00113F16"/>
    <w:rsid w:val="001147B5"/>
    <w:rsid w:val="001149EE"/>
    <w:rsid w:val="00114EFE"/>
    <w:rsid w:val="0011505C"/>
    <w:rsid w:val="001154C4"/>
    <w:rsid w:val="00115610"/>
    <w:rsid w:val="00115943"/>
    <w:rsid w:val="001159B4"/>
    <w:rsid w:val="00115EFF"/>
    <w:rsid w:val="00115F21"/>
    <w:rsid w:val="001167B6"/>
    <w:rsid w:val="00117707"/>
    <w:rsid w:val="001179A8"/>
    <w:rsid w:val="00117B40"/>
    <w:rsid w:val="00117BBF"/>
    <w:rsid w:val="00117F39"/>
    <w:rsid w:val="00120354"/>
    <w:rsid w:val="00120446"/>
    <w:rsid w:val="0012087B"/>
    <w:rsid w:val="00120A6E"/>
    <w:rsid w:val="00120F5A"/>
    <w:rsid w:val="00120F6E"/>
    <w:rsid w:val="0012127A"/>
    <w:rsid w:val="00121504"/>
    <w:rsid w:val="00121F18"/>
    <w:rsid w:val="001222E3"/>
    <w:rsid w:val="00122388"/>
    <w:rsid w:val="00122477"/>
    <w:rsid w:val="001225F4"/>
    <w:rsid w:val="0012290C"/>
    <w:rsid w:val="00122F67"/>
    <w:rsid w:val="0012319B"/>
    <w:rsid w:val="00123380"/>
    <w:rsid w:val="001233E3"/>
    <w:rsid w:val="00123C75"/>
    <w:rsid w:val="00123EAA"/>
    <w:rsid w:val="0012414F"/>
    <w:rsid w:val="00124292"/>
    <w:rsid w:val="00124404"/>
    <w:rsid w:val="00124E34"/>
    <w:rsid w:val="00124F7F"/>
    <w:rsid w:val="00125045"/>
    <w:rsid w:val="00125571"/>
    <w:rsid w:val="001259A4"/>
    <w:rsid w:val="00125D21"/>
    <w:rsid w:val="00125D38"/>
    <w:rsid w:val="00126130"/>
    <w:rsid w:val="0012624E"/>
    <w:rsid w:val="00126CF4"/>
    <w:rsid w:val="00126D4B"/>
    <w:rsid w:val="00126FF6"/>
    <w:rsid w:val="00127750"/>
    <w:rsid w:val="001278F0"/>
    <w:rsid w:val="00127C9A"/>
    <w:rsid w:val="0013060F"/>
    <w:rsid w:val="00130924"/>
    <w:rsid w:val="001313C9"/>
    <w:rsid w:val="0013146C"/>
    <w:rsid w:val="00132565"/>
    <w:rsid w:val="001325CE"/>
    <w:rsid w:val="0013264D"/>
    <w:rsid w:val="001326D9"/>
    <w:rsid w:val="00132EE5"/>
    <w:rsid w:val="001333FD"/>
    <w:rsid w:val="00133C7A"/>
    <w:rsid w:val="00133FBD"/>
    <w:rsid w:val="001343CE"/>
    <w:rsid w:val="00134448"/>
    <w:rsid w:val="00134509"/>
    <w:rsid w:val="0013455D"/>
    <w:rsid w:val="00134652"/>
    <w:rsid w:val="001346EF"/>
    <w:rsid w:val="001347DE"/>
    <w:rsid w:val="00134A9A"/>
    <w:rsid w:val="00134A9D"/>
    <w:rsid w:val="00134D2C"/>
    <w:rsid w:val="00135619"/>
    <w:rsid w:val="00135F30"/>
    <w:rsid w:val="00135F37"/>
    <w:rsid w:val="0013679D"/>
    <w:rsid w:val="0013704D"/>
    <w:rsid w:val="0013780C"/>
    <w:rsid w:val="00137994"/>
    <w:rsid w:val="001400E4"/>
    <w:rsid w:val="00140646"/>
    <w:rsid w:val="001409D4"/>
    <w:rsid w:val="00140EB5"/>
    <w:rsid w:val="00141335"/>
    <w:rsid w:val="00141359"/>
    <w:rsid w:val="00141755"/>
    <w:rsid w:val="001419F4"/>
    <w:rsid w:val="0014204A"/>
    <w:rsid w:val="0014307F"/>
    <w:rsid w:val="0014330F"/>
    <w:rsid w:val="00143839"/>
    <w:rsid w:val="00143ACE"/>
    <w:rsid w:val="0014483E"/>
    <w:rsid w:val="001448F5"/>
    <w:rsid w:val="00144B35"/>
    <w:rsid w:val="00144B76"/>
    <w:rsid w:val="00144C56"/>
    <w:rsid w:val="00144C97"/>
    <w:rsid w:val="00144CFA"/>
    <w:rsid w:val="00144DA5"/>
    <w:rsid w:val="00145365"/>
    <w:rsid w:val="001453B1"/>
    <w:rsid w:val="0014577B"/>
    <w:rsid w:val="0014597B"/>
    <w:rsid w:val="00145E6F"/>
    <w:rsid w:val="00145EC7"/>
    <w:rsid w:val="00146642"/>
    <w:rsid w:val="00146705"/>
    <w:rsid w:val="00146EED"/>
    <w:rsid w:val="00147189"/>
    <w:rsid w:val="00147884"/>
    <w:rsid w:val="0014795B"/>
    <w:rsid w:val="00147D13"/>
    <w:rsid w:val="00147DCD"/>
    <w:rsid w:val="0015005B"/>
    <w:rsid w:val="0015062E"/>
    <w:rsid w:val="001508A6"/>
    <w:rsid w:val="00150BA3"/>
    <w:rsid w:val="00150C17"/>
    <w:rsid w:val="00151342"/>
    <w:rsid w:val="001515A3"/>
    <w:rsid w:val="001515AC"/>
    <w:rsid w:val="001519FB"/>
    <w:rsid w:val="00151FAE"/>
    <w:rsid w:val="00152052"/>
    <w:rsid w:val="001525C4"/>
    <w:rsid w:val="001526C0"/>
    <w:rsid w:val="00152910"/>
    <w:rsid w:val="001529E2"/>
    <w:rsid w:val="0015338C"/>
    <w:rsid w:val="0015343C"/>
    <w:rsid w:val="001539CD"/>
    <w:rsid w:val="00154001"/>
    <w:rsid w:val="0015434C"/>
    <w:rsid w:val="00154700"/>
    <w:rsid w:val="001547CA"/>
    <w:rsid w:val="001550C6"/>
    <w:rsid w:val="00155125"/>
    <w:rsid w:val="0015531C"/>
    <w:rsid w:val="001554A6"/>
    <w:rsid w:val="00155832"/>
    <w:rsid w:val="00155C15"/>
    <w:rsid w:val="001561E6"/>
    <w:rsid w:val="00156342"/>
    <w:rsid w:val="00156662"/>
    <w:rsid w:val="00156832"/>
    <w:rsid w:val="001569C0"/>
    <w:rsid w:val="00156A0C"/>
    <w:rsid w:val="00156D9B"/>
    <w:rsid w:val="00156DD9"/>
    <w:rsid w:val="001574D0"/>
    <w:rsid w:val="001602C6"/>
    <w:rsid w:val="00160412"/>
    <w:rsid w:val="00160494"/>
    <w:rsid w:val="0016076D"/>
    <w:rsid w:val="00160C4C"/>
    <w:rsid w:val="00160D9B"/>
    <w:rsid w:val="0016138C"/>
    <w:rsid w:val="001616A3"/>
    <w:rsid w:val="001617B3"/>
    <w:rsid w:val="00161843"/>
    <w:rsid w:val="00161BE8"/>
    <w:rsid w:val="00162012"/>
    <w:rsid w:val="001622F6"/>
    <w:rsid w:val="001624C7"/>
    <w:rsid w:val="00162867"/>
    <w:rsid w:val="00162A31"/>
    <w:rsid w:val="00162A74"/>
    <w:rsid w:val="00162BAD"/>
    <w:rsid w:val="00162CFC"/>
    <w:rsid w:val="00162F14"/>
    <w:rsid w:val="00162F20"/>
    <w:rsid w:val="00163257"/>
    <w:rsid w:val="001638D4"/>
    <w:rsid w:val="001639F6"/>
    <w:rsid w:val="00163CC0"/>
    <w:rsid w:val="0016457F"/>
    <w:rsid w:val="001647B3"/>
    <w:rsid w:val="00164BCB"/>
    <w:rsid w:val="00164CED"/>
    <w:rsid w:val="00164DAF"/>
    <w:rsid w:val="0016561A"/>
    <w:rsid w:val="00165BAD"/>
    <w:rsid w:val="00166266"/>
    <w:rsid w:val="001662C5"/>
    <w:rsid w:val="00166383"/>
    <w:rsid w:val="001664F0"/>
    <w:rsid w:val="0016679D"/>
    <w:rsid w:val="00166924"/>
    <w:rsid w:val="00166A7F"/>
    <w:rsid w:val="00166C68"/>
    <w:rsid w:val="00166D77"/>
    <w:rsid w:val="001673DE"/>
    <w:rsid w:val="0016744A"/>
    <w:rsid w:val="001677B0"/>
    <w:rsid w:val="00170590"/>
    <w:rsid w:val="0017075D"/>
    <w:rsid w:val="001711BE"/>
    <w:rsid w:val="00171217"/>
    <w:rsid w:val="00171769"/>
    <w:rsid w:val="001717B0"/>
    <w:rsid w:val="001719E6"/>
    <w:rsid w:val="00171C63"/>
    <w:rsid w:val="0017241C"/>
    <w:rsid w:val="001726AE"/>
    <w:rsid w:val="001727E6"/>
    <w:rsid w:val="0017297C"/>
    <w:rsid w:val="00172E0E"/>
    <w:rsid w:val="001730A6"/>
    <w:rsid w:val="001741B6"/>
    <w:rsid w:val="00174A8C"/>
    <w:rsid w:val="00174CA1"/>
    <w:rsid w:val="00174D8E"/>
    <w:rsid w:val="00175078"/>
    <w:rsid w:val="00175861"/>
    <w:rsid w:val="00175FF2"/>
    <w:rsid w:val="001761B3"/>
    <w:rsid w:val="001762F6"/>
    <w:rsid w:val="00176970"/>
    <w:rsid w:val="00176A64"/>
    <w:rsid w:val="00176AB9"/>
    <w:rsid w:val="00176B4A"/>
    <w:rsid w:val="00176C75"/>
    <w:rsid w:val="00176D2A"/>
    <w:rsid w:val="0017737D"/>
    <w:rsid w:val="00180117"/>
    <w:rsid w:val="001803D3"/>
    <w:rsid w:val="00180694"/>
    <w:rsid w:val="00180938"/>
    <w:rsid w:val="00180CB0"/>
    <w:rsid w:val="00180DE1"/>
    <w:rsid w:val="001811C2"/>
    <w:rsid w:val="00181662"/>
    <w:rsid w:val="001817D5"/>
    <w:rsid w:val="001818E0"/>
    <w:rsid w:val="001819E1"/>
    <w:rsid w:val="00181FD3"/>
    <w:rsid w:val="001821E6"/>
    <w:rsid w:val="001822D2"/>
    <w:rsid w:val="0018247A"/>
    <w:rsid w:val="001832C0"/>
    <w:rsid w:val="0018397A"/>
    <w:rsid w:val="00183BDD"/>
    <w:rsid w:val="0018406B"/>
    <w:rsid w:val="001840C8"/>
    <w:rsid w:val="0018422D"/>
    <w:rsid w:val="001845FF"/>
    <w:rsid w:val="0018477F"/>
    <w:rsid w:val="001847E7"/>
    <w:rsid w:val="00184D1D"/>
    <w:rsid w:val="00185654"/>
    <w:rsid w:val="00185743"/>
    <w:rsid w:val="00185F34"/>
    <w:rsid w:val="0018613E"/>
    <w:rsid w:val="0018660C"/>
    <w:rsid w:val="001868F2"/>
    <w:rsid w:val="00187028"/>
    <w:rsid w:val="00187059"/>
    <w:rsid w:val="0018714C"/>
    <w:rsid w:val="001871EE"/>
    <w:rsid w:val="00187496"/>
    <w:rsid w:val="001876D9"/>
    <w:rsid w:val="00187953"/>
    <w:rsid w:val="00187C30"/>
    <w:rsid w:val="001909EC"/>
    <w:rsid w:val="00190F27"/>
    <w:rsid w:val="00190FF1"/>
    <w:rsid w:val="001910CE"/>
    <w:rsid w:val="00191B70"/>
    <w:rsid w:val="00191CB1"/>
    <w:rsid w:val="0019264E"/>
    <w:rsid w:val="00192BEC"/>
    <w:rsid w:val="001930E9"/>
    <w:rsid w:val="00193104"/>
    <w:rsid w:val="00193668"/>
    <w:rsid w:val="00193AEC"/>
    <w:rsid w:val="00193C82"/>
    <w:rsid w:val="00194115"/>
    <w:rsid w:val="001944AF"/>
    <w:rsid w:val="001957F8"/>
    <w:rsid w:val="0019629E"/>
    <w:rsid w:val="00196426"/>
    <w:rsid w:val="00196532"/>
    <w:rsid w:val="0019733B"/>
    <w:rsid w:val="00197829"/>
    <w:rsid w:val="00197952"/>
    <w:rsid w:val="00197B91"/>
    <w:rsid w:val="00197C63"/>
    <w:rsid w:val="00197D5C"/>
    <w:rsid w:val="00197DDC"/>
    <w:rsid w:val="001A00DC"/>
    <w:rsid w:val="001A06A7"/>
    <w:rsid w:val="001A07C5"/>
    <w:rsid w:val="001A0CCC"/>
    <w:rsid w:val="001A1048"/>
    <w:rsid w:val="001A19A8"/>
    <w:rsid w:val="001A1EC3"/>
    <w:rsid w:val="001A1FCA"/>
    <w:rsid w:val="001A2063"/>
    <w:rsid w:val="001A2101"/>
    <w:rsid w:val="001A2317"/>
    <w:rsid w:val="001A23B9"/>
    <w:rsid w:val="001A2702"/>
    <w:rsid w:val="001A2739"/>
    <w:rsid w:val="001A27F2"/>
    <w:rsid w:val="001A2B7B"/>
    <w:rsid w:val="001A301D"/>
    <w:rsid w:val="001A30F7"/>
    <w:rsid w:val="001A3418"/>
    <w:rsid w:val="001A365A"/>
    <w:rsid w:val="001A3C28"/>
    <w:rsid w:val="001A3D3E"/>
    <w:rsid w:val="001A484B"/>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659"/>
    <w:rsid w:val="001B181B"/>
    <w:rsid w:val="001B1A7C"/>
    <w:rsid w:val="001B1D69"/>
    <w:rsid w:val="001B2278"/>
    <w:rsid w:val="001B23CE"/>
    <w:rsid w:val="001B245A"/>
    <w:rsid w:val="001B26EA"/>
    <w:rsid w:val="001B2A46"/>
    <w:rsid w:val="001B2DF7"/>
    <w:rsid w:val="001B3690"/>
    <w:rsid w:val="001B3DDC"/>
    <w:rsid w:val="001B3F92"/>
    <w:rsid w:val="001B42EE"/>
    <w:rsid w:val="001B4313"/>
    <w:rsid w:val="001B4771"/>
    <w:rsid w:val="001B4A8D"/>
    <w:rsid w:val="001B4D96"/>
    <w:rsid w:val="001B4DDA"/>
    <w:rsid w:val="001B4EAA"/>
    <w:rsid w:val="001B5055"/>
    <w:rsid w:val="001B5960"/>
    <w:rsid w:val="001B60BE"/>
    <w:rsid w:val="001B61CB"/>
    <w:rsid w:val="001B62DA"/>
    <w:rsid w:val="001B643B"/>
    <w:rsid w:val="001B66B4"/>
    <w:rsid w:val="001B68C7"/>
    <w:rsid w:val="001B68D6"/>
    <w:rsid w:val="001B6988"/>
    <w:rsid w:val="001B6EE7"/>
    <w:rsid w:val="001B70E9"/>
    <w:rsid w:val="001B7517"/>
    <w:rsid w:val="001B7835"/>
    <w:rsid w:val="001B79D2"/>
    <w:rsid w:val="001B7C0F"/>
    <w:rsid w:val="001B7DD2"/>
    <w:rsid w:val="001C0373"/>
    <w:rsid w:val="001C03DD"/>
    <w:rsid w:val="001C0904"/>
    <w:rsid w:val="001C0B80"/>
    <w:rsid w:val="001C0D00"/>
    <w:rsid w:val="001C147F"/>
    <w:rsid w:val="001C15CE"/>
    <w:rsid w:val="001C1872"/>
    <w:rsid w:val="001C280F"/>
    <w:rsid w:val="001C2944"/>
    <w:rsid w:val="001C2F31"/>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954"/>
    <w:rsid w:val="001C7ABF"/>
    <w:rsid w:val="001C7DDA"/>
    <w:rsid w:val="001C7DF6"/>
    <w:rsid w:val="001D01B4"/>
    <w:rsid w:val="001D0325"/>
    <w:rsid w:val="001D075C"/>
    <w:rsid w:val="001D080D"/>
    <w:rsid w:val="001D0859"/>
    <w:rsid w:val="001D0EC0"/>
    <w:rsid w:val="001D0F90"/>
    <w:rsid w:val="001D150D"/>
    <w:rsid w:val="001D1A2B"/>
    <w:rsid w:val="001D2052"/>
    <w:rsid w:val="001D2187"/>
    <w:rsid w:val="001D2A6B"/>
    <w:rsid w:val="001D3045"/>
    <w:rsid w:val="001D3241"/>
    <w:rsid w:val="001D3246"/>
    <w:rsid w:val="001D3B23"/>
    <w:rsid w:val="001D3E5C"/>
    <w:rsid w:val="001D3E90"/>
    <w:rsid w:val="001D45D6"/>
    <w:rsid w:val="001D495D"/>
    <w:rsid w:val="001D4BAC"/>
    <w:rsid w:val="001D4F93"/>
    <w:rsid w:val="001D52BA"/>
    <w:rsid w:val="001D572F"/>
    <w:rsid w:val="001D5EA8"/>
    <w:rsid w:val="001D5FD3"/>
    <w:rsid w:val="001D679F"/>
    <w:rsid w:val="001D6C78"/>
    <w:rsid w:val="001D70E5"/>
    <w:rsid w:val="001D73A7"/>
    <w:rsid w:val="001D7532"/>
    <w:rsid w:val="001D757F"/>
    <w:rsid w:val="001D75D9"/>
    <w:rsid w:val="001D7D43"/>
    <w:rsid w:val="001E0188"/>
    <w:rsid w:val="001E034E"/>
    <w:rsid w:val="001E04D6"/>
    <w:rsid w:val="001E0C1F"/>
    <w:rsid w:val="001E0D87"/>
    <w:rsid w:val="001E0E9B"/>
    <w:rsid w:val="001E1465"/>
    <w:rsid w:val="001E1E22"/>
    <w:rsid w:val="001E1ECD"/>
    <w:rsid w:val="001E201D"/>
    <w:rsid w:val="001E220F"/>
    <w:rsid w:val="001E27E2"/>
    <w:rsid w:val="001E2A30"/>
    <w:rsid w:val="001E2D7D"/>
    <w:rsid w:val="001E35E9"/>
    <w:rsid w:val="001E3784"/>
    <w:rsid w:val="001E3BEA"/>
    <w:rsid w:val="001E44F9"/>
    <w:rsid w:val="001E46E9"/>
    <w:rsid w:val="001E48D5"/>
    <w:rsid w:val="001E4ACE"/>
    <w:rsid w:val="001E53AA"/>
    <w:rsid w:val="001E5415"/>
    <w:rsid w:val="001E5468"/>
    <w:rsid w:val="001E5EF9"/>
    <w:rsid w:val="001E5FBD"/>
    <w:rsid w:val="001E5FDE"/>
    <w:rsid w:val="001E60CB"/>
    <w:rsid w:val="001E6672"/>
    <w:rsid w:val="001E66F8"/>
    <w:rsid w:val="001E6876"/>
    <w:rsid w:val="001E716C"/>
    <w:rsid w:val="001E7F51"/>
    <w:rsid w:val="001F0005"/>
    <w:rsid w:val="001F0260"/>
    <w:rsid w:val="001F06FB"/>
    <w:rsid w:val="001F08CC"/>
    <w:rsid w:val="001F11B0"/>
    <w:rsid w:val="001F1302"/>
    <w:rsid w:val="001F1D93"/>
    <w:rsid w:val="001F211F"/>
    <w:rsid w:val="001F215A"/>
    <w:rsid w:val="001F241F"/>
    <w:rsid w:val="001F254E"/>
    <w:rsid w:val="001F2585"/>
    <w:rsid w:val="001F2C3B"/>
    <w:rsid w:val="001F2F5E"/>
    <w:rsid w:val="001F3087"/>
    <w:rsid w:val="001F3196"/>
    <w:rsid w:val="001F32FF"/>
    <w:rsid w:val="001F345D"/>
    <w:rsid w:val="001F3594"/>
    <w:rsid w:val="001F36FD"/>
    <w:rsid w:val="001F4269"/>
    <w:rsid w:val="001F446F"/>
    <w:rsid w:val="001F48E5"/>
    <w:rsid w:val="001F52AB"/>
    <w:rsid w:val="001F5670"/>
    <w:rsid w:val="001F6149"/>
    <w:rsid w:val="001F6E3D"/>
    <w:rsid w:val="001F6E5D"/>
    <w:rsid w:val="001F6FD8"/>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2D67"/>
    <w:rsid w:val="0020402F"/>
    <w:rsid w:val="002040B5"/>
    <w:rsid w:val="002045D8"/>
    <w:rsid w:val="00204A82"/>
    <w:rsid w:val="00205638"/>
    <w:rsid w:val="00205776"/>
    <w:rsid w:val="00205E86"/>
    <w:rsid w:val="00206C31"/>
    <w:rsid w:val="0020704C"/>
    <w:rsid w:val="00207261"/>
    <w:rsid w:val="0020754E"/>
    <w:rsid w:val="00207F4E"/>
    <w:rsid w:val="00207F62"/>
    <w:rsid w:val="002104FE"/>
    <w:rsid w:val="00210639"/>
    <w:rsid w:val="00210876"/>
    <w:rsid w:val="00210B4D"/>
    <w:rsid w:val="00210C2E"/>
    <w:rsid w:val="00210F1E"/>
    <w:rsid w:val="00211C85"/>
    <w:rsid w:val="00211C98"/>
    <w:rsid w:val="00212068"/>
    <w:rsid w:val="0021213A"/>
    <w:rsid w:val="002121E2"/>
    <w:rsid w:val="002122CC"/>
    <w:rsid w:val="00212C08"/>
    <w:rsid w:val="00212C9D"/>
    <w:rsid w:val="00212E55"/>
    <w:rsid w:val="00212E66"/>
    <w:rsid w:val="00213033"/>
    <w:rsid w:val="00213176"/>
    <w:rsid w:val="002132B0"/>
    <w:rsid w:val="0021339C"/>
    <w:rsid w:val="00213EB0"/>
    <w:rsid w:val="00213F14"/>
    <w:rsid w:val="00214032"/>
    <w:rsid w:val="002147D9"/>
    <w:rsid w:val="0021483E"/>
    <w:rsid w:val="002148A2"/>
    <w:rsid w:val="00214BE0"/>
    <w:rsid w:val="002157D9"/>
    <w:rsid w:val="00215B56"/>
    <w:rsid w:val="00215B8B"/>
    <w:rsid w:val="0021694B"/>
    <w:rsid w:val="0021699C"/>
    <w:rsid w:val="00216D3C"/>
    <w:rsid w:val="00217253"/>
    <w:rsid w:val="0021773D"/>
    <w:rsid w:val="00217928"/>
    <w:rsid w:val="00217C67"/>
    <w:rsid w:val="00217CE3"/>
    <w:rsid w:val="00217E7C"/>
    <w:rsid w:val="0022022E"/>
    <w:rsid w:val="002202D0"/>
    <w:rsid w:val="00220858"/>
    <w:rsid w:val="00220BEA"/>
    <w:rsid w:val="00220C24"/>
    <w:rsid w:val="00220D40"/>
    <w:rsid w:val="00221BD1"/>
    <w:rsid w:val="00221E5F"/>
    <w:rsid w:val="00221FB6"/>
    <w:rsid w:val="00222782"/>
    <w:rsid w:val="0022302E"/>
    <w:rsid w:val="0022377F"/>
    <w:rsid w:val="002239B8"/>
    <w:rsid w:val="00223DF0"/>
    <w:rsid w:val="002241CB"/>
    <w:rsid w:val="00224241"/>
    <w:rsid w:val="00224488"/>
    <w:rsid w:val="002246DF"/>
    <w:rsid w:val="002246FA"/>
    <w:rsid w:val="00224955"/>
    <w:rsid w:val="00224B58"/>
    <w:rsid w:val="00224B6B"/>
    <w:rsid w:val="002250E1"/>
    <w:rsid w:val="0022547C"/>
    <w:rsid w:val="002254A0"/>
    <w:rsid w:val="002255C3"/>
    <w:rsid w:val="0022571A"/>
    <w:rsid w:val="002257F8"/>
    <w:rsid w:val="00225BE9"/>
    <w:rsid w:val="00225CA0"/>
    <w:rsid w:val="00226724"/>
    <w:rsid w:val="00226791"/>
    <w:rsid w:val="0022746C"/>
    <w:rsid w:val="00227751"/>
    <w:rsid w:val="0022784D"/>
    <w:rsid w:val="00227CC3"/>
    <w:rsid w:val="00227DB8"/>
    <w:rsid w:val="00227EAE"/>
    <w:rsid w:val="00230062"/>
    <w:rsid w:val="0023024D"/>
    <w:rsid w:val="002302BC"/>
    <w:rsid w:val="00230C27"/>
    <w:rsid w:val="00230E38"/>
    <w:rsid w:val="00231145"/>
    <w:rsid w:val="002312BE"/>
    <w:rsid w:val="002313F5"/>
    <w:rsid w:val="002315BE"/>
    <w:rsid w:val="00231775"/>
    <w:rsid w:val="002322AD"/>
    <w:rsid w:val="00232CE3"/>
    <w:rsid w:val="00232F80"/>
    <w:rsid w:val="0023485F"/>
    <w:rsid w:val="0023589A"/>
    <w:rsid w:val="00235966"/>
    <w:rsid w:val="00235A38"/>
    <w:rsid w:val="00235BAA"/>
    <w:rsid w:val="00235DE7"/>
    <w:rsid w:val="002362BC"/>
    <w:rsid w:val="00236573"/>
    <w:rsid w:val="002366BD"/>
    <w:rsid w:val="00237527"/>
    <w:rsid w:val="00237D4B"/>
    <w:rsid w:val="00237F56"/>
    <w:rsid w:val="00240304"/>
    <w:rsid w:val="00240584"/>
    <w:rsid w:val="00240753"/>
    <w:rsid w:val="00240928"/>
    <w:rsid w:val="00240980"/>
    <w:rsid w:val="00240D0B"/>
    <w:rsid w:val="0024152D"/>
    <w:rsid w:val="0024162E"/>
    <w:rsid w:val="002417E9"/>
    <w:rsid w:val="002419EC"/>
    <w:rsid w:val="00241A57"/>
    <w:rsid w:val="00241B30"/>
    <w:rsid w:val="00241D3E"/>
    <w:rsid w:val="00241FE1"/>
    <w:rsid w:val="00242404"/>
    <w:rsid w:val="00242661"/>
    <w:rsid w:val="00242795"/>
    <w:rsid w:val="00242A8C"/>
    <w:rsid w:val="00242D6C"/>
    <w:rsid w:val="00243796"/>
    <w:rsid w:val="00243964"/>
    <w:rsid w:val="00243E04"/>
    <w:rsid w:val="0024472B"/>
    <w:rsid w:val="00244A15"/>
    <w:rsid w:val="00244B2A"/>
    <w:rsid w:val="00244F4E"/>
    <w:rsid w:val="002452D7"/>
    <w:rsid w:val="0024536B"/>
    <w:rsid w:val="0024566C"/>
    <w:rsid w:val="00245891"/>
    <w:rsid w:val="002458A9"/>
    <w:rsid w:val="00245CF8"/>
    <w:rsid w:val="00245FF1"/>
    <w:rsid w:val="00246040"/>
    <w:rsid w:val="00246140"/>
    <w:rsid w:val="002464C1"/>
    <w:rsid w:val="00246567"/>
    <w:rsid w:val="002465E2"/>
    <w:rsid w:val="002468A1"/>
    <w:rsid w:val="00246F54"/>
    <w:rsid w:val="00247047"/>
    <w:rsid w:val="0024779C"/>
    <w:rsid w:val="00247841"/>
    <w:rsid w:val="002479ED"/>
    <w:rsid w:val="00247F2F"/>
    <w:rsid w:val="002502A6"/>
    <w:rsid w:val="002507E8"/>
    <w:rsid w:val="00250E1A"/>
    <w:rsid w:val="00250E40"/>
    <w:rsid w:val="0025104F"/>
    <w:rsid w:val="002510B1"/>
    <w:rsid w:val="0025111E"/>
    <w:rsid w:val="00251559"/>
    <w:rsid w:val="00251717"/>
    <w:rsid w:val="00251AA5"/>
    <w:rsid w:val="00251D94"/>
    <w:rsid w:val="00251E77"/>
    <w:rsid w:val="00251F86"/>
    <w:rsid w:val="002525F6"/>
    <w:rsid w:val="0025297E"/>
    <w:rsid w:val="00252C86"/>
    <w:rsid w:val="00252FF3"/>
    <w:rsid w:val="002536AE"/>
    <w:rsid w:val="00253966"/>
    <w:rsid w:val="00253EDB"/>
    <w:rsid w:val="00253EF3"/>
    <w:rsid w:val="00254019"/>
    <w:rsid w:val="0025411B"/>
    <w:rsid w:val="00254506"/>
    <w:rsid w:val="002546F8"/>
    <w:rsid w:val="00254CA7"/>
    <w:rsid w:val="00255044"/>
    <w:rsid w:val="0025505B"/>
    <w:rsid w:val="0025505F"/>
    <w:rsid w:val="00255415"/>
    <w:rsid w:val="00255EC9"/>
    <w:rsid w:val="0025623E"/>
    <w:rsid w:val="002562D7"/>
    <w:rsid w:val="00256661"/>
    <w:rsid w:val="00256AB7"/>
    <w:rsid w:val="00256BDD"/>
    <w:rsid w:val="00256E87"/>
    <w:rsid w:val="00256EB1"/>
    <w:rsid w:val="0025721E"/>
    <w:rsid w:val="0025754A"/>
    <w:rsid w:val="00257657"/>
    <w:rsid w:val="00257A74"/>
    <w:rsid w:val="00257FEA"/>
    <w:rsid w:val="0026015A"/>
    <w:rsid w:val="0026041A"/>
    <w:rsid w:val="00260659"/>
    <w:rsid w:val="00260662"/>
    <w:rsid w:val="0026070E"/>
    <w:rsid w:val="00260AF8"/>
    <w:rsid w:val="00260D7C"/>
    <w:rsid w:val="002610EB"/>
    <w:rsid w:val="002613DA"/>
    <w:rsid w:val="00261D00"/>
    <w:rsid w:val="00261DFE"/>
    <w:rsid w:val="00262765"/>
    <w:rsid w:val="0026300D"/>
    <w:rsid w:val="002633B5"/>
    <w:rsid w:val="002636E7"/>
    <w:rsid w:val="002638CD"/>
    <w:rsid w:val="00263AB1"/>
    <w:rsid w:val="00263EA1"/>
    <w:rsid w:val="00264870"/>
    <w:rsid w:val="00264CC7"/>
    <w:rsid w:val="00264F29"/>
    <w:rsid w:val="00265A85"/>
    <w:rsid w:val="00265ACA"/>
    <w:rsid w:val="00266A96"/>
    <w:rsid w:val="00266B4C"/>
    <w:rsid w:val="00266EC8"/>
    <w:rsid w:val="00266FE6"/>
    <w:rsid w:val="00267084"/>
    <w:rsid w:val="00267BC0"/>
    <w:rsid w:val="00267F8A"/>
    <w:rsid w:val="0027075E"/>
    <w:rsid w:val="00270B59"/>
    <w:rsid w:val="002711E4"/>
    <w:rsid w:val="002715CF"/>
    <w:rsid w:val="002716F6"/>
    <w:rsid w:val="002717C5"/>
    <w:rsid w:val="00271BC4"/>
    <w:rsid w:val="00271C4D"/>
    <w:rsid w:val="00272219"/>
    <w:rsid w:val="00272681"/>
    <w:rsid w:val="002729BE"/>
    <w:rsid w:val="00272A88"/>
    <w:rsid w:val="00273324"/>
    <w:rsid w:val="002743FE"/>
    <w:rsid w:val="002747E4"/>
    <w:rsid w:val="002749FF"/>
    <w:rsid w:val="00274C90"/>
    <w:rsid w:val="002750B5"/>
    <w:rsid w:val="0027536F"/>
    <w:rsid w:val="0027573C"/>
    <w:rsid w:val="00275CA2"/>
    <w:rsid w:val="00275D92"/>
    <w:rsid w:val="002760BA"/>
    <w:rsid w:val="00276F89"/>
    <w:rsid w:val="00277806"/>
    <w:rsid w:val="00277858"/>
    <w:rsid w:val="00277932"/>
    <w:rsid w:val="00277A0C"/>
    <w:rsid w:val="00277B87"/>
    <w:rsid w:val="00280101"/>
    <w:rsid w:val="002801DC"/>
    <w:rsid w:val="00280855"/>
    <w:rsid w:val="00280AA8"/>
    <w:rsid w:val="00280BF9"/>
    <w:rsid w:val="00280C71"/>
    <w:rsid w:val="00280D29"/>
    <w:rsid w:val="00280FF5"/>
    <w:rsid w:val="0028102C"/>
    <w:rsid w:val="002810F2"/>
    <w:rsid w:val="00281271"/>
    <w:rsid w:val="00281664"/>
    <w:rsid w:val="002816FA"/>
    <w:rsid w:val="00281736"/>
    <w:rsid w:val="00281963"/>
    <w:rsid w:val="00281BF2"/>
    <w:rsid w:val="00281D3D"/>
    <w:rsid w:val="00281F4E"/>
    <w:rsid w:val="002823D7"/>
    <w:rsid w:val="00282BF9"/>
    <w:rsid w:val="00282DFA"/>
    <w:rsid w:val="00282F22"/>
    <w:rsid w:val="002830B5"/>
    <w:rsid w:val="00283223"/>
    <w:rsid w:val="00283A8F"/>
    <w:rsid w:val="00283B51"/>
    <w:rsid w:val="00283C07"/>
    <w:rsid w:val="00283CF0"/>
    <w:rsid w:val="0028409F"/>
    <w:rsid w:val="00284507"/>
    <w:rsid w:val="00284927"/>
    <w:rsid w:val="0028505D"/>
    <w:rsid w:val="002855FC"/>
    <w:rsid w:val="002856C0"/>
    <w:rsid w:val="00285916"/>
    <w:rsid w:val="00285CC0"/>
    <w:rsid w:val="00285E0A"/>
    <w:rsid w:val="00285ECB"/>
    <w:rsid w:val="0028606E"/>
    <w:rsid w:val="002863D5"/>
    <w:rsid w:val="00286A1B"/>
    <w:rsid w:val="00286C0F"/>
    <w:rsid w:val="00286FAB"/>
    <w:rsid w:val="00287BEF"/>
    <w:rsid w:val="00287D37"/>
    <w:rsid w:val="0029086D"/>
    <w:rsid w:val="00290E3A"/>
    <w:rsid w:val="0029162C"/>
    <w:rsid w:val="002916C4"/>
    <w:rsid w:val="00291BD6"/>
    <w:rsid w:val="00291BF5"/>
    <w:rsid w:val="00291EB9"/>
    <w:rsid w:val="002920BE"/>
    <w:rsid w:val="00292D89"/>
    <w:rsid w:val="00292E19"/>
    <w:rsid w:val="00292FB9"/>
    <w:rsid w:val="002938E0"/>
    <w:rsid w:val="00293B58"/>
    <w:rsid w:val="00293BE2"/>
    <w:rsid w:val="00293F36"/>
    <w:rsid w:val="0029437D"/>
    <w:rsid w:val="002943CB"/>
    <w:rsid w:val="002944A8"/>
    <w:rsid w:val="00294647"/>
    <w:rsid w:val="002946AC"/>
    <w:rsid w:val="00294930"/>
    <w:rsid w:val="00294AFB"/>
    <w:rsid w:val="00294C36"/>
    <w:rsid w:val="002952F0"/>
    <w:rsid w:val="0029531E"/>
    <w:rsid w:val="002955A9"/>
    <w:rsid w:val="00295E84"/>
    <w:rsid w:val="00295ECB"/>
    <w:rsid w:val="00296332"/>
    <w:rsid w:val="00296850"/>
    <w:rsid w:val="0029781C"/>
    <w:rsid w:val="002A0070"/>
    <w:rsid w:val="002A0208"/>
    <w:rsid w:val="002A02A3"/>
    <w:rsid w:val="002A03D5"/>
    <w:rsid w:val="002A0973"/>
    <w:rsid w:val="002A0D84"/>
    <w:rsid w:val="002A0E53"/>
    <w:rsid w:val="002A0EBC"/>
    <w:rsid w:val="002A1B6A"/>
    <w:rsid w:val="002A1F88"/>
    <w:rsid w:val="002A2A51"/>
    <w:rsid w:val="002A30F7"/>
    <w:rsid w:val="002A3332"/>
    <w:rsid w:val="002A3CC0"/>
    <w:rsid w:val="002A3E0C"/>
    <w:rsid w:val="002A407C"/>
    <w:rsid w:val="002A437F"/>
    <w:rsid w:val="002A49B9"/>
    <w:rsid w:val="002A4A40"/>
    <w:rsid w:val="002A4B79"/>
    <w:rsid w:val="002A4E7F"/>
    <w:rsid w:val="002A4EF9"/>
    <w:rsid w:val="002A518C"/>
    <w:rsid w:val="002A5825"/>
    <w:rsid w:val="002A5DA9"/>
    <w:rsid w:val="002A5E6F"/>
    <w:rsid w:val="002A6017"/>
    <w:rsid w:val="002A6070"/>
    <w:rsid w:val="002A6108"/>
    <w:rsid w:val="002A69D6"/>
    <w:rsid w:val="002A6FED"/>
    <w:rsid w:val="002A710D"/>
    <w:rsid w:val="002A7760"/>
    <w:rsid w:val="002A7F42"/>
    <w:rsid w:val="002B0217"/>
    <w:rsid w:val="002B02A4"/>
    <w:rsid w:val="002B056D"/>
    <w:rsid w:val="002B0B74"/>
    <w:rsid w:val="002B0CEC"/>
    <w:rsid w:val="002B11B9"/>
    <w:rsid w:val="002B13F9"/>
    <w:rsid w:val="002B1433"/>
    <w:rsid w:val="002B149C"/>
    <w:rsid w:val="002B1727"/>
    <w:rsid w:val="002B1A87"/>
    <w:rsid w:val="002B2445"/>
    <w:rsid w:val="002B276B"/>
    <w:rsid w:val="002B2987"/>
    <w:rsid w:val="002B2EEE"/>
    <w:rsid w:val="002B3830"/>
    <w:rsid w:val="002B3B27"/>
    <w:rsid w:val="002B3B4F"/>
    <w:rsid w:val="002B3D1C"/>
    <w:rsid w:val="002B4002"/>
    <w:rsid w:val="002B40B5"/>
    <w:rsid w:val="002B43F5"/>
    <w:rsid w:val="002B467F"/>
    <w:rsid w:val="002B49FC"/>
    <w:rsid w:val="002B4B4D"/>
    <w:rsid w:val="002B4D00"/>
    <w:rsid w:val="002B535E"/>
    <w:rsid w:val="002B562C"/>
    <w:rsid w:val="002B56D7"/>
    <w:rsid w:val="002B587B"/>
    <w:rsid w:val="002B58A9"/>
    <w:rsid w:val="002B5A81"/>
    <w:rsid w:val="002B5AF2"/>
    <w:rsid w:val="002B6443"/>
    <w:rsid w:val="002B66CE"/>
    <w:rsid w:val="002B6E33"/>
    <w:rsid w:val="002B7968"/>
    <w:rsid w:val="002B7F48"/>
    <w:rsid w:val="002C0D17"/>
    <w:rsid w:val="002C13DD"/>
    <w:rsid w:val="002C1730"/>
    <w:rsid w:val="002C17C0"/>
    <w:rsid w:val="002C1ABE"/>
    <w:rsid w:val="002C1D2A"/>
    <w:rsid w:val="002C1E96"/>
    <w:rsid w:val="002C214D"/>
    <w:rsid w:val="002C26DE"/>
    <w:rsid w:val="002C2940"/>
    <w:rsid w:val="002C2E64"/>
    <w:rsid w:val="002C3009"/>
    <w:rsid w:val="002C37F4"/>
    <w:rsid w:val="002C3850"/>
    <w:rsid w:val="002C38AC"/>
    <w:rsid w:val="002C3D5D"/>
    <w:rsid w:val="002C3DB6"/>
    <w:rsid w:val="002C3E2D"/>
    <w:rsid w:val="002C3F06"/>
    <w:rsid w:val="002C3FB4"/>
    <w:rsid w:val="002C4D76"/>
    <w:rsid w:val="002C51F5"/>
    <w:rsid w:val="002C6099"/>
    <w:rsid w:val="002C636B"/>
    <w:rsid w:val="002C7543"/>
    <w:rsid w:val="002C75BD"/>
    <w:rsid w:val="002C789D"/>
    <w:rsid w:val="002C7F15"/>
    <w:rsid w:val="002D008F"/>
    <w:rsid w:val="002D0A51"/>
    <w:rsid w:val="002D0C55"/>
    <w:rsid w:val="002D1084"/>
    <w:rsid w:val="002D11F3"/>
    <w:rsid w:val="002D1347"/>
    <w:rsid w:val="002D177D"/>
    <w:rsid w:val="002D181F"/>
    <w:rsid w:val="002D1D9A"/>
    <w:rsid w:val="002D23F0"/>
    <w:rsid w:val="002D27A6"/>
    <w:rsid w:val="002D2A87"/>
    <w:rsid w:val="002D2C9E"/>
    <w:rsid w:val="002D3082"/>
    <w:rsid w:val="002D3120"/>
    <w:rsid w:val="002D326D"/>
    <w:rsid w:val="002D32F2"/>
    <w:rsid w:val="002D3801"/>
    <w:rsid w:val="002D3956"/>
    <w:rsid w:val="002D3D45"/>
    <w:rsid w:val="002D3F49"/>
    <w:rsid w:val="002D41E2"/>
    <w:rsid w:val="002D43D9"/>
    <w:rsid w:val="002D47E7"/>
    <w:rsid w:val="002D4D02"/>
    <w:rsid w:val="002D4DB3"/>
    <w:rsid w:val="002D4E35"/>
    <w:rsid w:val="002D507D"/>
    <w:rsid w:val="002D52C5"/>
    <w:rsid w:val="002D58EE"/>
    <w:rsid w:val="002D5972"/>
    <w:rsid w:val="002D59C3"/>
    <w:rsid w:val="002D6066"/>
    <w:rsid w:val="002D60C3"/>
    <w:rsid w:val="002D663D"/>
    <w:rsid w:val="002D6BD9"/>
    <w:rsid w:val="002D6DCA"/>
    <w:rsid w:val="002D6E41"/>
    <w:rsid w:val="002D6EF7"/>
    <w:rsid w:val="002D75E0"/>
    <w:rsid w:val="002D7D3F"/>
    <w:rsid w:val="002E05C1"/>
    <w:rsid w:val="002E08E2"/>
    <w:rsid w:val="002E09D8"/>
    <w:rsid w:val="002E12CE"/>
    <w:rsid w:val="002E12F5"/>
    <w:rsid w:val="002E1F96"/>
    <w:rsid w:val="002E2342"/>
    <w:rsid w:val="002E2A3C"/>
    <w:rsid w:val="002E2B46"/>
    <w:rsid w:val="002E2FBC"/>
    <w:rsid w:val="002E356D"/>
    <w:rsid w:val="002E3A12"/>
    <w:rsid w:val="002E3A64"/>
    <w:rsid w:val="002E3B59"/>
    <w:rsid w:val="002E3D4F"/>
    <w:rsid w:val="002E3DCC"/>
    <w:rsid w:val="002E3FD5"/>
    <w:rsid w:val="002E411D"/>
    <w:rsid w:val="002E4FFD"/>
    <w:rsid w:val="002E51B6"/>
    <w:rsid w:val="002E553D"/>
    <w:rsid w:val="002E5751"/>
    <w:rsid w:val="002E588D"/>
    <w:rsid w:val="002E58C9"/>
    <w:rsid w:val="002E5AF1"/>
    <w:rsid w:val="002E5B8A"/>
    <w:rsid w:val="002E5F43"/>
    <w:rsid w:val="002E62DD"/>
    <w:rsid w:val="002E64FA"/>
    <w:rsid w:val="002E6890"/>
    <w:rsid w:val="002E6DDB"/>
    <w:rsid w:val="002E6EB9"/>
    <w:rsid w:val="002E7440"/>
    <w:rsid w:val="002E7769"/>
    <w:rsid w:val="002E7FB3"/>
    <w:rsid w:val="002F0AE3"/>
    <w:rsid w:val="002F0C55"/>
    <w:rsid w:val="002F0E62"/>
    <w:rsid w:val="002F1702"/>
    <w:rsid w:val="002F1EB2"/>
    <w:rsid w:val="002F2226"/>
    <w:rsid w:val="002F2A7D"/>
    <w:rsid w:val="002F3011"/>
    <w:rsid w:val="002F324B"/>
    <w:rsid w:val="002F35F0"/>
    <w:rsid w:val="002F37BD"/>
    <w:rsid w:val="002F39C2"/>
    <w:rsid w:val="002F39D9"/>
    <w:rsid w:val="002F3C58"/>
    <w:rsid w:val="002F3DDB"/>
    <w:rsid w:val="002F414B"/>
    <w:rsid w:val="002F4413"/>
    <w:rsid w:val="002F455C"/>
    <w:rsid w:val="002F571F"/>
    <w:rsid w:val="002F584B"/>
    <w:rsid w:val="002F587E"/>
    <w:rsid w:val="002F5A4E"/>
    <w:rsid w:val="002F5C50"/>
    <w:rsid w:val="002F5D29"/>
    <w:rsid w:val="002F6102"/>
    <w:rsid w:val="002F622F"/>
    <w:rsid w:val="002F625A"/>
    <w:rsid w:val="002F650B"/>
    <w:rsid w:val="002F6727"/>
    <w:rsid w:val="002F7281"/>
    <w:rsid w:val="002F7CCB"/>
    <w:rsid w:val="00300694"/>
    <w:rsid w:val="00300A76"/>
    <w:rsid w:val="00300CDF"/>
    <w:rsid w:val="003010FD"/>
    <w:rsid w:val="00301671"/>
    <w:rsid w:val="003016C7"/>
    <w:rsid w:val="00301B2F"/>
    <w:rsid w:val="00301DB5"/>
    <w:rsid w:val="00301E0F"/>
    <w:rsid w:val="00302465"/>
    <w:rsid w:val="003026EA"/>
    <w:rsid w:val="00302974"/>
    <w:rsid w:val="00302C04"/>
    <w:rsid w:val="00303B08"/>
    <w:rsid w:val="00303C94"/>
    <w:rsid w:val="00303D19"/>
    <w:rsid w:val="00304160"/>
    <w:rsid w:val="003041B0"/>
    <w:rsid w:val="003043F4"/>
    <w:rsid w:val="003045A3"/>
    <w:rsid w:val="0030462D"/>
    <w:rsid w:val="00304924"/>
    <w:rsid w:val="00304941"/>
    <w:rsid w:val="00304E76"/>
    <w:rsid w:val="0030506E"/>
    <w:rsid w:val="00305097"/>
    <w:rsid w:val="00305103"/>
    <w:rsid w:val="00305455"/>
    <w:rsid w:val="0030574C"/>
    <w:rsid w:val="00305A54"/>
    <w:rsid w:val="00305AD4"/>
    <w:rsid w:val="003061F0"/>
    <w:rsid w:val="003062BD"/>
    <w:rsid w:val="00307066"/>
    <w:rsid w:val="003073CD"/>
    <w:rsid w:val="0030744A"/>
    <w:rsid w:val="00307586"/>
    <w:rsid w:val="00307857"/>
    <w:rsid w:val="00307F64"/>
    <w:rsid w:val="00310410"/>
    <w:rsid w:val="00310841"/>
    <w:rsid w:val="00310BB5"/>
    <w:rsid w:val="00310C4E"/>
    <w:rsid w:val="00310D66"/>
    <w:rsid w:val="0031171B"/>
    <w:rsid w:val="00311860"/>
    <w:rsid w:val="003120FA"/>
    <w:rsid w:val="00312240"/>
    <w:rsid w:val="00312AD7"/>
    <w:rsid w:val="00312BE0"/>
    <w:rsid w:val="00312C16"/>
    <w:rsid w:val="00312C78"/>
    <w:rsid w:val="00313028"/>
    <w:rsid w:val="003130CA"/>
    <w:rsid w:val="00313516"/>
    <w:rsid w:val="003138B6"/>
    <w:rsid w:val="00313B4E"/>
    <w:rsid w:val="00314318"/>
    <w:rsid w:val="003143EF"/>
    <w:rsid w:val="0031447F"/>
    <w:rsid w:val="00314522"/>
    <w:rsid w:val="00314679"/>
    <w:rsid w:val="00314A41"/>
    <w:rsid w:val="00314B63"/>
    <w:rsid w:val="00314D04"/>
    <w:rsid w:val="00315F53"/>
    <w:rsid w:val="00316544"/>
    <w:rsid w:val="003169B5"/>
    <w:rsid w:val="00316E62"/>
    <w:rsid w:val="00316F01"/>
    <w:rsid w:val="00316FA0"/>
    <w:rsid w:val="00317686"/>
    <w:rsid w:val="00317770"/>
    <w:rsid w:val="00317F55"/>
    <w:rsid w:val="003206B5"/>
    <w:rsid w:val="003207A3"/>
    <w:rsid w:val="0032086D"/>
    <w:rsid w:val="00320926"/>
    <w:rsid w:val="00320B35"/>
    <w:rsid w:val="00321417"/>
    <w:rsid w:val="00321647"/>
    <w:rsid w:val="0032184F"/>
    <w:rsid w:val="0032256B"/>
    <w:rsid w:val="00322D0E"/>
    <w:rsid w:val="00323E21"/>
    <w:rsid w:val="00324019"/>
    <w:rsid w:val="003241CF"/>
    <w:rsid w:val="00324223"/>
    <w:rsid w:val="00324376"/>
    <w:rsid w:val="00324F9B"/>
    <w:rsid w:val="003250FA"/>
    <w:rsid w:val="003252C2"/>
    <w:rsid w:val="00325A7F"/>
    <w:rsid w:val="00325C0A"/>
    <w:rsid w:val="0032619B"/>
    <w:rsid w:val="003261FB"/>
    <w:rsid w:val="003262DF"/>
    <w:rsid w:val="00326408"/>
    <w:rsid w:val="003265F8"/>
    <w:rsid w:val="003266E1"/>
    <w:rsid w:val="00327D9A"/>
    <w:rsid w:val="00327F66"/>
    <w:rsid w:val="00330FBD"/>
    <w:rsid w:val="00332258"/>
    <w:rsid w:val="003322C3"/>
    <w:rsid w:val="0033252E"/>
    <w:rsid w:val="0033293D"/>
    <w:rsid w:val="00332AC2"/>
    <w:rsid w:val="00333038"/>
    <w:rsid w:val="003333CD"/>
    <w:rsid w:val="0033383F"/>
    <w:rsid w:val="00333E36"/>
    <w:rsid w:val="00333FC2"/>
    <w:rsid w:val="003342A0"/>
    <w:rsid w:val="00334584"/>
    <w:rsid w:val="0033499B"/>
    <w:rsid w:val="00334AD3"/>
    <w:rsid w:val="00334DB0"/>
    <w:rsid w:val="00335742"/>
    <w:rsid w:val="0033590E"/>
    <w:rsid w:val="00335991"/>
    <w:rsid w:val="00335ACD"/>
    <w:rsid w:val="00335BBA"/>
    <w:rsid w:val="00335E22"/>
    <w:rsid w:val="00336264"/>
    <w:rsid w:val="00336780"/>
    <w:rsid w:val="003367CA"/>
    <w:rsid w:val="0033694F"/>
    <w:rsid w:val="00336BBB"/>
    <w:rsid w:val="00336BE4"/>
    <w:rsid w:val="0033758C"/>
    <w:rsid w:val="0033774C"/>
    <w:rsid w:val="00340010"/>
    <w:rsid w:val="003400EB"/>
    <w:rsid w:val="0034049F"/>
    <w:rsid w:val="003404D0"/>
    <w:rsid w:val="00340CF6"/>
    <w:rsid w:val="00340EEA"/>
    <w:rsid w:val="0034108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711"/>
    <w:rsid w:val="0034599B"/>
    <w:rsid w:val="00345CB1"/>
    <w:rsid w:val="0034606C"/>
    <w:rsid w:val="0034618A"/>
    <w:rsid w:val="00346298"/>
    <w:rsid w:val="0034693A"/>
    <w:rsid w:val="00346F7E"/>
    <w:rsid w:val="00347914"/>
    <w:rsid w:val="00347FD9"/>
    <w:rsid w:val="00350112"/>
    <w:rsid w:val="00350351"/>
    <w:rsid w:val="003504A3"/>
    <w:rsid w:val="00350744"/>
    <w:rsid w:val="00350C18"/>
    <w:rsid w:val="00350F11"/>
    <w:rsid w:val="0035131B"/>
    <w:rsid w:val="0035134B"/>
    <w:rsid w:val="00351ABC"/>
    <w:rsid w:val="00351BF2"/>
    <w:rsid w:val="00351D4A"/>
    <w:rsid w:val="00351FE9"/>
    <w:rsid w:val="0035212C"/>
    <w:rsid w:val="003522B9"/>
    <w:rsid w:val="00352303"/>
    <w:rsid w:val="00352403"/>
    <w:rsid w:val="003524AF"/>
    <w:rsid w:val="003525B6"/>
    <w:rsid w:val="0035267B"/>
    <w:rsid w:val="00352968"/>
    <w:rsid w:val="00352C21"/>
    <w:rsid w:val="00352C4C"/>
    <w:rsid w:val="00352E11"/>
    <w:rsid w:val="003531CA"/>
    <w:rsid w:val="0035348F"/>
    <w:rsid w:val="0035362B"/>
    <w:rsid w:val="00354584"/>
    <w:rsid w:val="0035489B"/>
    <w:rsid w:val="00354B15"/>
    <w:rsid w:val="00354CD0"/>
    <w:rsid w:val="00355113"/>
    <w:rsid w:val="00355711"/>
    <w:rsid w:val="00355ECB"/>
    <w:rsid w:val="00355F63"/>
    <w:rsid w:val="00356006"/>
    <w:rsid w:val="0035669F"/>
    <w:rsid w:val="00356AC0"/>
    <w:rsid w:val="00356CE5"/>
    <w:rsid w:val="00357523"/>
    <w:rsid w:val="003576D6"/>
    <w:rsid w:val="0035796B"/>
    <w:rsid w:val="00357CA4"/>
    <w:rsid w:val="00357DE9"/>
    <w:rsid w:val="00360139"/>
    <w:rsid w:val="003603A2"/>
    <w:rsid w:val="003605C4"/>
    <w:rsid w:val="00360D68"/>
    <w:rsid w:val="00360EE1"/>
    <w:rsid w:val="00361177"/>
    <w:rsid w:val="003617DB"/>
    <w:rsid w:val="0036217E"/>
    <w:rsid w:val="0036242A"/>
    <w:rsid w:val="00362489"/>
    <w:rsid w:val="003628C1"/>
    <w:rsid w:val="0036295B"/>
    <w:rsid w:val="00362CB7"/>
    <w:rsid w:val="00362F93"/>
    <w:rsid w:val="0036336F"/>
    <w:rsid w:val="00363740"/>
    <w:rsid w:val="003637E6"/>
    <w:rsid w:val="0036397D"/>
    <w:rsid w:val="00363DE8"/>
    <w:rsid w:val="00363FA8"/>
    <w:rsid w:val="0036407C"/>
    <w:rsid w:val="0036439B"/>
    <w:rsid w:val="00364795"/>
    <w:rsid w:val="0036497F"/>
    <w:rsid w:val="00364A37"/>
    <w:rsid w:val="00364D8D"/>
    <w:rsid w:val="00364F1F"/>
    <w:rsid w:val="00365107"/>
    <w:rsid w:val="00365B19"/>
    <w:rsid w:val="00365D3A"/>
    <w:rsid w:val="00365F13"/>
    <w:rsid w:val="00365FA4"/>
    <w:rsid w:val="0036619A"/>
    <w:rsid w:val="003661B4"/>
    <w:rsid w:val="003662E2"/>
    <w:rsid w:val="00366D40"/>
    <w:rsid w:val="00366DD6"/>
    <w:rsid w:val="003675E9"/>
    <w:rsid w:val="00367F59"/>
    <w:rsid w:val="0037019C"/>
    <w:rsid w:val="00370810"/>
    <w:rsid w:val="00370C74"/>
    <w:rsid w:val="003712C0"/>
    <w:rsid w:val="00371587"/>
    <w:rsid w:val="003715C7"/>
    <w:rsid w:val="003717C4"/>
    <w:rsid w:val="00371D77"/>
    <w:rsid w:val="003721BF"/>
    <w:rsid w:val="003730A2"/>
    <w:rsid w:val="0037342B"/>
    <w:rsid w:val="00373DAB"/>
    <w:rsid w:val="00373EEE"/>
    <w:rsid w:val="00373F82"/>
    <w:rsid w:val="0037402C"/>
    <w:rsid w:val="003740C1"/>
    <w:rsid w:val="00374605"/>
    <w:rsid w:val="0037496E"/>
    <w:rsid w:val="00374CD8"/>
    <w:rsid w:val="0037502A"/>
    <w:rsid w:val="003752F3"/>
    <w:rsid w:val="00375442"/>
    <w:rsid w:val="003754CC"/>
    <w:rsid w:val="003756F3"/>
    <w:rsid w:val="00375E1C"/>
    <w:rsid w:val="00375E8D"/>
    <w:rsid w:val="00375FE3"/>
    <w:rsid w:val="0037611F"/>
    <w:rsid w:val="0037678F"/>
    <w:rsid w:val="00376929"/>
    <w:rsid w:val="00376B2B"/>
    <w:rsid w:val="003770FE"/>
    <w:rsid w:val="003771AF"/>
    <w:rsid w:val="00377248"/>
    <w:rsid w:val="00377454"/>
    <w:rsid w:val="0037767E"/>
    <w:rsid w:val="003776BD"/>
    <w:rsid w:val="00377BB1"/>
    <w:rsid w:val="0038007D"/>
    <w:rsid w:val="003801AB"/>
    <w:rsid w:val="00380652"/>
    <w:rsid w:val="0038099F"/>
    <w:rsid w:val="00380B8D"/>
    <w:rsid w:val="00380C51"/>
    <w:rsid w:val="00381044"/>
    <w:rsid w:val="0038175D"/>
    <w:rsid w:val="0038183C"/>
    <w:rsid w:val="00381C2C"/>
    <w:rsid w:val="00381F10"/>
    <w:rsid w:val="0038232D"/>
    <w:rsid w:val="0038281C"/>
    <w:rsid w:val="003829BF"/>
    <w:rsid w:val="00382B25"/>
    <w:rsid w:val="00382D92"/>
    <w:rsid w:val="0038305F"/>
    <w:rsid w:val="00383288"/>
    <w:rsid w:val="003833F9"/>
    <w:rsid w:val="00383883"/>
    <w:rsid w:val="003841B2"/>
    <w:rsid w:val="00384285"/>
    <w:rsid w:val="00384850"/>
    <w:rsid w:val="00384B30"/>
    <w:rsid w:val="00384BCC"/>
    <w:rsid w:val="00384E3C"/>
    <w:rsid w:val="0038508D"/>
    <w:rsid w:val="003855BD"/>
    <w:rsid w:val="00386083"/>
    <w:rsid w:val="003866AB"/>
    <w:rsid w:val="00386E16"/>
    <w:rsid w:val="00386EA8"/>
    <w:rsid w:val="003870F5"/>
    <w:rsid w:val="00387507"/>
    <w:rsid w:val="003875BD"/>
    <w:rsid w:val="003900F0"/>
    <w:rsid w:val="0039013D"/>
    <w:rsid w:val="003904A1"/>
    <w:rsid w:val="0039079E"/>
    <w:rsid w:val="00390866"/>
    <w:rsid w:val="0039092F"/>
    <w:rsid w:val="00390A67"/>
    <w:rsid w:val="00391003"/>
    <w:rsid w:val="003912F3"/>
    <w:rsid w:val="0039150E"/>
    <w:rsid w:val="00391611"/>
    <w:rsid w:val="00391775"/>
    <w:rsid w:val="00391A36"/>
    <w:rsid w:val="00391C30"/>
    <w:rsid w:val="00391D8B"/>
    <w:rsid w:val="003928F1"/>
    <w:rsid w:val="00392D99"/>
    <w:rsid w:val="00392EF2"/>
    <w:rsid w:val="0039342C"/>
    <w:rsid w:val="003935EF"/>
    <w:rsid w:val="003936E2"/>
    <w:rsid w:val="00393DF5"/>
    <w:rsid w:val="00394950"/>
    <w:rsid w:val="00395268"/>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0EC"/>
    <w:rsid w:val="003A1467"/>
    <w:rsid w:val="003A1862"/>
    <w:rsid w:val="003A1A3C"/>
    <w:rsid w:val="003A244F"/>
    <w:rsid w:val="003A25D7"/>
    <w:rsid w:val="003A2615"/>
    <w:rsid w:val="003A27F9"/>
    <w:rsid w:val="003A2804"/>
    <w:rsid w:val="003A2DAE"/>
    <w:rsid w:val="003A2FE7"/>
    <w:rsid w:val="003A3848"/>
    <w:rsid w:val="003A3C65"/>
    <w:rsid w:val="003A3C70"/>
    <w:rsid w:val="003A3D9D"/>
    <w:rsid w:val="003A40EB"/>
    <w:rsid w:val="003A4ADE"/>
    <w:rsid w:val="003A4B77"/>
    <w:rsid w:val="003A590B"/>
    <w:rsid w:val="003A5C4C"/>
    <w:rsid w:val="003A5CC5"/>
    <w:rsid w:val="003A64BF"/>
    <w:rsid w:val="003A66E5"/>
    <w:rsid w:val="003A703B"/>
    <w:rsid w:val="003A7152"/>
    <w:rsid w:val="003A75BD"/>
    <w:rsid w:val="003A776A"/>
    <w:rsid w:val="003A7CC3"/>
    <w:rsid w:val="003A7EF5"/>
    <w:rsid w:val="003B093A"/>
    <w:rsid w:val="003B096D"/>
    <w:rsid w:val="003B0BAF"/>
    <w:rsid w:val="003B0F7F"/>
    <w:rsid w:val="003B10D5"/>
    <w:rsid w:val="003B1585"/>
    <w:rsid w:val="003B1AA8"/>
    <w:rsid w:val="003B1ACB"/>
    <w:rsid w:val="003B1C45"/>
    <w:rsid w:val="003B22FC"/>
    <w:rsid w:val="003B25A8"/>
    <w:rsid w:val="003B28CE"/>
    <w:rsid w:val="003B2CE6"/>
    <w:rsid w:val="003B30A2"/>
    <w:rsid w:val="003B328B"/>
    <w:rsid w:val="003B3796"/>
    <w:rsid w:val="003B39C3"/>
    <w:rsid w:val="003B4715"/>
    <w:rsid w:val="003B47AB"/>
    <w:rsid w:val="003B4F96"/>
    <w:rsid w:val="003B53DF"/>
    <w:rsid w:val="003B55A5"/>
    <w:rsid w:val="003B57BB"/>
    <w:rsid w:val="003B6643"/>
    <w:rsid w:val="003B68DE"/>
    <w:rsid w:val="003B6BBD"/>
    <w:rsid w:val="003B6E04"/>
    <w:rsid w:val="003B7098"/>
    <w:rsid w:val="003B72FB"/>
    <w:rsid w:val="003B769B"/>
    <w:rsid w:val="003B7900"/>
    <w:rsid w:val="003B7C0A"/>
    <w:rsid w:val="003B7CED"/>
    <w:rsid w:val="003C028A"/>
    <w:rsid w:val="003C04A3"/>
    <w:rsid w:val="003C05A5"/>
    <w:rsid w:val="003C0BAE"/>
    <w:rsid w:val="003C0C7C"/>
    <w:rsid w:val="003C0CFF"/>
    <w:rsid w:val="003C1515"/>
    <w:rsid w:val="003C1689"/>
    <w:rsid w:val="003C198D"/>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0E"/>
    <w:rsid w:val="003C509D"/>
    <w:rsid w:val="003C5919"/>
    <w:rsid w:val="003C5D53"/>
    <w:rsid w:val="003C6069"/>
    <w:rsid w:val="003C644A"/>
    <w:rsid w:val="003C6D79"/>
    <w:rsid w:val="003C7131"/>
    <w:rsid w:val="003C7158"/>
    <w:rsid w:val="003C73B2"/>
    <w:rsid w:val="003C7D0A"/>
    <w:rsid w:val="003C7D85"/>
    <w:rsid w:val="003C7E22"/>
    <w:rsid w:val="003D0805"/>
    <w:rsid w:val="003D0A4A"/>
    <w:rsid w:val="003D10DA"/>
    <w:rsid w:val="003D11CA"/>
    <w:rsid w:val="003D1219"/>
    <w:rsid w:val="003D1256"/>
    <w:rsid w:val="003D17B5"/>
    <w:rsid w:val="003D1939"/>
    <w:rsid w:val="003D19FA"/>
    <w:rsid w:val="003D1AA9"/>
    <w:rsid w:val="003D1C41"/>
    <w:rsid w:val="003D22D9"/>
    <w:rsid w:val="003D2506"/>
    <w:rsid w:val="003D2772"/>
    <w:rsid w:val="003D2D50"/>
    <w:rsid w:val="003D2FFC"/>
    <w:rsid w:val="003D3119"/>
    <w:rsid w:val="003D3657"/>
    <w:rsid w:val="003D379B"/>
    <w:rsid w:val="003D3A68"/>
    <w:rsid w:val="003D4169"/>
    <w:rsid w:val="003D48C5"/>
    <w:rsid w:val="003D49A4"/>
    <w:rsid w:val="003D49B1"/>
    <w:rsid w:val="003D4AC0"/>
    <w:rsid w:val="003D4DA9"/>
    <w:rsid w:val="003D5D64"/>
    <w:rsid w:val="003D5E51"/>
    <w:rsid w:val="003D6A36"/>
    <w:rsid w:val="003D6C2C"/>
    <w:rsid w:val="003D6D63"/>
    <w:rsid w:val="003D7955"/>
    <w:rsid w:val="003D7A54"/>
    <w:rsid w:val="003D7A78"/>
    <w:rsid w:val="003D7F2E"/>
    <w:rsid w:val="003E000C"/>
    <w:rsid w:val="003E0225"/>
    <w:rsid w:val="003E022E"/>
    <w:rsid w:val="003E0599"/>
    <w:rsid w:val="003E05D7"/>
    <w:rsid w:val="003E0703"/>
    <w:rsid w:val="003E0C9E"/>
    <w:rsid w:val="003E1005"/>
    <w:rsid w:val="003E1136"/>
    <w:rsid w:val="003E113B"/>
    <w:rsid w:val="003E13B9"/>
    <w:rsid w:val="003E1C37"/>
    <w:rsid w:val="003E20BB"/>
    <w:rsid w:val="003E25F8"/>
    <w:rsid w:val="003E260B"/>
    <w:rsid w:val="003E28EB"/>
    <w:rsid w:val="003E2E39"/>
    <w:rsid w:val="003E370B"/>
    <w:rsid w:val="003E3CF9"/>
    <w:rsid w:val="003E41C4"/>
    <w:rsid w:val="003E41CD"/>
    <w:rsid w:val="003E44F1"/>
    <w:rsid w:val="003E4CDC"/>
    <w:rsid w:val="003E4DC9"/>
    <w:rsid w:val="003E4FE0"/>
    <w:rsid w:val="003E520E"/>
    <w:rsid w:val="003E5520"/>
    <w:rsid w:val="003E554F"/>
    <w:rsid w:val="003E57B4"/>
    <w:rsid w:val="003E589D"/>
    <w:rsid w:val="003E59A5"/>
    <w:rsid w:val="003E5D7B"/>
    <w:rsid w:val="003E5F08"/>
    <w:rsid w:val="003E6776"/>
    <w:rsid w:val="003E7205"/>
    <w:rsid w:val="003E726A"/>
    <w:rsid w:val="003E768A"/>
    <w:rsid w:val="003F0475"/>
    <w:rsid w:val="003F061A"/>
    <w:rsid w:val="003F0782"/>
    <w:rsid w:val="003F07F7"/>
    <w:rsid w:val="003F0F18"/>
    <w:rsid w:val="003F1610"/>
    <w:rsid w:val="003F1768"/>
    <w:rsid w:val="003F183B"/>
    <w:rsid w:val="003F192B"/>
    <w:rsid w:val="003F20D9"/>
    <w:rsid w:val="003F2736"/>
    <w:rsid w:val="003F2A7C"/>
    <w:rsid w:val="003F2F48"/>
    <w:rsid w:val="003F3127"/>
    <w:rsid w:val="003F3533"/>
    <w:rsid w:val="003F3CF7"/>
    <w:rsid w:val="003F3EFB"/>
    <w:rsid w:val="003F43E4"/>
    <w:rsid w:val="003F47EA"/>
    <w:rsid w:val="003F488B"/>
    <w:rsid w:val="003F49E2"/>
    <w:rsid w:val="003F4A48"/>
    <w:rsid w:val="003F4EA2"/>
    <w:rsid w:val="003F504D"/>
    <w:rsid w:val="003F584B"/>
    <w:rsid w:val="003F5C48"/>
    <w:rsid w:val="003F5D3F"/>
    <w:rsid w:val="003F6076"/>
    <w:rsid w:val="003F625C"/>
    <w:rsid w:val="003F6384"/>
    <w:rsid w:val="003F6880"/>
    <w:rsid w:val="003F6D01"/>
    <w:rsid w:val="003F6E2F"/>
    <w:rsid w:val="003F6F59"/>
    <w:rsid w:val="003F70B8"/>
    <w:rsid w:val="003F70DB"/>
    <w:rsid w:val="003F7296"/>
    <w:rsid w:val="003F7647"/>
    <w:rsid w:val="003F7B58"/>
    <w:rsid w:val="0040037A"/>
    <w:rsid w:val="004007F7"/>
    <w:rsid w:val="00400A2D"/>
    <w:rsid w:val="00400BF5"/>
    <w:rsid w:val="00401555"/>
    <w:rsid w:val="00401696"/>
    <w:rsid w:val="004016C3"/>
    <w:rsid w:val="00401A61"/>
    <w:rsid w:val="00401FF5"/>
    <w:rsid w:val="004021BF"/>
    <w:rsid w:val="004022B7"/>
    <w:rsid w:val="004026C1"/>
    <w:rsid w:val="004027A6"/>
    <w:rsid w:val="00402945"/>
    <w:rsid w:val="00403628"/>
    <w:rsid w:val="00403861"/>
    <w:rsid w:val="00404ED5"/>
    <w:rsid w:val="0040501E"/>
    <w:rsid w:val="00405332"/>
    <w:rsid w:val="0040558F"/>
    <w:rsid w:val="004055B7"/>
    <w:rsid w:val="00405B0D"/>
    <w:rsid w:val="004063BC"/>
    <w:rsid w:val="0040662B"/>
    <w:rsid w:val="00406729"/>
    <w:rsid w:val="00406966"/>
    <w:rsid w:val="00407089"/>
    <w:rsid w:val="004076E3"/>
    <w:rsid w:val="004077C6"/>
    <w:rsid w:val="00407857"/>
    <w:rsid w:val="0040787A"/>
    <w:rsid w:val="00407C3D"/>
    <w:rsid w:val="00410A3D"/>
    <w:rsid w:val="00410D80"/>
    <w:rsid w:val="00410FCB"/>
    <w:rsid w:val="004114AF"/>
    <w:rsid w:val="00411538"/>
    <w:rsid w:val="00411712"/>
    <w:rsid w:val="00411784"/>
    <w:rsid w:val="0041179D"/>
    <w:rsid w:val="0041191C"/>
    <w:rsid w:val="00411F63"/>
    <w:rsid w:val="00411F72"/>
    <w:rsid w:val="004126C9"/>
    <w:rsid w:val="004127C4"/>
    <w:rsid w:val="00412A12"/>
    <w:rsid w:val="00412A1D"/>
    <w:rsid w:val="0041312D"/>
    <w:rsid w:val="00413432"/>
    <w:rsid w:val="00413F3E"/>
    <w:rsid w:val="00413FC5"/>
    <w:rsid w:val="00414285"/>
    <w:rsid w:val="004143E2"/>
    <w:rsid w:val="004145CE"/>
    <w:rsid w:val="004153E4"/>
    <w:rsid w:val="0041551E"/>
    <w:rsid w:val="00415592"/>
    <w:rsid w:val="00415A13"/>
    <w:rsid w:val="00415AD1"/>
    <w:rsid w:val="00416690"/>
    <w:rsid w:val="00416DC8"/>
    <w:rsid w:val="00417331"/>
    <w:rsid w:val="00417384"/>
    <w:rsid w:val="00417646"/>
    <w:rsid w:val="00417812"/>
    <w:rsid w:val="004200BB"/>
    <w:rsid w:val="004209DF"/>
    <w:rsid w:val="00420BC6"/>
    <w:rsid w:val="00420D81"/>
    <w:rsid w:val="00421154"/>
    <w:rsid w:val="0042161F"/>
    <w:rsid w:val="00421B3C"/>
    <w:rsid w:val="00421B59"/>
    <w:rsid w:val="00421E94"/>
    <w:rsid w:val="00422598"/>
    <w:rsid w:val="00422906"/>
    <w:rsid w:val="00422996"/>
    <w:rsid w:val="00422A25"/>
    <w:rsid w:val="00423AE3"/>
    <w:rsid w:val="00423F61"/>
    <w:rsid w:val="0042448E"/>
    <w:rsid w:val="004248F4"/>
    <w:rsid w:val="004249AC"/>
    <w:rsid w:val="0042581B"/>
    <w:rsid w:val="00425BCB"/>
    <w:rsid w:val="00426292"/>
    <w:rsid w:val="00426BBE"/>
    <w:rsid w:val="00426D28"/>
    <w:rsid w:val="00426DCD"/>
    <w:rsid w:val="0042749F"/>
    <w:rsid w:val="00427683"/>
    <w:rsid w:val="00427855"/>
    <w:rsid w:val="00427C59"/>
    <w:rsid w:val="00427C99"/>
    <w:rsid w:val="00427EE7"/>
    <w:rsid w:val="00427F8D"/>
    <w:rsid w:val="004303DA"/>
    <w:rsid w:val="004309E2"/>
    <w:rsid w:val="00430C4B"/>
    <w:rsid w:val="00430F79"/>
    <w:rsid w:val="004318A1"/>
    <w:rsid w:val="004319FA"/>
    <w:rsid w:val="00431CFE"/>
    <w:rsid w:val="00432380"/>
    <w:rsid w:val="00432490"/>
    <w:rsid w:val="00432A9A"/>
    <w:rsid w:val="00432F33"/>
    <w:rsid w:val="00433199"/>
    <w:rsid w:val="00433200"/>
    <w:rsid w:val="00433336"/>
    <w:rsid w:val="004333BC"/>
    <w:rsid w:val="0043361A"/>
    <w:rsid w:val="00433A9A"/>
    <w:rsid w:val="00434009"/>
    <w:rsid w:val="004342A7"/>
    <w:rsid w:val="00434CA5"/>
    <w:rsid w:val="00435FDC"/>
    <w:rsid w:val="00435FF5"/>
    <w:rsid w:val="0043698D"/>
    <w:rsid w:val="00436A71"/>
    <w:rsid w:val="00436D5E"/>
    <w:rsid w:val="004371B5"/>
    <w:rsid w:val="00437251"/>
    <w:rsid w:val="004375A2"/>
    <w:rsid w:val="00437AE8"/>
    <w:rsid w:val="00437C39"/>
    <w:rsid w:val="00437F0B"/>
    <w:rsid w:val="00437FE6"/>
    <w:rsid w:val="00437FED"/>
    <w:rsid w:val="00440071"/>
    <w:rsid w:val="0044018E"/>
    <w:rsid w:val="0044046A"/>
    <w:rsid w:val="0044056E"/>
    <w:rsid w:val="00440729"/>
    <w:rsid w:val="00440C4E"/>
    <w:rsid w:val="00440DAE"/>
    <w:rsid w:val="00441532"/>
    <w:rsid w:val="00441928"/>
    <w:rsid w:val="004420A7"/>
    <w:rsid w:val="0044240D"/>
    <w:rsid w:val="0044241E"/>
    <w:rsid w:val="00442AEC"/>
    <w:rsid w:val="00443A13"/>
    <w:rsid w:val="00443A66"/>
    <w:rsid w:val="00443A70"/>
    <w:rsid w:val="00443BE7"/>
    <w:rsid w:val="00443E3F"/>
    <w:rsid w:val="00443EB5"/>
    <w:rsid w:val="004440A5"/>
    <w:rsid w:val="00444214"/>
    <w:rsid w:val="004446F3"/>
    <w:rsid w:val="00444709"/>
    <w:rsid w:val="00444CE0"/>
    <w:rsid w:val="00444F15"/>
    <w:rsid w:val="004451C7"/>
    <w:rsid w:val="00445DE7"/>
    <w:rsid w:val="0044653C"/>
    <w:rsid w:val="00446754"/>
    <w:rsid w:val="00446773"/>
    <w:rsid w:val="00446996"/>
    <w:rsid w:val="00446AB5"/>
    <w:rsid w:val="00446EAE"/>
    <w:rsid w:val="004473EB"/>
    <w:rsid w:val="00447AD3"/>
    <w:rsid w:val="00447CB2"/>
    <w:rsid w:val="00447EA9"/>
    <w:rsid w:val="004501D3"/>
    <w:rsid w:val="0045072E"/>
    <w:rsid w:val="0045077D"/>
    <w:rsid w:val="00450D50"/>
    <w:rsid w:val="00450DE8"/>
    <w:rsid w:val="00450F0C"/>
    <w:rsid w:val="00451714"/>
    <w:rsid w:val="004517BF"/>
    <w:rsid w:val="00451A58"/>
    <w:rsid w:val="00451ABE"/>
    <w:rsid w:val="00451E81"/>
    <w:rsid w:val="004521CB"/>
    <w:rsid w:val="0045246B"/>
    <w:rsid w:val="00452877"/>
    <w:rsid w:val="004528B0"/>
    <w:rsid w:val="0045348B"/>
    <w:rsid w:val="0045373B"/>
    <w:rsid w:val="004540C0"/>
    <w:rsid w:val="0045476D"/>
    <w:rsid w:val="00454858"/>
    <w:rsid w:val="00454CF4"/>
    <w:rsid w:val="0045538B"/>
    <w:rsid w:val="004554C5"/>
    <w:rsid w:val="004556CA"/>
    <w:rsid w:val="00455D90"/>
    <w:rsid w:val="004562EC"/>
    <w:rsid w:val="004564B7"/>
    <w:rsid w:val="0045656A"/>
    <w:rsid w:val="00456588"/>
    <w:rsid w:val="0045695B"/>
    <w:rsid w:val="00456B45"/>
    <w:rsid w:val="00456C24"/>
    <w:rsid w:val="00456CCE"/>
    <w:rsid w:val="00456D14"/>
    <w:rsid w:val="00457534"/>
    <w:rsid w:val="004578A2"/>
    <w:rsid w:val="00457C96"/>
    <w:rsid w:val="00457CBF"/>
    <w:rsid w:val="00457F1A"/>
    <w:rsid w:val="00460A87"/>
    <w:rsid w:val="00460B33"/>
    <w:rsid w:val="004610C5"/>
    <w:rsid w:val="0046159B"/>
    <w:rsid w:val="00461EB4"/>
    <w:rsid w:val="004622E6"/>
    <w:rsid w:val="0046244D"/>
    <w:rsid w:val="00462573"/>
    <w:rsid w:val="00462C48"/>
    <w:rsid w:val="00462DD2"/>
    <w:rsid w:val="0046309D"/>
    <w:rsid w:val="00463377"/>
    <w:rsid w:val="00463B61"/>
    <w:rsid w:val="004641A1"/>
    <w:rsid w:val="00464219"/>
    <w:rsid w:val="00464A9E"/>
    <w:rsid w:val="00465339"/>
    <w:rsid w:val="00465439"/>
    <w:rsid w:val="004659EF"/>
    <w:rsid w:val="00465FF4"/>
    <w:rsid w:val="004668E6"/>
    <w:rsid w:val="00466BDC"/>
    <w:rsid w:val="00467050"/>
    <w:rsid w:val="004673E3"/>
    <w:rsid w:val="0046740D"/>
    <w:rsid w:val="00467634"/>
    <w:rsid w:val="0046784E"/>
    <w:rsid w:val="00467E10"/>
    <w:rsid w:val="0047007B"/>
    <w:rsid w:val="004703CF"/>
    <w:rsid w:val="0047092B"/>
    <w:rsid w:val="00470B37"/>
    <w:rsid w:val="00470B85"/>
    <w:rsid w:val="00470FFB"/>
    <w:rsid w:val="004711B5"/>
    <w:rsid w:val="00471472"/>
    <w:rsid w:val="00471698"/>
    <w:rsid w:val="004716A2"/>
    <w:rsid w:val="00471827"/>
    <w:rsid w:val="00471AD1"/>
    <w:rsid w:val="00471C32"/>
    <w:rsid w:val="00472371"/>
    <w:rsid w:val="00472400"/>
    <w:rsid w:val="004730F7"/>
    <w:rsid w:val="004731D9"/>
    <w:rsid w:val="00473599"/>
    <w:rsid w:val="00473C0A"/>
    <w:rsid w:val="00473E36"/>
    <w:rsid w:val="004748FE"/>
    <w:rsid w:val="00474C41"/>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76F"/>
    <w:rsid w:val="004828B3"/>
    <w:rsid w:val="004828C3"/>
    <w:rsid w:val="00482938"/>
    <w:rsid w:val="004836B2"/>
    <w:rsid w:val="004839A8"/>
    <w:rsid w:val="00483AC7"/>
    <w:rsid w:val="00483D55"/>
    <w:rsid w:val="00483EAA"/>
    <w:rsid w:val="00484261"/>
    <w:rsid w:val="0048524B"/>
    <w:rsid w:val="00485E39"/>
    <w:rsid w:val="00486C35"/>
    <w:rsid w:val="00487199"/>
    <w:rsid w:val="0048749E"/>
    <w:rsid w:val="0048767F"/>
    <w:rsid w:val="00487749"/>
    <w:rsid w:val="004878F0"/>
    <w:rsid w:val="00490529"/>
    <w:rsid w:val="00490AC4"/>
    <w:rsid w:val="00490F31"/>
    <w:rsid w:val="004910B6"/>
    <w:rsid w:val="00491189"/>
    <w:rsid w:val="00491228"/>
    <w:rsid w:val="004914AA"/>
    <w:rsid w:val="00491631"/>
    <w:rsid w:val="0049201F"/>
    <w:rsid w:val="004922A7"/>
    <w:rsid w:val="00492B03"/>
    <w:rsid w:val="00493489"/>
    <w:rsid w:val="004934CE"/>
    <w:rsid w:val="00493B98"/>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0F14"/>
    <w:rsid w:val="004A0F8C"/>
    <w:rsid w:val="004A1407"/>
    <w:rsid w:val="004A1896"/>
    <w:rsid w:val="004A1B40"/>
    <w:rsid w:val="004A1C25"/>
    <w:rsid w:val="004A1FC0"/>
    <w:rsid w:val="004A2272"/>
    <w:rsid w:val="004A22F3"/>
    <w:rsid w:val="004A279D"/>
    <w:rsid w:val="004A284C"/>
    <w:rsid w:val="004A2964"/>
    <w:rsid w:val="004A2C02"/>
    <w:rsid w:val="004A31FC"/>
    <w:rsid w:val="004A322B"/>
    <w:rsid w:val="004A3244"/>
    <w:rsid w:val="004A35FF"/>
    <w:rsid w:val="004A37CE"/>
    <w:rsid w:val="004A3852"/>
    <w:rsid w:val="004A38AF"/>
    <w:rsid w:val="004A451E"/>
    <w:rsid w:val="004A4BCB"/>
    <w:rsid w:val="004A509B"/>
    <w:rsid w:val="004A51BD"/>
    <w:rsid w:val="004A5364"/>
    <w:rsid w:val="004A5714"/>
    <w:rsid w:val="004A59C9"/>
    <w:rsid w:val="004A5F71"/>
    <w:rsid w:val="004A6666"/>
    <w:rsid w:val="004A6EE0"/>
    <w:rsid w:val="004A72C1"/>
    <w:rsid w:val="004A7A29"/>
    <w:rsid w:val="004A7D70"/>
    <w:rsid w:val="004A7DE0"/>
    <w:rsid w:val="004A7EE9"/>
    <w:rsid w:val="004B043D"/>
    <w:rsid w:val="004B0AA0"/>
    <w:rsid w:val="004B194D"/>
    <w:rsid w:val="004B1C6A"/>
    <w:rsid w:val="004B1F23"/>
    <w:rsid w:val="004B222C"/>
    <w:rsid w:val="004B2746"/>
    <w:rsid w:val="004B305C"/>
    <w:rsid w:val="004B3BE0"/>
    <w:rsid w:val="004B3C5C"/>
    <w:rsid w:val="004B3E93"/>
    <w:rsid w:val="004B473B"/>
    <w:rsid w:val="004B5047"/>
    <w:rsid w:val="004B51DA"/>
    <w:rsid w:val="004B5B0D"/>
    <w:rsid w:val="004B5B35"/>
    <w:rsid w:val="004B5C6A"/>
    <w:rsid w:val="004B5CC0"/>
    <w:rsid w:val="004B5FAD"/>
    <w:rsid w:val="004B6825"/>
    <w:rsid w:val="004B6E37"/>
    <w:rsid w:val="004B6F98"/>
    <w:rsid w:val="004B7337"/>
    <w:rsid w:val="004B763C"/>
    <w:rsid w:val="004B779B"/>
    <w:rsid w:val="004B78E9"/>
    <w:rsid w:val="004B7A9D"/>
    <w:rsid w:val="004B7B4D"/>
    <w:rsid w:val="004B7BA0"/>
    <w:rsid w:val="004C0390"/>
    <w:rsid w:val="004C07E8"/>
    <w:rsid w:val="004C08AD"/>
    <w:rsid w:val="004C0D0C"/>
    <w:rsid w:val="004C0DBE"/>
    <w:rsid w:val="004C0F88"/>
    <w:rsid w:val="004C1295"/>
    <w:rsid w:val="004C1820"/>
    <w:rsid w:val="004C19C0"/>
    <w:rsid w:val="004C1F33"/>
    <w:rsid w:val="004C210B"/>
    <w:rsid w:val="004C224E"/>
    <w:rsid w:val="004C2927"/>
    <w:rsid w:val="004C2A86"/>
    <w:rsid w:val="004C2D1D"/>
    <w:rsid w:val="004C2F61"/>
    <w:rsid w:val="004C3279"/>
    <w:rsid w:val="004C345F"/>
    <w:rsid w:val="004C39AF"/>
    <w:rsid w:val="004C3B68"/>
    <w:rsid w:val="004C3D07"/>
    <w:rsid w:val="004C3E2C"/>
    <w:rsid w:val="004C4AB5"/>
    <w:rsid w:val="004C55B2"/>
    <w:rsid w:val="004C682D"/>
    <w:rsid w:val="004C6AFC"/>
    <w:rsid w:val="004C7416"/>
    <w:rsid w:val="004C7CA1"/>
    <w:rsid w:val="004C7DD6"/>
    <w:rsid w:val="004D0FA5"/>
    <w:rsid w:val="004D100E"/>
    <w:rsid w:val="004D12D0"/>
    <w:rsid w:val="004D1490"/>
    <w:rsid w:val="004D15C2"/>
    <w:rsid w:val="004D16E1"/>
    <w:rsid w:val="004D26C9"/>
    <w:rsid w:val="004D27B9"/>
    <w:rsid w:val="004D28C0"/>
    <w:rsid w:val="004D2E84"/>
    <w:rsid w:val="004D30EE"/>
    <w:rsid w:val="004D376C"/>
    <w:rsid w:val="004D3793"/>
    <w:rsid w:val="004D3AE3"/>
    <w:rsid w:val="004D3B59"/>
    <w:rsid w:val="004D416D"/>
    <w:rsid w:val="004D4695"/>
    <w:rsid w:val="004D4CA4"/>
    <w:rsid w:val="004D53E2"/>
    <w:rsid w:val="004D5554"/>
    <w:rsid w:val="004D5590"/>
    <w:rsid w:val="004D5A89"/>
    <w:rsid w:val="004D5AD1"/>
    <w:rsid w:val="004D5DB0"/>
    <w:rsid w:val="004D65E4"/>
    <w:rsid w:val="004D68E7"/>
    <w:rsid w:val="004D69D2"/>
    <w:rsid w:val="004D6DE1"/>
    <w:rsid w:val="004D6E05"/>
    <w:rsid w:val="004D6FF2"/>
    <w:rsid w:val="004D71AF"/>
    <w:rsid w:val="004D7496"/>
    <w:rsid w:val="004D7498"/>
    <w:rsid w:val="004D77BD"/>
    <w:rsid w:val="004D7FA7"/>
    <w:rsid w:val="004E004D"/>
    <w:rsid w:val="004E0595"/>
    <w:rsid w:val="004E1095"/>
    <w:rsid w:val="004E14B0"/>
    <w:rsid w:val="004E1AA3"/>
    <w:rsid w:val="004E1DD1"/>
    <w:rsid w:val="004E1F09"/>
    <w:rsid w:val="004E1F67"/>
    <w:rsid w:val="004E2048"/>
    <w:rsid w:val="004E2489"/>
    <w:rsid w:val="004E2586"/>
    <w:rsid w:val="004E26EE"/>
    <w:rsid w:val="004E2941"/>
    <w:rsid w:val="004E2EBC"/>
    <w:rsid w:val="004E3380"/>
    <w:rsid w:val="004E42E0"/>
    <w:rsid w:val="004E44A3"/>
    <w:rsid w:val="004E4ABF"/>
    <w:rsid w:val="004E4C2F"/>
    <w:rsid w:val="004E4CDB"/>
    <w:rsid w:val="004E4E3F"/>
    <w:rsid w:val="004E641F"/>
    <w:rsid w:val="004E6435"/>
    <w:rsid w:val="004E678B"/>
    <w:rsid w:val="004E73A8"/>
    <w:rsid w:val="004E7430"/>
    <w:rsid w:val="004E7AE4"/>
    <w:rsid w:val="004F0790"/>
    <w:rsid w:val="004F0A84"/>
    <w:rsid w:val="004F0E5F"/>
    <w:rsid w:val="004F15AE"/>
    <w:rsid w:val="004F1B3A"/>
    <w:rsid w:val="004F1BDC"/>
    <w:rsid w:val="004F2980"/>
    <w:rsid w:val="004F2F37"/>
    <w:rsid w:val="004F3B5B"/>
    <w:rsid w:val="004F3B93"/>
    <w:rsid w:val="004F3C3D"/>
    <w:rsid w:val="004F3D93"/>
    <w:rsid w:val="004F40BB"/>
    <w:rsid w:val="004F45EA"/>
    <w:rsid w:val="004F4B42"/>
    <w:rsid w:val="004F5360"/>
    <w:rsid w:val="004F5370"/>
    <w:rsid w:val="004F55E0"/>
    <w:rsid w:val="004F58CF"/>
    <w:rsid w:val="004F5EEC"/>
    <w:rsid w:val="004F642C"/>
    <w:rsid w:val="004F6815"/>
    <w:rsid w:val="004F69A4"/>
    <w:rsid w:val="004F6BC7"/>
    <w:rsid w:val="004F7027"/>
    <w:rsid w:val="004F750A"/>
    <w:rsid w:val="004F7699"/>
    <w:rsid w:val="004F7919"/>
    <w:rsid w:val="004F79BB"/>
    <w:rsid w:val="004F7C2C"/>
    <w:rsid w:val="00500162"/>
    <w:rsid w:val="0050025F"/>
    <w:rsid w:val="00500866"/>
    <w:rsid w:val="00500BBE"/>
    <w:rsid w:val="00500D3A"/>
    <w:rsid w:val="005018C2"/>
    <w:rsid w:val="00501FE5"/>
    <w:rsid w:val="0050206E"/>
    <w:rsid w:val="005021A4"/>
    <w:rsid w:val="005027A3"/>
    <w:rsid w:val="00502925"/>
    <w:rsid w:val="00502E59"/>
    <w:rsid w:val="00503B1E"/>
    <w:rsid w:val="00503E90"/>
    <w:rsid w:val="005041CF"/>
    <w:rsid w:val="0050440E"/>
    <w:rsid w:val="0050471D"/>
    <w:rsid w:val="00504879"/>
    <w:rsid w:val="00504B13"/>
    <w:rsid w:val="00504CC0"/>
    <w:rsid w:val="00505509"/>
    <w:rsid w:val="005056E7"/>
    <w:rsid w:val="0050579C"/>
    <w:rsid w:val="00505CBC"/>
    <w:rsid w:val="00505EB1"/>
    <w:rsid w:val="00505F0B"/>
    <w:rsid w:val="00505F18"/>
    <w:rsid w:val="00506000"/>
    <w:rsid w:val="0050616B"/>
    <w:rsid w:val="005065CD"/>
    <w:rsid w:val="0050694C"/>
    <w:rsid w:val="00506969"/>
    <w:rsid w:val="005069F6"/>
    <w:rsid w:val="0050704E"/>
    <w:rsid w:val="0050710F"/>
    <w:rsid w:val="0050722F"/>
    <w:rsid w:val="005073F2"/>
    <w:rsid w:val="0050766C"/>
    <w:rsid w:val="00510179"/>
    <w:rsid w:val="00510948"/>
    <w:rsid w:val="00510F1B"/>
    <w:rsid w:val="0051153D"/>
    <w:rsid w:val="00511576"/>
    <w:rsid w:val="00511A3F"/>
    <w:rsid w:val="00511AC3"/>
    <w:rsid w:val="00511E2E"/>
    <w:rsid w:val="00512296"/>
    <w:rsid w:val="005126A9"/>
    <w:rsid w:val="0051288B"/>
    <w:rsid w:val="00512E7D"/>
    <w:rsid w:val="0051317D"/>
    <w:rsid w:val="00513253"/>
    <w:rsid w:val="00513BAF"/>
    <w:rsid w:val="00514720"/>
    <w:rsid w:val="00514F63"/>
    <w:rsid w:val="00515355"/>
    <w:rsid w:val="00515371"/>
    <w:rsid w:val="005159FF"/>
    <w:rsid w:val="00515AEB"/>
    <w:rsid w:val="00516091"/>
    <w:rsid w:val="00516199"/>
    <w:rsid w:val="005164D8"/>
    <w:rsid w:val="00516748"/>
    <w:rsid w:val="00516B6D"/>
    <w:rsid w:val="00516D1D"/>
    <w:rsid w:val="00516E62"/>
    <w:rsid w:val="00516EEA"/>
    <w:rsid w:val="00516F6C"/>
    <w:rsid w:val="0051701E"/>
    <w:rsid w:val="005171C0"/>
    <w:rsid w:val="00517440"/>
    <w:rsid w:val="0052017D"/>
    <w:rsid w:val="0052078D"/>
    <w:rsid w:val="00520EA8"/>
    <w:rsid w:val="0052105D"/>
    <w:rsid w:val="00521296"/>
    <w:rsid w:val="005217EB"/>
    <w:rsid w:val="00522487"/>
    <w:rsid w:val="0052267A"/>
    <w:rsid w:val="00522C83"/>
    <w:rsid w:val="00522DA0"/>
    <w:rsid w:val="00522E2C"/>
    <w:rsid w:val="0052351F"/>
    <w:rsid w:val="005236E5"/>
    <w:rsid w:val="00523E53"/>
    <w:rsid w:val="0052455B"/>
    <w:rsid w:val="005245EE"/>
    <w:rsid w:val="00525922"/>
    <w:rsid w:val="00525D27"/>
    <w:rsid w:val="00525DB2"/>
    <w:rsid w:val="0052605F"/>
    <w:rsid w:val="0052686B"/>
    <w:rsid w:val="0052746A"/>
    <w:rsid w:val="0052760C"/>
    <w:rsid w:val="00530255"/>
    <w:rsid w:val="005302BF"/>
    <w:rsid w:val="00530316"/>
    <w:rsid w:val="00530852"/>
    <w:rsid w:val="005308C6"/>
    <w:rsid w:val="00530B46"/>
    <w:rsid w:val="00530D0E"/>
    <w:rsid w:val="00531000"/>
    <w:rsid w:val="005310A3"/>
    <w:rsid w:val="00531357"/>
    <w:rsid w:val="005316BA"/>
    <w:rsid w:val="00531797"/>
    <w:rsid w:val="0053196B"/>
    <w:rsid w:val="00531CE1"/>
    <w:rsid w:val="00532378"/>
    <w:rsid w:val="0053246E"/>
    <w:rsid w:val="005324D5"/>
    <w:rsid w:val="00532587"/>
    <w:rsid w:val="0053260B"/>
    <w:rsid w:val="00532807"/>
    <w:rsid w:val="005331E3"/>
    <w:rsid w:val="0053351C"/>
    <w:rsid w:val="00533966"/>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3"/>
    <w:rsid w:val="00540128"/>
    <w:rsid w:val="00540148"/>
    <w:rsid w:val="005402AE"/>
    <w:rsid w:val="00541169"/>
    <w:rsid w:val="005412DB"/>
    <w:rsid w:val="00541655"/>
    <w:rsid w:val="00541A52"/>
    <w:rsid w:val="00541B01"/>
    <w:rsid w:val="00541DF2"/>
    <w:rsid w:val="005422D7"/>
    <w:rsid w:val="00542E1E"/>
    <w:rsid w:val="005432B4"/>
    <w:rsid w:val="00543782"/>
    <w:rsid w:val="005437B2"/>
    <w:rsid w:val="00543A10"/>
    <w:rsid w:val="00543A5B"/>
    <w:rsid w:val="0054414D"/>
    <w:rsid w:val="00544176"/>
    <w:rsid w:val="00544334"/>
    <w:rsid w:val="0054464B"/>
    <w:rsid w:val="00544ADC"/>
    <w:rsid w:val="00544E8D"/>
    <w:rsid w:val="0054500E"/>
    <w:rsid w:val="00545038"/>
    <w:rsid w:val="0054509A"/>
    <w:rsid w:val="005450A0"/>
    <w:rsid w:val="00545497"/>
    <w:rsid w:val="00545899"/>
    <w:rsid w:val="005459CB"/>
    <w:rsid w:val="00545C5D"/>
    <w:rsid w:val="00547256"/>
    <w:rsid w:val="00547516"/>
    <w:rsid w:val="00547A29"/>
    <w:rsid w:val="00547D49"/>
    <w:rsid w:val="00547EB7"/>
    <w:rsid w:val="00547F6B"/>
    <w:rsid w:val="00547FCE"/>
    <w:rsid w:val="00550B23"/>
    <w:rsid w:val="00550B69"/>
    <w:rsid w:val="00550DF6"/>
    <w:rsid w:val="00550FD5"/>
    <w:rsid w:val="00551159"/>
    <w:rsid w:val="005513CE"/>
    <w:rsid w:val="005513EA"/>
    <w:rsid w:val="0055173D"/>
    <w:rsid w:val="005519F7"/>
    <w:rsid w:val="00552A15"/>
    <w:rsid w:val="00552C2A"/>
    <w:rsid w:val="00552D4F"/>
    <w:rsid w:val="00553170"/>
    <w:rsid w:val="005532D2"/>
    <w:rsid w:val="0055336D"/>
    <w:rsid w:val="00553525"/>
    <w:rsid w:val="0055411E"/>
    <w:rsid w:val="00554536"/>
    <w:rsid w:val="00554670"/>
    <w:rsid w:val="005549DB"/>
    <w:rsid w:val="00554CB7"/>
    <w:rsid w:val="00555069"/>
    <w:rsid w:val="005552CB"/>
    <w:rsid w:val="0055549D"/>
    <w:rsid w:val="005554DB"/>
    <w:rsid w:val="00555C6B"/>
    <w:rsid w:val="00555E56"/>
    <w:rsid w:val="005565F6"/>
    <w:rsid w:val="0055672F"/>
    <w:rsid w:val="00556F3A"/>
    <w:rsid w:val="00556FBE"/>
    <w:rsid w:val="0055714C"/>
    <w:rsid w:val="00557DD7"/>
    <w:rsid w:val="005603C7"/>
    <w:rsid w:val="005612B3"/>
    <w:rsid w:val="005618AA"/>
    <w:rsid w:val="0056198B"/>
    <w:rsid w:val="00561E14"/>
    <w:rsid w:val="00561F57"/>
    <w:rsid w:val="005621C9"/>
    <w:rsid w:val="005621EE"/>
    <w:rsid w:val="00562424"/>
    <w:rsid w:val="00562773"/>
    <w:rsid w:val="00562800"/>
    <w:rsid w:val="00563626"/>
    <w:rsid w:val="005639CD"/>
    <w:rsid w:val="00563A49"/>
    <w:rsid w:val="005646F0"/>
    <w:rsid w:val="00564929"/>
    <w:rsid w:val="00564C6E"/>
    <w:rsid w:val="005654D5"/>
    <w:rsid w:val="0056570B"/>
    <w:rsid w:val="005657D5"/>
    <w:rsid w:val="00565917"/>
    <w:rsid w:val="00565DD9"/>
    <w:rsid w:val="00566211"/>
    <w:rsid w:val="00566533"/>
    <w:rsid w:val="00566723"/>
    <w:rsid w:val="00566A39"/>
    <w:rsid w:val="00566B83"/>
    <w:rsid w:val="00567053"/>
    <w:rsid w:val="005670D5"/>
    <w:rsid w:val="00567176"/>
    <w:rsid w:val="00567492"/>
    <w:rsid w:val="005676CD"/>
    <w:rsid w:val="0056798D"/>
    <w:rsid w:val="00567B42"/>
    <w:rsid w:val="00567E52"/>
    <w:rsid w:val="0057124E"/>
    <w:rsid w:val="005712AB"/>
    <w:rsid w:val="005713AF"/>
    <w:rsid w:val="00571D79"/>
    <w:rsid w:val="00571FBE"/>
    <w:rsid w:val="005723F2"/>
    <w:rsid w:val="0057245B"/>
    <w:rsid w:val="00572463"/>
    <w:rsid w:val="00572845"/>
    <w:rsid w:val="00572E40"/>
    <w:rsid w:val="005735B8"/>
    <w:rsid w:val="005739A5"/>
    <w:rsid w:val="00573F98"/>
    <w:rsid w:val="00574CE2"/>
    <w:rsid w:val="00574E3F"/>
    <w:rsid w:val="00574F9C"/>
    <w:rsid w:val="005752A6"/>
    <w:rsid w:val="005754FE"/>
    <w:rsid w:val="00575BFC"/>
    <w:rsid w:val="00575D3D"/>
    <w:rsid w:val="00576F47"/>
    <w:rsid w:val="00577127"/>
    <w:rsid w:val="00577193"/>
    <w:rsid w:val="005771B9"/>
    <w:rsid w:val="00577965"/>
    <w:rsid w:val="00577CBB"/>
    <w:rsid w:val="00580171"/>
    <w:rsid w:val="00580A6B"/>
    <w:rsid w:val="00580C8A"/>
    <w:rsid w:val="00580CE9"/>
    <w:rsid w:val="00580D9B"/>
    <w:rsid w:val="00580E44"/>
    <w:rsid w:val="00580FFF"/>
    <w:rsid w:val="005813A7"/>
    <w:rsid w:val="00581459"/>
    <w:rsid w:val="005817F2"/>
    <w:rsid w:val="005818D1"/>
    <w:rsid w:val="005819B7"/>
    <w:rsid w:val="00581B92"/>
    <w:rsid w:val="00581FD2"/>
    <w:rsid w:val="005823C9"/>
    <w:rsid w:val="00582523"/>
    <w:rsid w:val="0058270B"/>
    <w:rsid w:val="00582893"/>
    <w:rsid w:val="00582A0A"/>
    <w:rsid w:val="00582F6E"/>
    <w:rsid w:val="00582FDB"/>
    <w:rsid w:val="00583873"/>
    <w:rsid w:val="00583E25"/>
    <w:rsid w:val="00584195"/>
    <w:rsid w:val="005843F5"/>
    <w:rsid w:val="00584924"/>
    <w:rsid w:val="00584F7E"/>
    <w:rsid w:val="005864A0"/>
    <w:rsid w:val="0058725D"/>
    <w:rsid w:val="00587E64"/>
    <w:rsid w:val="005900E2"/>
    <w:rsid w:val="00590A34"/>
    <w:rsid w:val="00590B0F"/>
    <w:rsid w:val="00590BC2"/>
    <w:rsid w:val="00590D80"/>
    <w:rsid w:val="00590EA2"/>
    <w:rsid w:val="00591750"/>
    <w:rsid w:val="00591D54"/>
    <w:rsid w:val="00591DB9"/>
    <w:rsid w:val="0059214E"/>
    <w:rsid w:val="00592857"/>
    <w:rsid w:val="00592A37"/>
    <w:rsid w:val="00592E2B"/>
    <w:rsid w:val="00592F85"/>
    <w:rsid w:val="00592FF3"/>
    <w:rsid w:val="005934D0"/>
    <w:rsid w:val="0059366E"/>
    <w:rsid w:val="00593CAA"/>
    <w:rsid w:val="00593CFD"/>
    <w:rsid w:val="00594336"/>
    <w:rsid w:val="00594C49"/>
    <w:rsid w:val="00594CCC"/>
    <w:rsid w:val="005953D5"/>
    <w:rsid w:val="005956C8"/>
    <w:rsid w:val="0059571F"/>
    <w:rsid w:val="005957B5"/>
    <w:rsid w:val="00595D6B"/>
    <w:rsid w:val="00595D85"/>
    <w:rsid w:val="00595DC2"/>
    <w:rsid w:val="00595FA9"/>
    <w:rsid w:val="005968A7"/>
    <w:rsid w:val="0059698A"/>
    <w:rsid w:val="00596BBF"/>
    <w:rsid w:val="00596F5C"/>
    <w:rsid w:val="005971F2"/>
    <w:rsid w:val="005972C3"/>
    <w:rsid w:val="00597585"/>
    <w:rsid w:val="0059783F"/>
    <w:rsid w:val="005978B9"/>
    <w:rsid w:val="00597AB2"/>
    <w:rsid w:val="00597AE0"/>
    <w:rsid w:val="005A00ED"/>
    <w:rsid w:val="005A034F"/>
    <w:rsid w:val="005A06EC"/>
    <w:rsid w:val="005A1269"/>
    <w:rsid w:val="005A1317"/>
    <w:rsid w:val="005A1339"/>
    <w:rsid w:val="005A154D"/>
    <w:rsid w:val="005A161E"/>
    <w:rsid w:val="005A1D79"/>
    <w:rsid w:val="005A232F"/>
    <w:rsid w:val="005A23F6"/>
    <w:rsid w:val="005A261F"/>
    <w:rsid w:val="005A2867"/>
    <w:rsid w:val="005A2B4A"/>
    <w:rsid w:val="005A2B6E"/>
    <w:rsid w:val="005A2C6E"/>
    <w:rsid w:val="005A3510"/>
    <w:rsid w:val="005A35EC"/>
    <w:rsid w:val="005A3772"/>
    <w:rsid w:val="005A39D6"/>
    <w:rsid w:val="005A3A8F"/>
    <w:rsid w:val="005A3DAC"/>
    <w:rsid w:val="005A3EA1"/>
    <w:rsid w:val="005A4426"/>
    <w:rsid w:val="005A49F5"/>
    <w:rsid w:val="005A4DF1"/>
    <w:rsid w:val="005A5017"/>
    <w:rsid w:val="005A5102"/>
    <w:rsid w:val="005A5267"/>
    <w:rsid w:val="005A5369"/>
    <w:rsid w:val="005A55E6"/>
    <w:rsid w:val="005A5C95"/>
    <w:rsid w:val="005A5E03"/>
    <w:rsid w:val="005A5EB4"/>
    <w:rsid w:val="005A5FD5"/>
    <w:rsid w:val="005A621D"/>
    <w:rsid w:val="005A6273"/>
    <w:rsid w:val="005A66E9"/>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200F"/>
    <w:rsid w:val="005B3005"/>
    <w:rsid w:val="005B30C1"/>
    <w:rsid w:val="005B36EF"/>
    <w:rsid w:val="005B3859"/>
    <w:rsid w:val="005B3953"/>
    <w:rsid w:val="005B3A8C"/>
    <w:rsid w:val="005B3D83"/>
    <w:rsid w:val="005B3EFE"/>
    <w:rsid w:val="005B3F98"/>
    <w:rsid w:val="005B4292"/>
    <w:rsid w:val="005B45D0"/>
    <w:rsid w:val="005B47FA"/>
    <w:rsid w:val="005B4A09"/>
    <w:rsid w:val="005B4C4C"/>
    <w:rsid w:val="005B4D9B"/>
    <w:rsid w:val="005B4F04"/>
    <w:rsid w:val="005B52C0"/>
    <w:rsid w:val="005B5479"/>
    <w:rsid w:val="005B5764"/>
    <w:rsid w:val="005B5947"/>
    <w:rsid w:val="005B5CDC"/>
    <w:rsid w:val="005B61A6"/>
    <w:rsid w:val="005B6C21"/>
    <w:rsid w:val="005B6F1A"/>
    <w:rsid w:val="005B71C1"/>
    <w:rsid w:val="005B74D2"/>
    <w:rsid w:val="005B7966"/>
    <w:rsid w:val="005B7B9C"/>
    <w:rsid w:val="005C0032"/>
    <w:rsid w:val="005C048E"/>
    <w:rsid w:val="005C0514"/>
    <w:rsid w:val="005C05D5"/>
    <w:rsid w:val="005C0928"/>
    <w:rsid w:val="005C0A5C"/>
    <w:rsid w:val="005C1011"/>
    <w:rsid w:val="005C135E"/>
    <w:rsid w:val="005C1D0F"/>
    <w:rsid w:val="005C1E01"/>
    <w:rsid w:val="005C1FD7"/>
    <w:rsid w:val="005C242A"/>
    <w:rsid w:val="005C2521"/>
    <w:rsid w:val="005C2D8E"/>
    <w:rsid w:val="005C2EEB"/>
    <w:rsid w:val="005C321E"/>
    <w:rsid w:val="005C3701"/>
    <w:rsid w:val="005C3766"/>
    <w:rsid w:val="005C437B"/>
    <w:rsid w:val="005C469A"/>
    <w:rsid w:val="005C49E6"/>
    <w:rsid w:val="005C4F0A"/>
    <w:rsid w:val="005C4F89"/>
    <w:rsid w:val="005C57FB"/>
    <w:rsid w:val="005C5A9B"/>
    <w:rsid w:val="005C6227"/>
    <w:rsid w:val="005C6A23"/>
    <w:rsid w:val="005C6B81"/>
    <w:rsid w:val="005C731E"/>
    <w:rsid w:val="005C751C"/>
    <w:rsid w:val="005C7858"/>
    <w:rsid w:val="005C7AB6"/>
    <w:rsid w:val="005C7D03"/>
    <w:rsid w:val="005D05AA"/>
    <w:rsid w:val="005D05CB"/>
    <w:rsid w:val="005D0634"/>
    <w:rsid w:val="005D0BA3"/>
    <w:rsid w:val="005D0BDD"/>
    <w:rsid w:val="005D0C86"/>
    <w:rsid w:val="005D1F72"/>
    <w:rsid w:val="005D23E0"/>
    <w:rsid w:val="005D246E"/>
    <w:rsid w:val="005D2A0E"/>
    <w:rsid w:val="005D3067"/>
    <w:rsid w:val="005D3248"/>
    <w:rsid w:val="005D337A"/>
    <w:rsid w:val="005D3468"/>
    <w:rsid w:val="005D36BD"/>
    <w:rsid w:val="005D36EB"/>
    <w:rsid w:val="005D3A90"/>
    <w:rsid w:val="005D3AAB"/>
    <w:rsid w:val="005D4304"/>
    <w:rsid w:val="005D45A1"/>
    <w:rsid w:val="005D4EDC"/>
    <w:rsid w:val="005D5153"/>
    <w:rsid w:val="005D515B"/>
    <w:rsid w:val="005D56C4"/>
    <w:rsid w:val="005D576A"/>
    <w:rsid w:val="005D5E4E"/>
    <w:rsid w:val="005D6015"/>
    <w:rsid w:val="005D6144"/>
    <w:rsid w:val="005D633A"/>
    <w:rsid w:val="005D6398"/>
    <w:rsid w:val="005D6488"/>
    <w:rsid w:val="005D6AA5"/>
    <w:rsid w:val="005D6F48"/>
    <w:rsid w:val="005D7450"/>
    <w:rsid w:val="005D7F6C"/>
    <w:rsid w:val="005E0320"/>
    <w:rsid w:val="005E039B"/>
    <w:rsid w:val="005E03AC"/>
    <w:rsid w:val="005E04BD"/>
    <w:rsid w:val="005E0A4C"/>
    <w:rsid w:val="005E1BCA"/>
    <w:rsid w:val="005E1F78"/>
    <w:rsid w:val="005E249F"/>
    <w:rsid w:val="005E24F9"/>
    <w:rsid w:val="005E25CA"/>
    <w:rsid w:val="005E2BD9"/>
    <w:rsid w:val="005E2D39"/>
    <w:rsid w:val="005E2D5B"/>
    <w:rsid w:val="005E2EE7"/>
    <w:rsid w:val="005E338E"/>
    <w:rsid w:val="005E34F3"/>
    <w:rsid w:val="005E3C07"/>
    <w:rsid w:val="005E3C84"/>
    <w:rsid w:val="005E4131"/>
    <w:rsid w:val="005E427A"/>
    <w:rsid w:val="005E429E"/>
    <w:rsid w:val="005E44EC"/>
    <w:rsid w:val="005E450C"/>
    <w:rsid w:val="005E45A5"/>
    <w:rsid w:val="005E461A"/>
    <w:rsid w:val="005E4776"/>
    <w:rsid w:val="005E4DDF"/>
    <w:rsid w:val="005E4FBF"/>
    <w:rsid w:val="005E50EF"/>
    <w:rsid w:val="005E54B0"/>
    <w:rsid w:val="005E5ADE"/>
    <w:rsid w:val="005E5D6D"/>
    <w:rsid w:val="005E5EAB"/>
    <w:rsid w:val="005E61FB"/>
    <w:rsid w:val="005E6B81"/>
    <w:rsid w:val="005E6C5C"/>
    <w:rsid w:val="005E7223"/>
    <w:rsid w:val="005E781F"/>
    <w:rsid w:val="005E7C02"/>
    <w:rsid w:val="005E7C27"/>
    <w:rsid w:val="005F00F6"/>
    <w:rsid w:val="005F07EF"/>
    <w:rsid w:val="005F094B"/>
    <w:rsid w:val="005F0B45"/>
    <w:rsid w:val="005F0FE8"/>
    <w:rsid w:val="005F11A9"/>
    <w:rsid w:val="005F11D7"/>
    <w:rsid w:val="005F170B"/>
    <w:rsid w:val="005F1B5C"/>
    <w:rsid w:val="005F1BE2"/>
    <w:rsid w:val="005F1BE4"/>
    <w:rsid w:val="005F1C2F"/>
    <w:rsid w:val="005F1C90"/>
    <w:rsid w:val="005F2210"/>
    <w:rsid w:val="005F252F"/>
    <w:rsid w:val="005F274B"/>
    <w:rsid w:val="005F2DE6"/>
    <w:rsid w:val="005F2E2B"/>
    <w:rsid w:val="005F3538"/>
    <w:rsid w:val="005F49BE"/>
    <w:rsid w:val="005F4BA6"/>
    <w:rsid w:val="005F4EC9"/>
    <w:rsid w:val="005F4F85"/>
    <w:rsid w:val="005F54DB"/>
    <w:rsid w:val="005F57FC"/>
    <w:rsid w:val="005F5E07"/>
    <w:rsid w:val="005F655C"/>
    <w:rsid w:val="005F69BF"/>
    <w:rsid w:val="005F6B0E"/>
    <w:rsid w:val="005F6D27"/>
    <w:rsid w:val="005F744A"/>
    <w:rsid w:val="005F7867"/>
    <w:rsid w:val="006001EA"/>
    <w:rsid w:val="00600225"/>
    <w:rsid w:val="006002BC"/>
    <w:rsid w:val="006003DE"/>
    <w:rsid w:val="00600820"/>
    <w:rsid w:val="00600EEF"/>
    <w:rsid w:val="00600F02"/>
    <w:rsid w:val="006010B9"/>
    <w:rsid w:val="00601471"/>
    <w:rsid w:val="006022D2"/>
    <w:rsid w:val="006023D5"/>
    <w:rsid w:val="00602518"/>
    <w:rsid w:val="00602667"/>
    <w:rsid w:val="00602A78"/>
    <w:rsid w:val="00602C9F"/>
    <w:rsid w:val="006032F4"/>
    <w:rsid w:val="0060339F"/>
    <w:rsid w:val="00603570"/>
    <w:rsid w:val="00603D18"/>
    <w:rsid w:val="00603D65"/>
    <w:rsid w:val="00604311"/>
    <w:rsid w:val="00604615"/>
    <w:rsid w:val="00604A39"/>
    <w:rsid w:val="00604CA1"/>
    <w:rsid w:val="00605046"/>
    <w:rsid w:val="00605104"/>
    <w:rsid w:val="00605C3E"/>
    <w:rsid w:val="00605FAA"/>
    <w:rsid w:val="00605FF1"/>
    <w:rsid w:val="006060AB"/>
    <w:rsid w:val="0060613B"/>
    <w:rsid w:val="0060632D"/>
    <w:rsid w:val="006068D8"/>
    <w:rsid w:val="00606C57"/>
    <w:rsid w:val="00606FF8"/>
    <w:rsid w:val="006070B2"/>
    <w:rsid w:val="0060784D"/>
    <w:rsid w:val="00607AEB"/>
    <w:rsid w:val="00610006"/>
    <w:rsid w:val="0061018D"/>
    <w:rsid w:val="00610499"/>
    <w:rsid w:val="00610794"/>
    <w:rsid w:val="0061126B"/>
    <w:rsid w:val="00611608"/>
    <w:rsid w:val="006118DC"/>
    <w:rsid w:val="006119CD"/>
    <w:rsid w:val="00611D1C"/>
    <w:rsid w:val="00612415"/>
    <w:rsid w:val="0061247F"/>
    <w:rsid w:val="00612558"/>
    <w:rsid w:val="00612824"/>
    <w:rsid w:val="00612C13"/>
    <w:rsid w:val="00612D64"/>
    <w:rsid w:val="00612FB8"/>
    <w:rsid w:val="00613871"/>
    <w:rsid w:val="00613CB3"/>
    <w:rsid w:val="00613DFA"/>
    <w:rsid w:val="00613EB3"/>
    <w:rsid w:val="00614110"/>
    <w:rsid w:val="00614840"/>
    <w:rsid w:val="0061489B"/>
    <w:rsid w:val="00614B7B"/>
    <w:rsid w:val="0061522E"/>
    <w:rsid w:val="006158F5"/>
    <w:rsid w:val="00615E51"/>
    <w:rsid w:val="00616026"/>
    <w:rsid w:val="00616466"/>
    <w:rsid w:val="00616587"/>
    <w:rsid w:val="00616E70"/>
    <w:rsid w:val="00616EFC"/>
    <w:rsid w:val="00616FF9"/>
    <w:rsid w:val="006170BE"/>
    <w:rsid w:val="006176D9"/>
    <w:rsid w:val="00617AFE"/>
    <w:rsid w:val="00617B92"/>
    <w:rsid w:val="00617BE0"/>
    <w:rsid w:val="00617C6C"/>
    <w:rsid w:val="006202B9"/>
    <w:rsid w:val="0062055C"/>
    <w:rsid w:val="00620718"/>
    <w:rsid w:val="006209E4"/>
    <w:rsid w:val="00620E86"/>
    <w:rsid w:val="00620E92"/>
    <w:rsid w:val="00621054"/>
    <w:rsid w:val="0062123F"/>
    <w:rsid w:val="00621561"/>
    <w:rsid w:val="006216E2"/>
    <w:rsid w:val="00621939"/>
    <w:rsid w:val="006219C5"/>
    <w:rsid w:val="00621B63"/>
    <w:rsid w:val="00622987"/>
    <w:rsid w:val="00622B6F"/>
    <w:rsid w:val="0062309E"/>
    <w:rsid w:val="00623761"/>
    <w:rsid w:val="00623AD4"/>
    <w:rsid w:val="006240EF"/>
    <w:rsid w:val="0062476F"/>
    <w:rsid w:val="0062485E"/>
    <w:rsid w:val="00624BEF"/>
    <w:rsid w:val="00624C3C"/>
    <w:rsid w:val="00624CCB"/>
    <w:rsid w:val="00624ED5"/>
    <w:rsid w:val="0062515E"/>
    <w:rsid w:val="006252D9"/>
    <w:rsid w:val="006253F9"/>
    <w:rsid w:val="00625CCD"/>
    <w:rsid w:val="00625D61"/>
    <w:rsid w:val="006263DE"/>
    <w:rsid w:val="00626B73"/>
    <w:rsid w:val="00626DBE"/>
    <w:rsid w:val="00627422"/>
    <w:rsid w:val="006278C9"/>
    <w:rsid w:val="00627A1D"/>
    <w:rsid w:val="00627ED8"/>
    <w:rsid w:val="006301C2"/>
    <w:rsid w:val="006302B1"/>
    <w:rsid w:val="00630490"/>
    <w:rsid w:val="00630575"/>
    <w:rsid w:val="006306D3"/>
    <w:rsid w:val="0063094D"/>
    <w:rsid w:val="00630A17"/>
    <w:rsid w:val="00630D40"/>
    <w:rsid w:val="00630DBA"/>
    <w:rsid w:val="00630DCE"/>
    <w:rsid w:val="00630ED0"/>
    <w:rsid w:val="0063140E"/>
    <w:rsid w:val="006314EF"/>
    <w:rsid w:val="006315D9"/>
    <w:rsid w:val="006316DC"/>
    <w:rsid w:val="00631844"/>
    <w:rsid w:val="00631D65"/>
    <w:rsid w:val="00631FA7"/>
    <w:rsid w:val="006322CD"/>
    <w:rsid w:val="006324E2"/>
    <w:rsid w:val="00632577"/>
    <w:rsid w:val="00632CDD"/>
    <w:rsid w:val="0063334C"/>
    <w:rsid w:val="006333D0"/>
    <w:rsid w:val="00633856"/>
    <w:rsid w:val="00633969"/>
    <w:rsid w:val="006339D0"/>
    <w:rsid w:val="00633A7B"/>
    <w:rsid w:val="00633B60"/>
    <w:rsid w:val="00633DE3"/>
    <w:rsid w:val="00633F7C"/>
    <w:rsid w:val="0063441D"/>
    <w:rsid w:val="0063477F"/>
    <w:rsid w:val="00635029"/>
    <w:rsid w:val="0063507D"/>
    <w:rsid w:val="006352ED"/>
    <w:rsid w:val="00635572"/>
    <w:rsid w:val="00635616"/>
    <w:rsid w:val="006356AF"/>
    <w:rsid w:val="00635EC3"/>
    <w:rsid w:val="00636082"/>
    <w:rsid w:val="006362AE"/>
    <w:rsid w:val="0063699B"/>
    <w:rsid w:val="00636A3E"/>
    <w:rsid w:val="00636E2B"/>
    <w:rsid w:val="0063733C"/>
    <w:rsid w:val="006373C7"/>
    <w:rsid w:val="006373CF"/>
    <w:rsid w:val="0063774A"/>
    <w:rsid w:val="0063796B"/>
    <w:rsid w:val="00637A08"/>
    <w:rsid w:val="00637EE1"/>
    <w:rsid w:val="006405FD"/>
    <w:rsid w:val="006409A1"/>
    <w:rsid w:val="00640C43"/>
    <w:rsid w:val="00641463"/>
    <w:rsid w:val="00642526"/>
    <w:rsid w:val="00642716"/>
    <w:rsid w:val="006429C7"/>
    <w:rsid w:val="006429EB"/>
    <w:rsid w:val="00643440"/>
    <w:rsid w:val="00643CD3"/>
    <w:rsid w:val="00643DE3"/>
    <w:rsid w:val="00644433"/>
    <w:rsid w:val="00645777"/>
    <w:rsid w:val="00645A76"/>
    <w:rsid w:val="00645F30"/>
    <w:rsid w:val="00646020"/>
    <w:rsid w:val="00646129"/>
    <w:rsid w:val="006463BF"/>
    <w:rsid w:val="00646997"/>
    <w:rsid w:val="00646B45"/>
    <w:rsid w:val="00646FA9"/>
    <w:rsid w:val="006473A0"/>
    <w:rsid w:val="006473CF"/>
    <w:rsid w:val="006476E4"/>
    <w:rsid w:val="00647746"/>
    <w:rsid w:val="0064794F"/>
    <w:rsid w:val="00647B6A"/>
    <w:rsid w:val="006500B2"/>
    <w:rsid w:val="00651448"/>
    <w:rsid w:val="00651548"/>
    <w:rsid w:val="00651836"/>
    <w:rsid w:val="00651C2F"/>
    <w:rsid w:val="00651DA2"/>
    <w:rsid w:val="00651E87"/>
    <w:rsid w:val="0065254C"/>
    <w:rsid w:val="00652FF8"/>
    <w:rsid w:val="00653682"/>
    <w:rsid w:val="00653B9B"/>
    <w:rsid w:val="00653DEC"/>
    <w:rsid w:val="00653EEF"/>
    <w:rsid w:val="0065421C"/>
    <w:rsid w:val="00654226"/>
    <w:rsid w:val="00654CB8"/>
    <w:rsid w:val="006551BD"/>
    <w:rsid w:val="006552FA"/>
    <w:rsid w:val="00655669"/>
    <w:rsid w:val="00655917"/>
    <w:rsid w:val="00655B41"/>
    <w:rsid w:val="00655C8B"/>
    <w:rsid w:val="00655F49"/>
    <w:rsid w:val="00656319"/>
    <w:rsid w:val="00656980"/>
    <w:rsid w:val="006572C4"/>
    <w:rsid w:val="00657539"/>
    <w:rsid w:val="0065762A"/>
    <w:rsid w:val="00657CEC"/>
    <w:rsid w:val="00657E63"/>
    <w:rsid w:val="00660641"/>
    <w:rsid w:val="0066074F"/>
    <w:rsid w:val="006607CE"/>
    <w:rsid w:val="0066096B"/>
    <w:rsid w:val="0066151B"/>
    <w:rsid w:val="0066177F"/>
    <w:rsid w:val="006619D9"/>
    <w:rsid w:val="00661A1B"/>
    <w:rsid w:val="00661E2D"/>
    <w:rsid w:val="00661E75"/>
    <w:rsid w:val="00662134"/>
    <w:rsid w:val="006624CF"/>
    <w:rsid w:val="00662612"/>
    <w:rsid w:val="006627F4"/>
    <w:rsid w:val="006628AA"/>
    <w:rsid w:val="00662F95"/>
    <w:rsid w:val="0066390D"/>
    <w:rsid w:val="00663C2B"/>
    <w:rsid w:val="00663E58"/>
    <w:rsid w:val="00663F8E"/>
    <w:rsid w:val="006643C6"/>
    <w:rsid w:val="00664B7E"/>
    <w:rsid w:val="00664F94"/>
    <w:rsid w:val="00664FF7"/>
    <w:rsid w:val="00665127"/>
    <w:rsid w:val="006652A0"/>
    <w:rsid w:val="006658CE"/>
    <w:rsid w:val="006658F1"/>
    <w:rsid w:val="00665D0B"/>
    <w:rsid w:val="00665E73"/>
    <w:rsid w:val="0066632D"/>
    <w:rsid w:val="0066691B"/>
    <w:rsid w:val="00666B5C"/>
    <w:rsid w:val="00666CFD"/>
    <w:rsid w:val="00666E5C"/>
    <w:rsid w:val="00666F83"/>
    <w:rsid w:val="00667407"/>
    <w:rsid w:val="00667553"/>
    <w:rsid w:val="0067003C"/>
    <w:rsid w:val="00670073"/>
    <w:rsid w:val="0067069F"/>
    <w:rsid w:val="00670A6A"/>
    <w:rsid w:val="00670ACD"/>
    <w:rsid w:val="006713DA"/>
    <w:rsid w:val="00671485"/>
    <w:rsid w:val="00671508"/>
    <w:rsid w:val="00671AFC"/>
    <w:rsid w:val="00671B7E"/>
    <w:rsid w:val="00671DE5"/>
    <w:rsid w:val="00671E6A"/>
    <w:rsid w:val="006721D2"/>
    <w:rsid w:val="006722F1"/>
    <w:rsid w:val="00672E8F"/>
    <w:rsid w:val="00673572"/>
    <w:rsid w:val="00673E4D"/>
    <w:rsid w:val="00674535"/>
    <w:rsid w:val="00674AC4"/>
    <w:rsid w:val="00674AE3"/>
    <w:rsid w:val="00674D80"/>
    <w:rsid w:val="00675D3B"/>
    <w:rsid w:val="00675E37"/>
    <w:rsid w:val="00675F76"/>
    <w:rsid w:val="00676468"/>
    <w:rsid w:val="006766FB"/>
    <w:rsid w:val="00676B8E"/>
    <w:rsid w:val="00677268"/>
    <w:rsid w:val="006803C9"/>
    <w:rsid w:val="00680646"/>
    <w:rsid w:val="006807E0"/>
    <w:rsid w:val="00680909"/>
    <w:rsid w:val="00680CF1"/>
    <w:rsid w:val="00681050"/>
    <w:rsid w:val="006810A9"/>
    <w:rsid w:val="0068110B"/>
    <w:rsid w:val="006814A9"/>
    <w:rsid w:val="00681CFA"/>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56D6"/>
    <w:rsid w:val="00685C07"/>
    <w:rsid w:val="00687257"/>
    <w:rsid w:val="00687426"/>
    <w:rsid w:val="006878E8"/>
    <w:rsid w:val="00687A54"/>
    <w:rsid w:val="00687D22"/>
    <w:rsid w:val="00690105"/>
    <w:rsid w:val="0069010A"/>
    <w:rsid w:val="006901D5"/>
    <w:rsid w:val="00690354"/>
    <w:rsid w:val="00690BCA"/>
    <w:rsid w:val="00690C00"/>
    <w:rsid w:val="00691D2D"/>
    <w:rsid w:val="006927AB"/>
    <w:rsid w:val="006928DB"/>
    <w:rsid w:val="00692DE0"/>
    <w:rsid w:val="0069300A"/>
    <w:rsid w:val="00693438"/>
    <w:rsid w:val="00693A62"/>
    <w:rsid w:val="00693A83"/>
    <w:rsid w:val="00693BD6"/>
    <w:rsid w:val="00693F91"/>
    <w:rsid w:val="00694085"/>
    <w:rsid w:val="00694249"/>
    <w:rsid w:val="006947B8"/>
    <w:rsid w:val="00694922"/>
    <w:rsid w:val="006949BB"/>
    <w:rsid w:val="00694C13"/>
    <w:rsid w:val="00694ECF"/>
    <w:rsid w:val="006955DB"/>
    <w:rsid w:val="00695702"/>
    <w:rsid w:val="00695709"/>
    <w:rsid w:val="00695769"/>
    <w:rsid w:val="00695C11"/>
    <w:rsid w:val="00695FF0"/>
    <w:rsid w:val="00696556"/>
    <w:rsid w:val="006966FF"/>
    <w:rsid w:val="00696C0E"/>
    <w:rsid w:val="00697725"/>
    <w:rsid w:val="00697942"/>
    <w:rsid w:val="00697C03"/>
    <w:rsid w:val="006A0355"/>
    <w:rsid w:val="006A0697"/>
    <w:rsid w:val="006A0935"/>
    <w:rsid w:val="006A09CE"/>
    <w:rsid w:val="006A0A09"/>
    <w:rsid w:val="006A0BF7"/>
    <w:rsid w:val="006A111F"/>
    <w:rsid w:val="006A16CC"/>
    <w:rsid w:val="006A17D4"/>
    <w:rsid w:val="006A19B2"/>
    <w:rsid w:val="006A1CA3"/>
    <w:rsid w:val="006A1D73"/>
    <w:rsid w:val="006A1F39"/>
    <w:rsid w:val="006A22FD"/>
    <w:rsid w:val="006A243B"/>
    <w:rsid w:val="006A243F"/>
    <w:rsid w:val="006A250E"/>
    <w:rsid w:val="006A2717"/>
    <w:rsid w:val="006A27C5"/>
    <w:rsid w:val="006A2C64"/>
    <w:rsid w:val="006A32F0"/>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9E"/>
    <w:rsid w:val="006A71BE"/>
    <w:rsid w:val="006A7510"/>
    <w:rsid w:val="006A7CF6"/>
    <w:rsid w:val="006A7DA8"/>
    <w:rsid w:val="006B0049"/>
    <w:rsid w:val="006B0C8E"/>
    <w:rsid w:val="006B1184"/>
    <w:rsid w:val="006B1410"/>
    <w:rsid w:val="006B18F7"/>
    <w:rsid w:val="006B1919"/>
    <w:rsid w:val="006B1E05"/>
    <w:rsid w:val="006B2247"/>
    <w:rsid w:val="006B239F"/>
    <w:rsid w:val="006B25BD"/>
    <w:rsid w:val="006B2777"/>
    <w:rsid w:val="006B29F5"/>
    <w:rsid w:val="006B31E7"/>
    <w:rsid w:val="006B321A"/>
    <w:rsid w:val="006B3643"/>
    <w:rsid w:val="006B3A00"/>
    <w:rsid w:val="006B3CFD"/>
    <w:rsid w:val="006B3DA3"/>
    <w:rsid w:val="006B3ECE"/>
    <w:rsid w:val="006B4126"/>
    <w:rsid w:val="006B456B"/>
    <w:rsid w:val="006B45BA"/>
    <w:rsid w:val="006B466A"/>
    <w:rsid w:val="006B4999"/>
    <w:rsid w:val="006B4E83"/>
    <w:rsid w:val="006B51D2"/>
    <w:rsid w:val="006B551A"/>
    <w:rsid w:val="006B6338"/>
    <w:rsid w:val="006B6389"/>
    <w:rsid w:val="006B6481"/>
    <w:rsid w:val="006B6707"/>
    <w:rsid w:val="006B6766"/>
    <w:rsid w:val="006B67FE"/>
    <w:rsid w:val="006B6C3E"/>
    <w:rsid w:val="006B705E"/>
    <w:rsid w:val="006B7194"/>
    <w:rsid w:val="006B742B"/>
    <w:rsid w:val="006B765A"/>
    <w:rsid w:val="006B7688"/>
    <w:rsid w:val="006B76BB"/>
    <w:rsid w:val="006B7A5E"/>
    <w:rsid w:val="006C037B"/>
    <w:rsid w:val="006C03A7"/>
    <w:rsid w:val="006C071D"/>
    <w:rsid w:val="006C0966"/>
    <w:rsid w:val="006C0A68"/>
    <w:rsid w:val="006C0E3F"/>
    <w:rsid w:val="006C0E63"/>
    <w:rsid w:val="006C0F62"/>
    <w:rsid w:val="006C1287"/>
    <w:rsid w:val="006C16BA"/>
    <w:rsid w:val="006C1CD7"/>
    <w:rsid w:val="006C1F08"/>
    <w:rsid w:val="006C257C"/>
    <w:rsid w:val="006C286C"/>
    <w:rsid w:val="006C2BF5"/>
    <w:rsid w:val="006C2D1F"/>
    <w:rsid w:val="006C2F96"/>
    <w:rsid w:val="006C2F97"/>
    <w:rsid w:val="006C3843"/>
    <w:rsid w:val="006C386F"/>
    <w:rsid w:val="006C3895"/>
    <w:rsid w:val="006C3A06"/>
    <w:rsid w:val="006C3E10"/>
    <w:rsid w:val="006C4091"/>
    <w:rsid w:val="006C4B09"/>
    <w:rsid w:val="006C4B9B"/>
    <w:rsid w:val="006C4C0F"/>
    <w:rsid w:val="006C4F7D"/>
    <w:rsid w:val="006C4FBE"/>
    <w:rsid w:val="006C52D6"/>
    <w:rsid w:val="006C55F5"/>
    <w:rsid w:val="006C5E34"/>
    <w:rsid w:val="006C5E4D"/>
    <w:rsid w:val="006C630A"/>
    <w:rsid w:val="006C6349"/>
    <w:rsid w:val="006C642C"/>
    <w:rsid w:val="006C6ACB"/>
    <w:rsid w:val="006C6DE6"/>
    <w:rsid w:val="006C6ED3"/>
    <w:rsid w:val="006C72F9"/>
    <w:rsid w:val="006C7543"/>
    <w:rsid w:val="006C7DAC"/>
    <w:rsid w:val="006D05DF"/>
    <w:rsid w:val="006D0914"/>
    <w:rsid w:val="006D0B96"/>
    <w:rsid w:val="006D0E6B"/>
    <w:rsid w:val="006D11F8"/>
    <w:rsid w:val="006D142D"/>
    <w:rsid w:val="006D17E3"/>
    <w:rsid w:val="006D1860"/>
    <w:rsid w:val="006D1904"/>
    <w:rsid w:val="006D1B99"/>
    <w:rsid w:val="006D1D2E"/>
    <w:rsid w:val="006D1DB0"/>
    <w:rsid w:val="006D1EA0"/>
    <w:rsid w:val="006D1FF2"/>
    <w:rsid w:val="006D20D2"/>
    <w:rsid w:val="006D225A"/>
    <w:rsid w:val="006D2270"/>
    <w:rsid w:val="006D22AC"/>
    <w:rsid w:val="006D25DB"/>
    <w:rsid w:val="006D2661"/>
    <w:rsid w:val="006D2810"/>
    <w:rsid w:val="006D2B87"/>
    <w:rsid w:val="006D2E07"/>
    <w:rsid w:val="006D2E64"/>
    <w:rsid w:val="006D38BD"/>
    <w:rsid w:val="006D3ACC"/>
    <w:rsid w:val="006D3B1C"/>
    <w:rsid w:val="006D4028"/>
    <w:rsid w:val="006D4376"/>
    <w:rsid w:val="006D45C6"/>
    <w:rsid w:val="006D49C7"/>
    <w:rsid w:val="006D4A86"/>
    <w:rsid w:val="006D5617"/>
    <w:rsid w:val="006D562B"/>
    <w:rsid w:val="006D5661"/>
    <w:rsid w:val="006D570E"/>
    <w:rsid w:val="006D5C2A"/>
    <w:rsid w:val="006D6383"/>
    <w:rsid w:val="006D639E"/>
    <w:rsid w:val="006D671B"/>
    <w:rsid w:val="006D6982"/>
    <w:rsid w:val="006D6A4D"/>
    <w:rsid w:val="006D6E0C"/>
    <w:rsid w:val="006D74CD"/>
    <w:rsid w:val="006D74EA"/>
    <w:rsid w:val="006D7651"/>
    <w:rsid w:val="006D7CC9"/>
    <w:rsid w:val="006D7F2E"/>
    <w:rsid w:val="006E01E9"/>
    <w:rsid w:val="006E027C"/>
    <w:rsid w:val="006E0648"/>
    <w:rsid w:val="006E0A5B"/>
    <w:rsid w:val="006E0B01"/>
    <w:rsid w:val="006E0E1D"/>
    <w:rsid w:val="006E0F29"/>
    <w:rsid w:val="006E11F9"/>
    <w:rsid w:val="006E14D1"/>
    <w:rsid w:val="006E15FE"/>
    <w:rsid w:val="006E16A7"/>
    <w:rsid w:val="006E2308"/>
    <w:rsid w:val="006E2335"/>
    <w:rsid w:val="006E2967"/>
    <w:rsid w:val="006E2C6E"/>
    <w:rsid w:val="006E33BB"/>
    <w:rsid w:val="006E34C7"/>
    <w:rsid w:val="006E3E71"/>
    <w:rsid w:val="006E3EBC"/>
    <w:rsid w:val="006E3FA6"/>
    <w:rsid w:val="006E446D"/>
    <w:rsid w:val="006E4710"/>
    <w:rsid w:val="006E47DA"/>
    <w:rsid w:val="006E4DCF"/>
    <w:rsid w:val="006E50E3"/>
    <w:rsid w:val="006E53B6"/>
    <w:rsid w:val="006E546C"/>
    <w:rsid w:val="006E5663"/>
    <w:rsid w:val="006E598C"/>
    <w:rsid w:val="006E5BAF"/>
    <w:rsid w:val="006E5CA6"/>
    <w:rsid w:val="006E61CE"/>
    <w:rsid w:val="006E651D"/>
    <w:rsid w:val="006E661E"/>
    <w:rsid w:val="006E6857"/>
    <w:rsid w:val="006E6A18"/>
    <w:rsid w:val="006E7207"/>
    <w:rsid w:val="006E76FF"/>
    <w:rsid w:val="006E7800"/>
    <w:rsid w:val="006E79FF"/>
    <w:rsid w:val="006E7ECF"/>
    <w:rsid w:val="006E7F70"/>
    <w:rsid w:val="006F0293"/>
    <w:rsid w:val="006F0368"/>
    <w:rsid w:val="006F0459"/>
    <w:rsid w:val="006F04D1"/>
    <w:rsid w:val="006F0550"/>
    <w:rsid w:val="006F05BE"/>
    <w:rsid w:val="006F074E"/>
    <w:rsid w:val="006F0DCB"/>
    <w:rsid w:val="006F0EB7"/>
    <w:rsid w:val="006F1222"/>
    <w:rsid w:val="006F1810"/>
    <w:rsid w:val="006F1A6A"/>
    <w:rsid w:val="006F1A91"/>
    <w:rsid w:val="006F1C21"/>
    <w:rsid w:val="006F1F56"/>
    <w:rsid w:val="006F270C"/>
    <w:rsid w:val="006F287C"/>
    <w:rsid w:val="006F28A0"/>
    <w:rsid w:val="006F2C39"/>
    <w:rsid w:val="006F2D91"/>
    <w:rsid w:val="006F2E6A"/>
    <w:rsid w:val="006F30CB"/>
    <w:rsid w:val="006F3B1B"/>
    <w:rsid w:val="006F3C1E"/>
    <w:rsid w:val="006F3C20"/>
    <w:rsid w:val="006F4536"/>
    <w:rsid w:val="006F4775"/>
    <w:rsid w:val="006F4899"/>
    <w:rsid w:val="006F4E82"/>
    <w:rsid w:val="006F5154"/>
    <w:rsid w:val="006F52E0"/>
    <w:rsid w:val="006F54D3"/>
    <w:rsid w:val="006F629B"/>
    <w:rsid w:val="006F6494"/>
    <w:rsid w:val="006F69F8"/>
    <w:rsid w:val="006F716F"/>
    <w:rsid w:val="006F73D6"/>
    <w:rsid w:val="006F780E"/>
    <w:rsid w:val="00700076"/>
    <w:rsid w:val="007003F0"/>
    <w:rsid w:val="007005F0"/>
    <w:rsid w:val="007008F5"/>
    <w:rsid w:val="007009AB"/>
    <w:rsid w:val="00700D4C"/>
    <w:rsid w:val="00701163"/>
    <w:rsid w:val="00701310"/>
    <w:rsid w:val="007014D1"/>
    <w:rsid w:val="007016A8"/>
    <w:rsid w:val="0070183E"/>
    <w:rsid w:val="00701BB8"/>
    <w:rsid w:val="00701C37"/>
    <w:rsid w:val="007023E6"/>
    <w:rsid w:val="0070285A"/>
    <w:rsid w:val="0070298A"/>
    <w:rsid w:val="00702AC8"/>
    <w:rsid w:val="0070330A"/>
    <w:rsid w:val="007041E7"/>
    <w:rsid w:val="00704E97"/>
    <w:rsid w:val="0070564F"/>
    <w:rsid w:val="0070584D"/>
    <w:rsid w:val="0070589F"/>
    <w:rsid w:val="00705AD0"/>
    <w:rsid w:val="00705DD7"/>
    <w:rsid w:val="0070625D"/>
    <w:rsid w:val="007062C4"/>
    <w:rsid w:val="00706518"/>
    <w:rsid w:val="007069AB"/>
    <w:rsid w:val="00706BB7"/>
    <w:rsid w:val="00706FB8"/>
    <w:rsid w:val="0070702E"/>
    <w:rsid w:val="007077AD"/>
    <w:rsid w:val="00707963"/>
    <w:rsid w:val="00707FAE"/>
    <w:rsid w:val="007101E4"/>
    <w:rsid w:val="0071038C"/>
    <w:rsid w:val="007105F3"/>
    <w:rsid w:val="00710A61"/>
    <w:rsid w:val="00710D2D"/>
    <w:rsid w:val="007110FF"/>
    <w:rsid w:val="007112EC"/>
    <w:rsid w:val="0071136D"/>
    <w:rsid w:val="00711988"/>
    <w:rsid w:val="00711BD6"/>
    <w:rsid w:val="00711E26"/>
    <w:rsid w:val="007122EF"/>
    <w:rsid w:val="007125DC"/>
    <w:rsid w:val="007129D0"/>
    <w:rsid w:val="007135F1"/>
    <w:rsid w:val="0071398F"/>
    <w:rsid w:val="00713A2B"/>
    <w:rsid w:val="00714121"/>
    <w:rsid w:val="007141DC"/>
    <w:rsid w:val="00714B83"/>
    <w:rsid w:val="007151B2"/>
    <w:rsid w:val="00715810"/>
    <w:rsid w:val="00715A55"/>
    <w:rsid w:val="00715BBF"/>
    <w:rsid w:val="007168D3"/>
    <w:rsid w:val="00716958"/>
    <w:rsid w:val="007169B8"/>
    <w:rsid w:val="00716A81"/>
    <w:rsid w:val="00716B40"/>
    <w:rsid w:val="00716CCC"/>
    <w:rsid w:val="0071768F"/>
    <w:rsid w:val="00717784"/>
    <w:rsid w:val="007178A2"/>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6AE"/>
    <w:rsid w:val="00724A39"/>
    <w:rsid w:val="00724DA1"/>
    <w:rsid w:val="0072537C"/>
    <w:rsid w:val="00725451"/>
    <w:rsid w:val="0072568B"/>
    <w:rsid w:val="0072573B"/>
    <w:rsid w:val="00725A15"/>
    <w:rsid w:val="00725C0B"/>
    <w:rsid w:val="00725EAE"/>
    <w:rsid w:val="00726164"/>
    <w:rsid w:val="007264A7"/>
    <w:rsid w:val="007273E8"/>
    <w:rsid w:val="00727579"/>
    <w:rsid w:val="00727FE1"/>
    <w:rsid w:val="00730061"/>
    <w:rsid w:val="0073006E"/>
    <w:rsid w:val="0073020D"/>
    <w:rsid w:val="007302F5"/>
    <w:rsid w:val="007308A8"/>
    <w:rsid w:val="007317DC"/>
    <w:rsid w:val="007318B3"/>
    <w:rsid w:val="00731CF8"/>
    <w:rsid w:val="00732038"/>
    <w:rsid w:val="00732123"/>
    <w:rsid w:val="007324C2"/>
    <w:rsid w:val="00732834"/>
    <w:rsid w:val="007328BC"/>
    <w:rsid w:val="007329AF"/>
    <w:rsid w:val="00732B82"/>
    <w:rsid w:val="00732C31"/>
    <w:rsid w:val="00732CF0"/>
    <w:rsid w:val="00732E7A"/>
    <w:rsid w:val="00732EA8"/>
    <w:rsid w:val="00732FED"/>
    <w:rsid w:val="007331CA"/>
    <w:rsid w:val="007331D7"/>
    <w:rsid w:val="00733204"/>
    <w:rsid w:val="00733494"/>
    <w:rsid w:val="0073353D"/>
    <w:rsid w:val="007335D7"/>
    <w:rsid w:val="00733C0C"/>
    <w:rsid w:val="00734034"/>
    <w:rsid w:val="00734089"/>
    <w:rsid w:val="0073460C"/>
    <w:rsid w:val="0073494A"/>
    <w:rsid w:val="00734E91"/>
    <w:rsid w:val="00735054"/>
    <w:rsid w:val="00735064"/>
    <w:rsid w:val="007350F6"/>
    <w:rsid w:val="00735125"/>
    <w:rsid w:val="00735255"/>
    <w:rsid w:val="00735271"/>
    <w:rsid w:val="00735373"/>
    <w:rsid w:val="0073611D"/>
    <w:rsid w:val="007361C3"/>
    <w:rsid w:val="007365F9"/>
    <w:rsid w:val="00736778"/>
    <w:rsid w:val="007370B2"/>
    <w:rsid w:val="00737470"/>
    <w:rsid w:val="00737473"/>
    <w:rsid w:val="007376B2"/>
    <w:rsid w:val="007377D2"/>
    <w:rsid w:val="00737DAB"/>
    <w:rsid w:val="0074006A"/>
    <w:rsid w:val="007402A9"/>
    <w:rsid w:val="00740305"/>
    <w:rsid w:val="007406D6"/>
    <w:rsid w:val="00740889"/>
    <w:rsid w:val="00740A8E"/>
    <w:rsid w:val="00740B52"/>
    <w:rsid w:val="00740F1A"/>
    <w:rsid w:val="00741106"/>
    <w:rsid w:val="00741183"/>
    <w:rsid w:val="00741199"/>
    <w:rsid w:val="007414D1"/>
    <w:rsid w:val="007420B5"/>
    <w:rsid w:val="00742139"/>
    <w:rsid w:val="0074254F"/>
    <w:rsid w:val="007435DA"/>
    <w:rsid w:val="00743680"/>
    <w:rsid w:val="007436E6"/>
    <w:rsid w:val="00743776"/>
    <w:rsid w:val="00743C10"/>
    <w:rsid w:val="00743FBA"/>
    <w:rsid w:val="007441B1"/>
    <w:rsid w:val="007441D1"/>
    <w:rsid w:val="007446F9"/>
    <w:rsid w:val="00744A4E"/>
    <w:rsid w:val="00744D0F"/>
    <w:rsid w:val="00744F92"/>
    <w:rsid w:val="007450B6"/>
    <w:rsid w:val="00745100"/>
    <w:rsid w:val="00745192"/>
    <w:rsid w:val="00745519"/>
    <w:rsid w:val="00745611"/>
    <w:rsid w:val="007459D9"/>
    <w:rsid w:val="0074638C"/>
    <w:rsid w:val="0074642D"/>
    <w:rsid w:val="00746CC0"/>
    <w:rsid w:val="007475E3"/>
    <w:rsid w:val="007476BC"/>
    <w:rsid w:val="00747A0F"/>
    <w:rsid w:val="00747D25"/>
    <w:rsid w:val="00750607"/>
    <w:rsid w:val="0075090E"/>
    <w:rsid w:val="007509A7"/>
    <w:rsid w:val="00750AE5"/>
    <w:rsid w:val="00750E74"/>
    <w:rsid w:val="007518DC"/>
    <w:rsid w:val="00751A31"/>
    <w:rsid w:val="00751F38"/>
    <w:rsid w:val="0075235C"/>
    <w:rsid w:val="007525FF"/>
    <w:rsid w:val="007526E9"/>
    <w:rsid w:val="007527A5"/>
    <w:rsid w:val="00752CCC"/>
    <w:rsid w:val="00752EE1"/>
    <w:rsid w:val="007536D8"/>
    <w:rsid w:val="007538BE"/>
    <w:rsid w:val="00753C53"/>
    <w:rsid w:val="00754027"/>
    <w:rsid w:val="00754AB4"/>
    <w:rsid w:val="00754BCE"/>
    <w:rsid w:val="007557FD"/>
    <w:rsid w:val="00755EA5"/>
    <w:rsid w:val="007566F8"/>
    <w:rsid w:val="0075684D"/>
    <w:rsid w:val="00756D81"/>
    <w:rsid w:val="00756E6F"/>
    <w:rsid w:val="007572C7"/>
    <w:rsid w:val="00757706"/>
    <w:rsid w:val="00757B78"/>
    <w:rsid w:val="00757E40"/>
    <w:rsid w:val="00760011"/>
    <w:rsid w:val="00760057"/>
    <w:rsid w:val="007600CF"/>
    <w:rsid w:val="00760173"/>
    <w:rsid w:val="00760369"/>
    <w:rsid w:val="007607CD"/>
    <w:rsid w:val="00761013"/>
    <w:rsid w:val="00761462"/>
    <w:rsid w:val="00761A25"/>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157"/>
    <w:rsid w:val="007653CE"/>
    <w:rsid w:val="00765474"/>
    <w:rsid w:val="0076633E"/>
    <w:rsid w:val="007666FF"/>
    <w:rsid w:val="00766800"/>
    <w:rsid w:val="0076687C"/>
    <w:rsid w:val="007669CB"/>
    <w:rsid w:val="00766A64"/>
    <w:rsid w:val="00766DDA"/>
    <w:rsid w:val="0076714D"/>
    <w:rsid w:val="007679EE"/>
    <w:rsid w:val="00767A54"/>
    <w:rsid w:val="00770A5D"/>
    <w:rsid w:val="00770DC8"/>
    <w:rsid w:val="00770ED9"/>
    <w:rsid w:val="0077173C"/>
    <w:rsid w:val="00771918"/>
    <w:rsid w:val="00771A2A"/>
    <w:rsid w:val="00771CF5"/>
    <w:rsid w:val="007720BF"/>
    <w:rsid w:val="007720EF"/>
    <w:rsid w:val="00772B27"/>
    <w:rsid w:val="00772CF2"/>
    <w:rsid w:val="00773471"/>
    <w:rsid w:val="00773559"/>
    <w:rsid w:val="007736B6"/>
    <w:rsid w:val="0077378B"/>
    <w:rsid w:val="00773FD2"/>
    <w:rsid w:val="007743C2"/>
    <w:rsid w:val="007744ED"/>
    <w:rsid w:val="00774719"/>
    <w:rsid w:val="00774900"/>
    <w:rsid w:val="00774B19"/>
    <w:rsid w:val="00774BB3"/>
    <w:rsid w:val="00774E3F"/>
    <w:rsid w:val="007754FB"/>
    <w:rsid w:val="007759D2"/>
    <w:rsid w:val="007759D9"/>
    <w:rsid w:val="0077611F"/>
    <w:rsid w:val="0077633C"/>
    <w:rsid w:val="00776369"/>
    <w:rsid w:val="0077692B"/>
    <w:rsid w:val="00776F41"/>
    <w:rsid w:val="007771F8"/>
    <w:rsid w:val="00777B57"/>
    <w:rsid w:val="00777E57"/>
    <w:rsid w:val="00777EB3"/>
    <w:rsid w:val="00777EBF"/>
    <w:rsid w:val="0078024F"/>
    <w:rsid w:val="00780AF7"/>
    <w:rsid w:val="00780BEC"/>
    <w:rsid w:val="007815E8"/>
    <w:rsid w:val="007817E6"/>
    <w:rsid w:val="00781B73"/>
    <w:rsid w:val="00781D4F"/>
    <w:rsid w:val="00781E64"/>
    <w:rsid w:val="00781F88"/>
    <w:rsid w:val="00782627"/>
    <w:rsid w:val="0078264D"/>
    <w:rsid w:val="0078277B"/>
    <w:rsid w:val="00782986"/>
    <w:rsid w:val="00782A17"/>
    <w:rsid w:val="00782A58"/>
    <w:rsid w:val="00782D93"/>
    <w:rsid w:val="00782F78"/>
    <w:rsid w:val="00783883"/>
    <w:rsid w:val="00783C83"/>
    <w:rsid w:val="00783FA8"/>
    <w:rsid w:val="00784223"/>
    <w:rsid w:val="00784D70"/>
    <w:rsid w:val="00784E77"/>
    <w:rsid w:val="00785DB3"/>
    <w:rsid w:val="00786DBD"/>
    <w:rsid w:val="00786ECB"/>
    <w:rsid w:val="007872F1"/>
    <w:rsid w:val="00787317"/>
    <w:rsid w:val="00787760"/>
    <w:rsid w:val="00787769"/>
    <w:rsid w:val="00787E33"/>
    <w:rsid w:val="00787F16"/>
    <w:rsid w:val="00790063"/>
    <w:rsid w:val="00790870"/>
    <w:rsid w:val="00790CC9"/>
    <w:rsid w:val="00790DD2"/>
    <w:rsid w:val="00790EED"/>
    <w:rsid w:val="00791323"/>
    <w:rsid w:val="007915DB"/>
    <w:rsid w:val="00791769"/>
    <w:rsid w:val="007919F5"/>
    <w:rsid w:val="00791EBD"/>
    <w:rsid w:val="00791FF4"/>
    <w:rsid w:val="00792260"/>
    <w:rsid w:val="007926DC"/>
    <w:rsid w:val="00792994"/>
    <w:rsid w:val="00792A7D"/>
    <w:rsid w:val="00792DE8"/>
    <w:rsid w:val="007931E6"/>
    <w:rsid w:val="0079325C"/>
    <w:rsid w:val="00793797"/>
    <w:rsid w:val="007949A4"/>
    <w:rsid w:val="00794B02"/>
    <w:rsid w:val="00794D9E"/>
    <w:rsid w:val="0079537E"/>
    <w:rsid w:val="007954D6"/>
    <w:rsid w:val="007958AC"/>
    <w:rsid w:val="007959B1"/>
    <w:rsid w:val="00795DB0"/>
    <w:rsid w:val="00795E0D"/>
    <w:rsid w:val="00796893"/>
    <w:rsid w:val="00796A57"/>
    <w:rsid w:val="00796C7C"/>
    <w:rsid w:val="00796DE2"/>
    <w:rsid w:val="00797127"/>
    <w:rsid w:val="00797553"/>
    <w:rsid w:val="00797A4C"/>
    <w:rsid w:val="00797E09"/>
    <w:rsid w:val="00797E32"/>
    <w:rsid w:val="007A019F"/>
    <w:rsid w:val="007A043F"/>
    <w:rsid w:val="007A0554"/>
    <w:rsid w:val="007A0CEE"/>
    <w:rsid w:val="007A0D78"/>
    <w:rsid w:val="007A1412"/>
    <w:rsid w:val="007A1F9D"/>
    <w:rsid w:val="007A1FD0"/>
    <w:rsid w:val="007A2211"/>
    <w:rsid w:val="007A2C6C"/>
    <w:rsid w:val="007A2F59"/>
    <w:rsid w:val="007A32A1"/>
    <w:rsid w:val="007A3501"/>
    <w:rsid w:val="007A378A"/>
    <w:rsid w:val="007A3794"/>
    <w:rsid w:val="007A37C8"/>
    <w:rsid w:val="007A3A0F"/>
    <w:rsid w:val="007A3A46"/>
    <w:rsid w:val="007A3B46"/>
    <w:rsid w:val="007A3B60"/>
    <w:rsid w:val="007A3DEB"/>
    <w:rsid w:val="007A3DF7"/>
    <w:rsid w:val="007A3E64"/>
    <w:rsid w:val="007A4DC3"/>
    <w:rsid w:val="007A4E24"/>
    <w:rsid w:val="007A535F"/>
    <w:rsid w:val="007A57E0"/>
    <w:rsid w:val="007A5A1D"/>
    <w:rsid w:val="007A5BD2"/>
    <w:rsid w:val="007A5EC7"/>
    <w:rsid w:val="007A627B"/>
    <w:rsid w:val="007A68BE"/>
    <w:rsid w:val="007A6CEE"/>
    <w:rsid w:val="007A6EAE"/>
    <w:rsid w:val="007A74AD"/>
    <w:rsid w:val="007A7544"/>
    <w:rsid w:val="007A7626"/>
    <w:rsid w:val="007A7955"/>
    <w:rsid w:val="007A7A8D"/>
    <w:rsid w:val="007A7C10"/>
    <w:rsid w:val="007A7C4F"/>
    <w:rsid w:val="007A7CA6"/>
    <w:rsid w:val="007A7FF1"/>
    <w:rsid w:val="007B0079"/>
    <w:rsid w:val="007B020A"/>
    <w:rsid w:val="007B0806"/>
    <w:rsid w:val="007B0CE0"/>
    <w:rsid w:val="007B19BA"/>
    <w:rsid w:val="007B1A9C"/>
    <w:rsid w:val="007B1B48"/>
    <w:rsid w:val="007B1C33"/>
    <w:rsid w:val="007B1E33"/>
    <w:rsid w:val="007B1F00"/>
    <w:rsid w:val="007B2583"/>
    <w:rsid w:val="007B25A2"/>
    <w:rsid w:val="007B2DB9"/>
    <w:rsid w:val="007B2F62"/>
    <w:rsid w:val="007B3354"/>
    <w:rsid w:val="007B3BC6"/>
    <w:rsid w:val="007B3CAC"/>
    <w:rsid w:val="007B3FFB"/>
    <w:rsid w:val="007B4635"/>
    <w:rsid w:val="007B4A84"/>
    <w:rsid w:val="007B4C13"/>
    <w:rsid w:val="007B4CF0"/>
    <w:rsid w:val="007B5134"/>
    <w:rsid w:val="007B537C"/>
    <w:rsid w:val="007B563C"/>
    <w:rsid w:val="007B5ADC"/>
    <w:rsid w:val="007B5C96"/>
    <w:rsid w:val="007B65ED"/>
    <w:rsid w:val="007B6918"/>
    <w:rsid w:val="007B71A5"/>
    <w:rsid w:val="007B721F"/>
    <w:rsid w:val="007B74BE"/>
    <w:rsid w:val="007B7EB2"/>
    <w:rsid w:val="007B7F96"/>
    <w:rsid w:val="007C007B"/>
    <w:rsid w:val="007C03FB"/>
    <w:rsid w:val="007C0862"/>
    <w:rsid w:val="007C09FE"/>
    <w:rsid w:val="007C0A6E"/>
    <w:rsid w:val="007C0BD4"/>
    <w:rsid w:val="007C1313"/>
    <w:rsid w:val="007C1D34"/>
    <w:rsid w:val="007C1E77"/>
    <w:rsid w:val="007C1EBA"/>
    <w:rsid w:val="007C25B9"/>
    <w:rsid w:val="007C27AE"/>
    <w:rsid w:val="007C28CF"/>
    <w:rsid w:val="007C2945"/>
    <w:rsid w:val="007C29BF"/>
    <w:rsid w:val="007C2E76"/>
    <w:rsid w:val="007C35F7"/>
    <w:rsid w:val="007C3BC7"/>
    <w:rsid w:val="007C3C94"/>
    <w:rsid w:val="007C42ED"/>
    <w:rsid w:val="007C4749"/>
    <w:rsid w:val="007C528F"/>
    <w:rsid w:val="007C5349"/>
    <w:rsid w:val="007C57E4"/>
    <w:rsid w:val="007C594F"/>
    <w:rsid w:val="007C5AEE"/>
    <w:rsid w:val="007C5D4B"/>
    <w:rsid w:val="007C621A"/>
    <w:rsid w:val="007C63B7"/>
    <w:rsid w:val="007C794E"/>
    <w:rsid w:val="007C7972"/>
    <w:rsid w:val="007C7CB9"/>
    <w:rsid w:val="007C7E46"/>
    <w:rsid w:val="007D072A"/>
    <w:rsid w:val="007D091D"/>
    <w:rsid w:val="007D107C"/>
    <w:rsid w:val="007D129F"/>
    <w:rsid w:val="007D1BDA"/>
    <w:rsid w:val="007D1DA8"/>
    <w:rsid w:val="007D1FA1"/>
    <w:rsid w:val="007D2058"/>
    <w:rsid w:val="007D2177"/>
    <w:rsid w:val="007D25F4"/>
    <w:rsid w:val="007D2785"/>
    <w:rsid w:val="007D2AB0"/>
    <w:rsid w:val="007D2B00"/>
    <w:rsid w:val="007D30EF"/>
    <w:rsid w:val="007D3201"/>
    <w:rsid w:val="007D3240"/>
    <w:rsid w:val="007D34BF"/>
    <w:rsid w:val="007D370D"/>
    <w:rsid w:val="007D38F6"/>
    <w:rsid w:val="007D4285"/>
    <w:rsid w:val="007D43B1"/>
    <w:rsid w:val="007D47C0"/>
    <w:rsid w:val="007D4A5C"/>
    <w:rsid w:val="007D5567"/>
    <w:rsid w:val="007D5828"/>
    <w:rsid w:val="007D5927"/>
    <w:rsid w:val="007D6169"/>
    <w:rsid w:val="007D65E5"/>
    <w:rsid w:val="007D6656"/>
    <w:rsid w:val="007D6CC3"/>
    <w:rsid w:val="007D6D8A"/>
    <w:rsid w:val="007D6DF1"/>
    <w:rsid w:val="007D6E81"/>
    <w:rsid w:val="007D701F"/>
    <w:rsid w:val="007D72B1"/>
    <w:rsid w:val="007D79FF"/>
    <w:rsid w:val="007D7CE7"/>
    <w:rsid w:val="007E0323"/>
    <w:rsid w:val="007E0A0A"/>
    <w:rsid w:val="007E0AC6"/>
    <w:rsid w:val="007E0B92"/>
    <w:rsid w:val="007E0BF2"/>
    <w:rsid w:val="007E0C81"/>
    <w:rsid w:val="007E0E0B"/>
    <w:rsid w:val="007E0FFE"/>
    <w:rsid w:val="007E1722"/>
    <w:rsid w:val="007E1FDF"/>
    <w:rsid w:val="007E2039"/>
    <w:rsid w:val="007E2070"/>
    <w:rsid w:val="007E21B7"/>
    <w:rsid w:val="007E2272"/>
    <w:rsid w:val="007E245C"/>
    <w:rsid w:val="007E2586"/>
    <w:rsid w:val="007E288B"/>
    <w:rsid w:val="007E2AD0"/>
    <w:rsid w:val="007E2CD2"/>
    <w:rsid w:val="007E2DE1"/>
    <w:rsid w:val="007E30AB"/>
    <w:rsid w:val="007E37A5"/>
    <w:rsid w:val="007E40F1"/>
    <w:rsid w:val="007E4229"/>
    <w:rsid w:val="007E42E1"/>
    <w:rsid w:val="007E43F1"/>
    <w:rsid w:val="007E445C"/>
    <w:rsid w:val="007E499D"/>
    <w:rsid w:val="007E5145"/>
    <w:rsid w:val="007E51AA"/>
    <w:rsid w:val="007E54D8"/>
    <w:rsid w:val="007E5759"/>
    <w:rsid w:val="007E5916"/>
    <w:rsid w:val="007E5D04"/>
    <w:rsid w:val="007E5DEC"/>
    <w:rsid w:val="007E5F04"/>
    <w:rsid w:val="007E6DDB"/>
    <w:rsid w:val="007E7732"/>
    <w:rsid w:val="007E773C"/>
    <w:rsid w:val="007E7D7C"/>
    <w:rsid w:val="007E7F4B"/>
    <w:rsid w:val="007F0910"/>
    <w:rsid w:val="007F0A2E"/>
    <w:rsid w:val="007F0BA7"/>
    <w:rsid w:val="007F0BDC"/>
    <w:rsid w:val="007F1446"/>
    <w:rsid w:val="007F1478"/>
    <w:rsid w:val="007F182F"/>
    <w:rsid w:val="007F184B"/>
    <w:rsid w:val="007F1CBB"/>
    <w:rsid w:val="007F1E19"/>
    <w:rsid w:val="007F275E"/>
    <w:rsid w:val="007F2EA5"/>
    <w:rsid w:val="007F331B"/>
    <w:rsid w:val="007F367D"/>
    <w:rsid w:val="007F3A20"/>
    <w:rsid w:val="007F3D47"/>
    <w:rsid w:val="007F4801"/>
    <w:rsid w:val="007F4BE4"/>
    <w:rsid w:val="007F509F"/>
    <w:rsid w:val="007F51B2"/>
    <w:rsid w:val="007F545B"/>
    <w:rsid w:val="007F58C7"/>
    <w:rsid w:val="007F5C35"/>
    <w:rsid w:val="007F6002"/>
    <w:rsid w:val="007F60A1"/>
    <w:rsid w:val="007F669E"/>
    <w:rsid w:val="007F6FEC"/>
    <w:rsid w:val="007F76B8"/>
    <w:rsid w:val="007F7A0F"/>
    <w:rsid w:val="008001A1"/>
    <w:rsid w:val="008004A4"/>
    <w:rsid w:val="00800839"/>
    <w:rsid w:val="00800946"/>
    <w:rsid w:val="00800CC6"/>
    <w:rsid w:val="008010B2"/>
    <w:rsid w:val="0080140D"/>
    <w:rsid w:val="0080156B"/>
    <w:rsid w:val="00802160"/>
    <w:rsid w:val="00802A05"/>
    <w:rsid w:val="00802DDF"/>
    <w:rsid w:val="0080307B"/>
    <w:rsid w:val="00803326"/>
    <w:rsid w:val="0080348B"/>
    <w:rsid w:val="00803573"/>
    <w:rsid w:val="0080367B"/>
    <w:rsid w:val="008037D6"/>
    <w:rsid w:val="00803A2F"/>
    <w:rsid w:val="00803AD7"/>
    <w:rsid w:val="00803C45"/>
    <w:rsid w:val="00803C91"/>
    <w:rsid w:val="00804184"/>
    <w:rsid w:val="00804442"/>
    <w:rsid w:val="00804529"/>
    <w:rsid w:val="00805502"/>
    <w:rsid w:val="00805696"/>
    <w:rsid w:val="00805956"/>
    <w:rsid w:val="00805B2A"/>
    <w:rsid w:val="00805C45"/>
    <w:rsid w:val="00805E1A"/>
    <w:rsid w:val="00806237"/>
    <w:rsid w:val="00806707"/>
    <w:rsid w:val="00806DE5"/>
    <w:rsid w:val="008071C0"/>
    <w:rsid w:val="008077AE"/>
    <w:rsid w:val="008077B8"/>
    <w:rsid w:val="00807BF5"/>
    <w:rsid w:val="00807D99"/>
    <w:rsid w:val="008100E6"/>
    <w:rsid w:val="00810161"/>
    <w:rsid w:val="008101A3"/>
    <w:rsid w:val="0081034B"/>
    <w:rsid w:val="00810430"/>
    <w:rsid w:val="00810537"/>
    <w:rsid w:val="0081056C"/>
    <w:rsid w:val="0081082C"/>
    <w:rsid w:val="00810838"/>
    <w:rsid w:val="00810A44"/>
    <w:rsid w:val="00811141"/>
    <w:rsid w:val="0081178B"/>
    <w:rsid w:val="0081179C"/>
    <w:rsid w:val="008119A5"/>
    <w:rsid w:val="00811B7C"/>
    <w:rsid w:val="008123D4"/>
    <w:rsid w:val="00812445"/>
    <w:rsid w:val="00812B37"/>
    <w:rsid w:val="00812F69"/>
    <w:rsid w:val="00813014"/>
    <w:rsid w:val="0081318A"/>
    <w:rsid w:val="00813285"/>
    <w:rsid w:val="008132F6"/>
    <w:rsid w:val="00813EFF"/>
    <w:rsid w:val="008142D4"/>
    <w:rsid w:val="008147F5"/>
    <w:rsid w:val="00814C77"/>
    <w:rsid w:val="00814D2F"/>
    <w:rsid w:val="00814E54"/>
    <w:rsid w:val="00814FC8"/>
    <w:rsid w:val="008150DA"/>
    <w:rsid w:val="008151D3"/>
    <w:rsid w:val="00815566"/>
    <w:rsid w:val="00815584"/>
    <w:rsid w:val="0081567C"/>
    <w:rsid w:val="00815A4C"/>
    <w:rsid w:val="00815B88"/>
    <w:rsid w:val="00815D26"/>
    <w:rsid w:val="00815D8F"/>
    <w:rsid w:val="00816B49"/>
    <w:rsid w:val="00816D92"/>
    <w:rsid w:val="00816F5A"/>
    <w:rsid w:val="00816FA5"/>
    <w:rsid w:val="008174E6"/>
    <w:rsid w:val="00817D6A"/>
    <w:rsid w:val="00817FEA"/>
    <w:rsid w:val="008207E0"/>
    <w:rsid w:val="00820DAD"/>
    <w:rsid w:val="00820EA3"/>
    <w:rsid w:val="00821106"/>
    <w:rsid w:val="00821C9A"/>
    <w:rsid w:val="0082229F"/>
    <w:rsid w:val="00822722"/>
    <w:rsid w:val="00822BD5"/>
    <w:rsid w:val="00822E24"/>
    <w:rsid w:val="00822F2E"/>
    <w:rsid w:val="00822F7C"/>
    <w:rsid w:val="0082323B"/>
    <w:rsid w:val="008232D6"/>
    <w:rsid w:val="00823307"/>
    <w:rsid w:val="008234D6"/>
    <w:rsid w:val="00823578"/>
    <w:rsid w:val="0082397A"/>
    <w:rsid w:val="00823BC8"/>
    <w:rsid w:val="00823E75"/>
    <w:rsid w:val="00823F0C"/>
    <w:rsid w:val="00824528"/>
    <w:rsid w:val="008247E8"/>
    <w:rsid w:val="00824AD9"/>
    <w:rsid w:val="00824C52"/>
    <w:rsid w:val="00824D18"/>
    <w:rsid w:val="008258BC"/>
    <w:rsid w:val="0082590D"/>
    <w:rsid w:val="00826491"/>
    <w:rsid w:val="00826C34"/>
    <w:rsid w:val="00826D2F"/>
    <w:rsid w:val="0082753F"/>
    <w:rsid w:val="00827740"/>
    <w:rsid w:val="0082787A"/>
    <w:rsid w:val="00827C4A"/>
    <w:rsid w:val="00827E28"/>
    <w:rsid w:val="00827E93"/>
    <w:rsid w:val="00827F12"/>
    <w:rsid w:val="00830286"/>
    <w:rsid w:val="00830320"/>
    <w:rsid w:val="00830816"/>
    <w:rsid w:val="0083095D"/>
    <w:rsid w:val="00830DE1"/>
    <w:rsid w:val="00831058"/>
    <w:rsid w:val="008316D0"/>
    <w:rsid w:val="0083175D"/>
    <w:rsid w:val="0083192C"/>
    <w:rsid w:val="00832493"/>
    <w:rsid w:val="0083291D"/>
    <w:rsid w:val="00832A0F"/>
    <w:rsid w:val="00832BB4"/>
    <w:rsid w:val="00832D57"/>
    <w:rsid w:val="00832E35"/>
    <w:rsid w:val="00832F64"/>
    <w:rsid w:val="008331A2"/>
    <w:rsid w:val="008335D8"/>
    <w:rsid w:val="00833792"/>
    <w:rsid w:val="008338D8"/>
    <w:rsid w:val="00833D39"/>
    <w:rsid w:val="00834543"/>
    <w:rsid w:val="00834EA4"/>
    <w:rsid w:val="008358BF"/>
    <w:rsid w:val="00835B2E"/>
    <w:rsid w:val="00835C89"/>
    <w:rsid w:val="00835FC9"/>
    <w:rsid w:val="008360C7"/>
    <w:rsid w:val="00836C9C"/>
    <w:rsid w:val="00836D95"/>
    <w:rsid w:val="008372FC"/>
    <w:rsid w:val="0083755E"/>
    <w:rsid w:val="008379C9"/>
    <w:rsid w:val="00837A3C"/>
    <w:rsid w:val="00837E06"/>
    <w:rsid w:val="00837E7E"/>
    <w:rsid w:val="00837FA2"/>
    <w:rsid w:val="00840426"/>
    <w:rsid w:val="008406B4"/>
    <w:rsid w:val="00840BD7"/>
    <w:rsid w:val="00840C7C"/>
    <w:rsid w:val="00840ED0"/>
    <w:rsid w:val="008412AC"/>
    <w:rsid w:val="0084135A"/>
    <w:rsid w:val="0084171B"/>
    <w:rsid w:val="008420E5"/>
    <w:rsid w:val="008421F8"/>
    <w:rsid w:val="008423A2"/>
    <w:rsid w:val="00842752"/>
    <w:rsid w:val="00842873"/>
    <w:rsid w:val="00842959"/>
    <w:rsid w:val="00842A7F"/>
    <w:rsid w:val="00842C77"/>
    <w:rsid w:val="00843306"/>
    <w:rsid w:val="00843801"/>
    <w:rsid w:val="00843A4D"/>
    <w:rsid w:val="00843B4A"/>
    <w:rsid w:val="0084434B"/>
    <w:rsid w:val="00844972"/>
    <w:rsid w:val="00844D8E"/>
    <w:rsid w:val="0084548B"/>
    <w:rsid w:val="00845913"/>
    <w:rsid w:val="00845C0A"/>
    <w:rsid w:val="00845F72"/>
    <w:rsid w:val="008463C9"/>
    <w:rsid w:val="008464E3"/>
    <w:rsid w:val="00846AB8"/>
    <w:rsid w:val="00846D0B"/>
    <w:rsid w:val="008471A8"/>
    <w:rsid w:val="0084724D"/>
    <w:rsid w:val="0085020F"/>
    <w:rsid w:val="00850523"/>
    <w:rsid w:val="008505A4"/>
    <w:rsid w:val="008506ED"/>
    <w:rsid w:val="00850CFC"/>
    <w:rsid w:val="00850D2D"/>
    <w:rsid w:val="008510B0"/>
    <w:rsid w:val="0085125C"/>
    <w:rsid w:val="00852293"/>
    <w:rsid w:val="00852590"/>
    <w:rsid w:val="00852865"/>
    <w:rsid w:val="008529CB"/>
    <w:rsid w:val="00852ED4"/>
    <w:rsid w:val="0085358F"/>
    <w:rsid w:val="0085360D"/>
    <w:rsid w:val="00853CD7"/>
    <w:rsid w:val="00853E68"/>
    <w:rsid w:val="00853F71"/>
    <w:rsid w:val="00854349"/>
    <w:rsid w:val="00854954"/>
    <w:rsid w:val="008549B0"/>
    <w:rsid w:val="00854BFC"/>
    <w:rsid w:val="00855016"/>
    <w:rsid w:val="008555E0"/>
    <w:rsid w:val="008555F5"/>
    <w:rsid w:val="00855FE6"/>
    <w:rsid w:val="00856091"/>
    <w:rsid w:val="00856471"/>
    <w:rsid w:val="008568D7"/>
    <w:rsid w:val="00856C67"/>
    <w:rsid w:val="0085768D"/>
    <w:rsid w:val="00857DEE"/>
    <w:rsid w:val="00857F40"/>
    <w:rsid w:val="00857FB3"/>
    <w:rsid w:val="008602B6"/>
    <w:rsid w:val="008606B9"/>
    <w:rsid w:val="00860DAB"/>
    <w:rsid w:val="00861110"/>
    <w:rsid w:val="008617BB"/>
    <w:rsid w:val="00861A8A"/>
    <w:rsid w:val="00861E58"/>
    <w:rsid w:val="00862551"/>
    <w:rsid w:val="00862ACC"/>
    <w:rsid w:val="00862E55"/>
    <w:rsid w:val="00862EE8"/>
    <w:rsid w:val="00863086"/>
    <w:rsid w:val="008632E2"/>
    <w:rsid w:val="00863695"/>
    <w:rsid w:val="0086376B"/>
    <w:rsid w:val="00863C08"/>
    <w:rsid w:val="00864154"/>
    <w:rsid w:val="0086456F"/>
    <w:rsid w:val="00864B68"/>
    <w:rsid w:val="00864F88"/>
    <w:rsid w:val="00865D70"/>
    <w:rsid w:val="00865E52"/>
    <w:rsid w:val="00865ECB"/>
    <w:rsid w:val="00866041"/>
    <w:rsid w:val="008667F2"/>
    <w:rsid w:val="00866D60"/>
    <w:rsid w:val="00866DFB"/>
    <w:rsid w:val="00866E48"/>
    <w:rsid w:val="00866FC5"/>
    <w:rsid w:val="008672E6"/>
    <w:rsid w:val="00867767"/>
    <w:rsid w:val="00867A20"/>
    <w:rsid w:val="00867A63"/>
    <w:rsid w:val="00867CA1"/>
    <w:rsid w:val="00870350"/>
    <w:rsid w:val="0087038E"/>
    <w:rsid w:val="008705F5"/>
    <w:rsid w:val="00870627"/>
    <w:rsid w:val="0087081D"/>
    <w:rsid w:val="00870A88"/>
    <w:rsid w:val="00870C57"/>
    <w:rsid w:val="00870DB6"/>
    <w:rsid w:val="0087124B"/>
    <w:rsid w:val="008719FB"/>
    <w:rsid w:val="00871B1E"/>
    <w:rsid w:val="00872247"/>
    <w:rsid w:val="00872403"/>
    <w:rsid w:val="008724AA"/>
    <w:rsid w:val="00872BB0"/>
    <w:rsid w:val="00872F97"/>
    <w:rsid w:val="00872FB9"/>
    <w:rsid w:val="0087304F"/>
    <w:rsid w:val="00873087"/>
    <w:rsid w:val="0087310D"/>
    <w:rsid w:val="008733FE"/>
    <w:rsid w:val="00873B99"/>
    <w:rsid w:val="00873F1E"/>
    <w:rsid w:val="00873F9D"/>
    <w:rsid w:val="008740C6"/>
    <w:rsid w:val="008742A8"/>
    <w:rsid w:val="0087489E"/>
    <w:rsid w:val="0087543D"/>
    <w:rsid w:val="00875532"/>
    <w:rsid w:val="00875895"/>
    <w:rsid w:val="00876143"/>
    <w:rsid w:val="008764DB"/>
    <w:rsid w:val="0087650F"/>
    <w:rsid w:val="00876628"/>
    <w:rsid w:val="0087688A"/>
    <w:rsid w:val="00877270"/>
    <w:rsid w:val="00877376"/>
    <w:rsid w:val="008775D0"/>
    <w:rsid w:val="00877DCB"/>
    <w:rsid w:val="00880576"/>
    <w:rsid w:val="008807FF"/>
    <w:rsid w:val="00880992"/>
    <w:rsid w:val="00880A4F"/>
    <w:rsid w:val="00880BA2"/>
    <w:rsid w:val="00880F1B"/>
    <w:rsid w:val="00881228"/>
    <w:rsid w:val="00881731"/>
    <w:rsid w:val="00881999"/>
    <w:rsid w:val="00881DB6"/>
    <w:rsid w:val="00882088"/>
    <w:rsid w:val="008823A3"/>
    <w:rsid w:val="008823D9"/>
    <w:rsid w:val="008824C5"/>
    <w:rsid w:val="008826E8"/>
    <w:rsid w:val="00883240"/>
    <w:rsid w:val="00883478"/>
    <w:rsid w:val="00883982"/>
    <w:rsid w:val="00883AD0"/>
    <w:rsid w:val="00883D28"/>
    <w:rsid w:val="0088499A"/>
    <w:rsid w:val="00884DE8"/>
    <w:rsid w:val="0088502F"/>
    <w:rsid w:val="0088510F"/>
    <w:rsid w:val="008853CB"/>
    <w:rsid w:val="00885562"/>
    <w:rsid w:val="00885603"/>
    <w:rsid w:val="00885807"/>
    <w:rsid w:val="00885C39"/>
    <w:rsid w:val="00885DE2"/>
    <w:rsid w:val="008863FA"/>
    <w:rsid w:val="00886528"/>
    <w:rsid w:val="008866D0"/>
    <w:rsid w:val="00887141"/>
    <w:rsid w:val="008878A5"/>
    <w:rsid w:val="00890014"/>
    <w:rsid w:val="0089063A"/>
    <w:rsid w:val="00891C8C"/>
    <w:rsid w:val="00891EA9"/>
    <w:rsid w:val="00892280"/>
    <w:rsid w:val="008922D3"/>
    <w:rsid w:val="00892D51"/>
    <w:rsid w:val="00892D7B"/>
    <w:rsid w:val="00893202"/>
    <w:rsid w:val="008940BB"/>
    <w:rsid w:val="008941EC"/>
    <w:rsid w:val="00894504"/>
    <w:rsid w:val="00894BC1"/>
    <w:rsid w:val="00894E92"/>
    <w:rsid w:val="008952EC"/>
    <w:rsid w:val="00895D6B"/>
    <w:rsid w:val="00895F34"/>
    <w:rsid w:val="008963F8"/>
    <w:rsid w:val="008966B2"/>
    <w:rsid w:val="00896A2B"/>
    <w:rsid w:val="00896A56"/>
    <w:rsid w:val="00896BA2"/>
    <w:rsid w:val="00896C8A"/>
    <w:rsid w:val="00897503"/>
    <w:rsid w:val="00897546"/>
    <w:rsid w:val="00897932"/>
    <w:rsid w:val="00897CA2"/>
    <w:rsid w:val="00897D36"/>
    <w:rsid w:val="00897FE9"/>
    <w:rsid w:val="008A03FD"/>
    <w:rsid w:val="008A0B3C"/>
    <w:rsid w:val="008A0D90"/>
    <w:rsid w:val="008A15CB"/>
    <w:rsid w:val="008A1CAE"/>
    <w:rsid w:val="008A1CD8"/>
    <w:rsid w:val="008A29B7"/>
    <w:rsid w:val="008A2D89"/>
    <w:rsid w:val="008A2EAE"/>
    <w:rsid w:val="008A3206"/>
    <w:rsid w:val="008A37D0"/>
    <w:rsid w:val="008A3E56"/>
    <w:rsid w:val="008A3F27"/>
    <w:rsid w:val="008A4EDC"/>
    <w:rsid w:val="008A51CD"/>
    <w:rsid w:val="008A5291"/>
    <w:rsid w:val="008A54CD"/>
    <w:rsid w:val="008A5B79"/>
    <w:rsid w:val="008A60BE"/>
    <w:rsid w:val="008A6189"/>
    <w:rsid w:val="008A630A"/>
    <w:rsid w:val="008A63C3"/>
    <w:rsid w:val="008A6576"/>
    <w:rsid w:val="008A677E"/>
    <w:rsid w:val="008A6CC5"/>
    <w:rsid w:val="008A6F73"/>
    <w:rsid w:val="008A709C"/>
    <w:rsid w:val="008A7398"/>
    <w:rsid w:val="008A73C7"/>
    <w:rsid w:val="008A75BA"/>
    <w:rsid w:val="008A75CE"/>
    <w:rsid w:val="008A765E"/>
    <w:rsid w:val="008A7FB8"/>
    <w:rsid w:val="008B0674"/>
    <w:rsid w:val="008B06D9"/>
    <w:rsid w:val="008B0BD3"/>
    <w:rsid w:val="008B0E2A"/>
    <w:rsid w:val="008B0F28"/>
    <w:rsid w:val="008B1502"/>
    <w:rsid w:val="008B2065"/>
    <w:rsid w:val="008B265B"/>
    <w:rsid w:val="008B2EF7"/>
    <w:rsid w:val="008B30E2"/>
    <w:rsid w:val="008B351B"/>
    <w:rsid w:val="008B36B9"/>
    <w:rsid w:val="008B3725"/>
    <w:rsid w:val="008B3780"/>
    <w:rsid w:val="008B3852"/>
    <w:rsid w:val="008B3946"/>
    <w:rsid w:val="008B42DA"/>
    <w:rsid w:val="008B473C"/>
    <w:rsid w:val="008B4A9A"/>
    <w:rsid w:val="008B54B0"/>
    <w:rsid w:val="008B5BA2"/>
    <w:rsid w:val="008B5D19"/>
    <w:rsid w:val="008B5D1F"/>
    <w:rsid w:val="008B5E3B"/>
    <w:rsid w:val="008B6BCF"/>
    <w:rsid w:val="008B6DBE"/>
    <w:rsid w:val="008B6EE0"/>
    <w:rsid w:val="008B70E6"/>
    <w:rsid w:val="008B794C"/>
    <w:rsid w:val="008B7E66"/>
    <w:rsid w:val="008C05A0"/>
    <w:rsid w:val="008C085F"/>
    <w:rsid w:val="008C08DD"/>
    <w:rsid w:val="008C09B8"/>
    <w:rsid w:val="008C09D5"/>
    <w:rsid w:val="008C0D1A"/>
    <w:rsid w:val="008C0EB7"/>
    <w:rsid w:val="008C0FBC"/>
    <w:rsid w:val="008C18E4"/>
    <w:rsid w:val="008C1A36"/>
    <w:rsid w:val="008C1A48"/>
    <w:rsid w:val="008C1B3D"/>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670"/>
    <w:rsid w:val="008C4813"/>
    <w:rsid w:val="008C49D3"/>
    <w:rsid w:val="008C49D8"/>
    <w:rsid w:val="008C501F"/>
    <w:rsid w:val="008C5794"/>
    <w:rsid w:val="008C5B20"/>
    <w:rsid w:val="008C5B21"/>
    <w:rsid w:val="008C5C35"/>
    <w:rsid w:val="008C5CFC"/>
    <w:rsid w:val="008C5D41"/>
    <w:rsid w:val="008C6033"/>
    <w:rsid w:val="008C63EC"/>
    <w:rsid w:val="008C6844"/>
    <w:rsid w:val="008C6B63"/>
    <w:rsid w:val="008C6FDF"/>
    <w:rsid w:val="008C72FA"/>
    <w:rsid w:val="008C7582"/>
    <w:rsid w:val="008C795E"/>
    <w:rsid w:val="008C79D4"/>
    <w:rsid w:val="008C7C39"/>
    <w:rsid w:val="008D0434"/>
    <w:rsid w:val="008D0BA8"/>
    <w:rsid w:val="008D0BF9"/>
    <w:rsid w:val="008D18EC"/>
    <w:rsid w:val="008D1F9E"/>
    <w:rsid w:val="008D372A"/>
    <w:rsid w:val="008D3752"/>
    <w:rsid w:val="008D3C0B"/>
    <w:rsid w:val="008D3CA1"/>
    <w:rsid w:val="008D42AD"/>
    <w:rsid w:val="008D4C5C"/>
    <w:rsid w:val="008D4D7E"/>
    <w:rsid w:val="008D585D"/>
    <w:rsid w:val="008D59BB"/>
    <w:rsid w:val="008D64A5"/>
    <w:rsid w:val="008D64F4"/>
    <w:rsid w:val="008D694B"/>
    <w:rsid w:val="008D6C9D"/>
    <w:rsid w:val="008D6EDB"/>
    <w:rsid w:val="008D71FB"/>
    <w:rsid w:val="008D7377"/>
    <w:rsid w:val="008D7524"/>
    <w:rsid w:val="008D78B0"/>
    <w:rsid w:val="008E08A4"/>
    <w:rsid w:val="008E1A51"/>
    <w:rsid w:val="008E1B1E"/>
    <w:rsid w:val="008E1E1F"/>
    <w:rsid w:val="008E1FA5"/>
    <w:rsid w:val="008E2086"/>
    <w:rsid w:val="008E20BA"/>
    <w:rsid w:val="008E27BD"/>
    <w:rsid w:val="008E2810"/>
    <w:rsid w:val="008E2DBB"/>
    <w:rsid w:val="008E364D"/>
    <w:rsid w:val="008E387A"/>
    <w:rsid w:val="008E3E83"/>
    <w:rsid w:val="008E438D"/>
    <w:rsid w:val="008E4E86"/>
    <w:rsid w:val="008E4F5B"/>
    <w:rsid w:val="008E5013"/>
    <w:rsid w:val="008E52E9"/>
    <w:rsid w:val="008E550A"/>
    <w:rsid w:val="008E5959"/>
    <w:rsid w:val="008E5AB2"/>
    <w:rsid w:val="008E5BA5"/>
    <w:rsid w:val="008E5CB2"/>
    <w:rsid w:val="008E5FFD"/>
    <w:rsid w:val="008E62CE"/>
    <w:rsid w:val="008E65EB"/>
    <w:rsid w:val="008E7068"/>
    <w:rsid w:val="008E706C"/>
    <w:rsid w:val="008E75C7"/>
    <w:rsid w:val="008E75D5"/>
    <w:rsid w:val="008E7777"/>
    <w:rsid w:val="008F0225"/>
    <w:rsid w:val="008F0342"/>
    <w:rsid w:val="008F0849"/>
    <w:rsid w:val="008F0898"/>
    <w:rsid w:val="008F097D"/>
    <w:rsid w:val="008F0D6A"/>
    <w:rsid w:val="008F12A5"/>
    <w:rsid w:val="008F14AA"/>
    <w:rsid w:val="008F1A64"/>
    <w:rsid w:val="008F1B3E"/>
    <w:rsid w:val="008F1BCC"/>
    <w:rsid w:val="008F2375"/>
    <w:rsid w:val="008F2432"/>
    <w:rsid w:val="008F404B"/>
    <w:rsid w:val="008F4880"/>
    <w:rsid w:val="008F4907"/>
    <w:rsid w:val="008F50AB"/>
    <w:rsid w:val="008F5E1F"/>
    <w:rsid w:val="008F5ED0"/>
    <w:rsid w:val="008F65EF"/>
    <w:rsid w:val="008F692D"/>
    <w:rsid w:val="008F6A97"/>
    <w:rsid w:val="008F6C38"/>
    <w:rsid w:val="008F6D77"/>
    <w:rsid w:val="00900AFC"/>
    <w:rsid w:val="009011C3"/>
    <w:rsid w:val="00901204"/>
    <w:rsid w:val="009013FB"/>
    <w:rsid w:val="00901533"/>
    <w:rsid w:val="00901990"/>
    <w:rsid w:val="00901C22"/>
    <w:rsid w:val="00902263"/>
    <w:rsid w:val="009023D8"/>
    <w:rsid w:val="00902583"/>
    <w:rsid w:val="009027D9"/>
    <w:rsid w:val="009028AD"/>
    <w:rsid w:val="0090298A"/>
    <w:rsid w:val="00902E49"/>
    <w:rsid w:val="00902E71"/>
    <w:rsid w:val="009035DD"/>
    <w:rsid w:val="00903CF7"/>
    <w:rsid w:val="00903FCE"/>
    <w:rsid w:val="009040CD"/>
    <w:rsid w:val="00904262"/>
    <w:rsid w:val="00904327"/>
    <w:rsid w:val="00904A85"/>
    <w:rsid w:val="00904A94"/>
    <w:rsid w:val="00904ABE"/>
    <w:rsid w:val="00904E7A"/>
    <w:rsid w:val="0090534C"/>
    <w:rsid w:val="009056EF"/>
    <w:rsid w:val="00905B34"/>
    <w:rsid w:val="0090600E"/>
    <w:rsid w:val="00906D07"/>
    <w:rsid w:val="00906EFA"/>
    <w:rsid w:val="00907091"/>
    <w:rsid w:val="009072AA"/>
    <w:rsid w:val="0090754E"/>
    <w:rsid w:val="00907B40"/>
    <w:rsid w:val="00907BD5"/>
    <w:rsid w:val="00907BDB"/>
    <w:rsid w:val="00910280"/>
    <w:rsid w:val="009104C8"/>
    <w:rsid w:val="009104D8"/>
    <w:rsid w:val="0091068C"/>
    <w:rsid w:val="00910748"/>
    <w:rsid w:val="009107B8"/>
    <w:rsid w:val="00910BCC"/>
    <w:rsid w:val="009120B0"/>
    <w:rsid w:val="0091223E"/>
    <w:rsid w:val="009126D4"/>
    <w:rsid w:val="00912B16"/>
    <w:rsid w:val="00912F30"/>
    <w:rsid w:val="00912FD7"/>
    <w:rsid w:val="009130F7"/>
    <w:rsid w:val="00913328"/>
    <w:rsid w:val="00913486"/>
    <w:rsid w:val="00913603"/>
    <w:rsid w:val="00913684"/>
    <w:rsid w:val="00913C10"/>
    <w:rsid w:val="00913F44"/>
    <w:rsid w:val="00914794"/>
    <w:rsid w:val="00914814"/>
    <w:rsid w:val="00914A01"/>
    <w:rsid w:val="009152E0"/>
    <w:rsid w:val="00915371"/>
    <w:rsid w:val="00915620"/>
    <w:rsid w:val="00915753"/>
    <w:rsid w:val="00915C9A"/>
    <w:rsid w:val="00915D7C"/>
    <w:rsid w:val="00916610"/>
    <w:rsid w:val="00916B70"/>
    <w:rsid w:val="0091720F"/>
    <w:rsid w:val="009203B0"/>
    <w:rsid w:val="00920777"/>
    <w:rsid w:val="00920A1F"/>
    <w:rsid w:val="00920C0B"/>
    <w:rsid w:val="00920E3B"/>
    <w:rsid w:val="009212C0"/>
    <w:rsid w:val="0092142E"/>
    <w:rsid w:val="0092174A"/>
    <w:rsid w:val="009224C0"/>
    <w:rsid w:val="00922679"/>
    <w:rsid w:val="00922694"/>
    <w:rsid w:val="009226E4"/>
    <w:rsid w:val="00922770"/>
    <w:rsid w:val="00922F10"/>
    <w:rsid w:val="00922F6D"/>
    <w:rsid w:val="0092385C"/>
    <w:rsid w:val="00923ECD"/>
    <w:rsid w:val="00924214"/>
    <w:rsid w:val="00924DA3"/>
    <w:rsid w:val="00925046"/>
    <w:rsid w:val="0092542D"/>
    <w:rsid w:val="009254E8"/>
    <w:rsid w:val="00925666"/>
    <w:rsid w:val="00925B28"/>
    <w:rsid w:val="00925C42"/>
    <w:rsid w:val="00925DCC"/>
    <w:rsid w:val="00925FF2"/>
    <w:rsid w:val="009261C7"/>
    <w:rsid w:val="00926229"/>
    <w:rsid w:val="009262E8"/>
    <w:rsid w:val="0092664B"/>
    <w:rsid w:val="00926747"/>
    <w:rsid w:val="009268C2"/>
    <w:rsid w:val="00926A1D"/>
    <w:rsid w:val="00926A46"/>
    <w:rsid w:val="00926D1A"/>
    <w:rsid w:val="00926D77"/>
    <w:rsid w:val="0092720F"/>
    <w:rsid w:val="00927906"/>
    <w:rsid w:val="00927920"/>
    <w:rsid w:val="00927B56"/>
    <w:rsid w:val="00927EF8"/>
    <w:rsid w:val="00927F2C"/>
    <w:rsid w:val="00931326"/>
    <w:rsid w:val="00931968"/>
    <w:rsid w:val="00932155"/>
    <w:rsid w:val="00932E7C"/>
    <w:rsid w:val="00932EFC"/>
    <w:rsid w:val="00933281"/>
    <w:rsid w:val="009333FC"/>
    <w:rsid w:val="00933819"/>
    <w:rsid w:val="00933B23"/>
    <w:rsid w:val="00933C52"/>
    <w:rsid w:val="00933E59"/>
    <w:rsid w:val="00934C59"/>
    <w:rsid w:val="00934E96"/>
    <w:rsid w:val="00935C19"/>
    <w:rsid w:val="00935C45"/>
    <w:rsid w:val="00935DA5"/>
    <w:rsid w:val="00935E1D"/>
    <w:rsid w:val="00935F8D"/>
    <w:rsid w:val="00936185"/>
    <w:rsid w:val="0093650C"/>
    <w:rsid w:val="00936843"/>
    <w:rsid w:val="00936AFF"/>
    <w:rsid w:val="00936BCB"/>
    <w:rsid w:val="0093794B"/>
    <w:rsid w:val="00937A86"/>
    <w:rsid w:val="00940520"/>
    <w:rsid w:val="00940C7F"/>
    <w:rsid w:val="00940EF4"/>
    <w:rsid w:val="00940FDA"/>
    <w:rsid w:val="00941359"/>
    <w:rsid w:val="0094182B"/>
    <w:rsid w:val="00941FD6"/>
    <w:rsid w:val="0094207D"/>
    <w:rsid w:val="00942336"/>
    <w:rsid w:val="0094255B"/>
    <w:rsid w:val="009425C3"/>
    <w:rsid w:val="00942897"/>
    <w:rsid w:val="00942A29"/>
    <w:rsid w:val="00942CFD"/>
    <w:rsid w:val="00942D13"/>
    <w:rsid w:val="00943240"/>
    <w:rsid w:val="009433E7"/>
    <w:rsid w:val="0094350D"/>
    <w:rsid w:val="00943552"/>
    <w:rsid w:val="009437C6"/>
    <w:rsid w:val="00943930"/>
    <w:rsid w:val="00943AF4"/>
    <w:rsid w:val="00943B0C"/>
    <w:rsid w:val="00943B3D"/>
    <w:rsid w:val="00943F0D"/>
    <w:rsid w:val="00943FAD"/>
    <w:rsid w:val="009440A5"/>
    <w:rsid w:val="0094452E"/>
    <w:rsid w:val="00944ACD"/>
    <w:rsid w:val="00945251"/>
    <w:rsid w:val="009452B7"/>
    <w:rsid w:val="009453A7"/>
    <w:rsid w:val="009454E8"/>
    <w:rsid w:val="009459D2"/>
    <w:rsid w:val="00945B05"/>
    <w:rsid w:val="00945C0D"/>
    <w:rsid w:val="00945F5C"/>
    <w:rsid w:val="00945FA4"/>
    <w:rsid w:val="0094656E"/>
    <w:rsid w:val="00946EC6"/>
    <w:rsid w:val="00946F76"/>
    <w:rsid w:val="0094705B"/>
    <w:rsid w:val="00947647"/>
    <w:rsid w:val="00947A6B"/>
    <w:rsid w:val="009500E0"/>
    <w:rsid w:val="009502D0"/>
    <w:rsid w:val="0095048D"/>
    <w:rsid w:val="00950BCF"/>
    <w:rsid w:val="00950C1B"/>
    <w:rsid w:val="00950C89"/>
    <w:rsid w:val="00950CC0"/>
    <w:rsid w:val="00951133"/>
    <w:rsid w:val="0095114B"/>
    <w:rsid w:val="009515D5"/>
    <w:rsid w:val="00951611"/>
    <w:rsid w:val="0095169C"/>
    <w:rsid w:val="009517CE"/>
    <w:rsid w:val="00951847"/>
    <w:rsid w:val="00951CCF"/>
    <w:rsid w:val="00952318"/>
    <w:rsid w:val="00952BF7"/>
    <w:rsid w:val="00952BF9"/>
    <w:rsid w:val="009533C4"/>
    <w:rsid w:val="0095364A"/>
    <w:rsid w:val="009536DC"/>
    <w:rsid w:val="00953A9A"/>
    <w:rsid w:val="00953D36"/>
    <w:rsid w:val="009540AE"/>
    <w:rsid w:val="00954356"/>
    <w:rsid w:val="009546D9"/>
    <w:rsid w:val="00954912"/>
    <w:rsid w:val="00954BF9"/>
    <w:rsid w:val="00954ED2"/>
    <w:rsid w:val="0095514B"/>
    <w:rsid w:val="0095556E"/>
    <w:rsid w:val="00955F60"/>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E71"/>
    <w:rsid w:val="00957FAB"/>
    <w:rsid w:val="0096009B"/>
    <w:rsid w:val="009601B4"/>
    <w:rsid w:val="00960AE8"/>
    <w:rsid w:val="00961549"/>
    <w:rsid w:val="009618A7"/>
    <w:rsid w:val="00962639"/>
    <w:rsid w:val="00962906"/>
    <w:rsid w:val="00962AFC"/>
    <w:rsid w:val="00962BB9"/>
    <w:rsid w:val="009633AD"/>
    <w:rsid w:val="00963BA6"/>
    <w:rsid w:val="00963DAE"/>
    <w:rsid w:val="00963DC6"/>
    <w:rsid w:val="0096452F"/>
    <w:rsid w:val="00964637"/>
    <w:rsid w:val="00964B28"/>
    <w:rsid w:val="00964D10"/>
    <w:rsid w:val="00965220"/>
    <w:rsid w:val="009655CB"/>
    <w:rsid w:val="009659C7"/>
    <w:rsid w:val="00966167"/>
    <w:rsid w:val="009662B4"/>
    <w:rsid w:val="00966936"/>
    <w:rsid w:val="009678ED"/>
    <w:rsid w:val="00967AB6"/>
    <w:rsid w:val="009706A1"/>
    <w:rsid w:val="0097077B"/>
    <w:rsid w:val="00970880"/>
    <w:rsid w:val="009708B1"/>
    <w:rsid w:val="009708CC"/>
    <w:rsid w:val="00971164"/>
    <w:rsid w:val="009715A2"/>
    <w:rsid w:val="0097183C"/>
    <w:rsid w:val="00971BFC"/>
    <w:rsid w:val="00971ED5"/>
    <w:rsid w:val="00971F26"/>
    <w:rsid w:val="009721A8"/>
    <w:rsid w:val="009727D1"/>
    <w:rsid w:val="00972E03"/>
    <w:rsid w:val="009733F4"/>
    <w:rsid w:val="00973515"/>
    <w:rsid w:val="00973907"/>
    <w:rsid w:val="0097398F"/>
    <w:rsid w:val="00974058"/>
    <w:rsid w:val="009740FF"/>
    <w:rsid w:val="0097465B"/>
    <w:rsid w:val="009748CF"/>
    <w:rsid w:val="00974AC4"/>
    <w:rsid w:val="00974D8F"/>
    <w:rsid w:val="00974DE6"/>
    <w:rsid w:val="00975271"/>
    <w:rsid w:val="009752E3"/>
    <w:rsid w:val="00975325"/>
    <w:rsid w:val="0097554A"/>
    <w:rsid w:val="0097578B"/>
    <w:rsid w:val="00976028"/>
    <w:rsid w:val="00976628"/>
    <w:rsid w:val="00977208"/>
    <w:rsid w:val="00977669"/>
    <w:rsid w:val="00977B68"/>
    <w:rsid w:val="00977EC9"/>
    <w:rsid w:val="009803F2"/>
    <w:rsid w:val="009804D8"/>
    <w:rsid w:val="0098079A"/>
    <w:rsid w:val="00980D4A"/>
    <w:rsid w:val="00981824"/>
    <w:rsid w:val="00981BE0"/>
    <w:rsid w:val="0098223C"/>
    <w:rsid w:val="0098257B"/>
    <w:rsid w:val="00982B93"/>
    <w:rsid w:val="00983475"/>
    <w:rsid w:val="00983A54"/>
    <w:rsid w:val="00983AA5"/>
    <w:rsid w:val="00983FCB"/>
    <w:rsid w:val="0098459F"/>
    <w:rsid w:val="009845F6"/>
    <w:rsid w:val="00984E98"/>
    <w:rsid w:val="009853CA"/>
    <w:rsid w:val="009856C4"/>
    <w:rsid w:val="00985B6E"/>
    <w:rsid w:val="00986542"/>
    <w:rsid w:val="0098658F"/>
    <w:rsid w:val="00986AF8"/>
    <w:rsid w:val="00986BFD"/>
    <w:rsid w:val="00986F9E"/>
    <w:rsid w:val="00986FEB"/>
    <w:rsid w:val="009871BC"/>
    <w:rsid w:val="00987246"/>
    <w:rsid w:val="009872A2"/>
    <w:rsid w:val="00987761"/>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4A27"/>
    <w:rsid w:val="00994D72"/>
    <w:rsid w:val="0099503F"/>
    <w:rsid w:val="00995266"/>
    <w:rsid w:val="009953D8"/>
    <w:rsid w:val="0099556E"/>
    <w:rsid w:val="00995D8A"/>
    <w:rsid w:val="00995FB7"/>
    <w:rsid w:val="0099675A"/>
    <w:rsid w:val="009967BB"/>
    <w:rsid w:val="00996D6B"/>
    <w:rsid w:val="009971CA"/>
    <w:rsid w:val="00997753"/>
    <w:rsid w:val="009A01EB"/>
    <w:rsid w:val="009A113E"/>
    <w:rsid w:val="009A14EC"/>
    <w:rsid w:val="009A2655"/>
    <w:rsid w:val="009A27B3"/>
    <w:rsid w:val="009A38EB"/>
    <w:rsid w:val="009A39B1"/>
    <w:rsid w:val="009A3CEE"/>
    <w:rsid w:val="009A4E72"/>
    <w:rsid w:val="009A5AC4"/>
    <w:rsid w:val="009A5C20"/>
    <w:rsid w:val="009A5F3C"/>
    <w:rsid w:val="009A6342"/>
    <w:rsid w:val="009A6EBD"/>
    <w:rsid w:val="009A6F48"/>
    <w:rsid w:val="009A7020"/>
    <w:rsid w:val="009A709A"/>
    <w:rsid w:val="009A749F"/>
    <w:rsid w:val="009B09E1"/>
    <w:rsid w:val="009B0A00"/>
    <w:rsid w:val="009B0F6E"/>
    <w:rsid w:val="009B108E"/>
    <w:rsid w:val="009B18D9"/>
    <w:rsid w:val="009B1990"/>
    <w:rsid w:val="009B1B84"/>
    <w:rsid w:val="009B1D03"/>
    <w:rsid w:val="009B1D27"/>
    <w:rsid w:val="009B2891"/>
    <w:rsid w:val="009B2E78"/>
    <w:rsid w:val="009B30CE"/>
    <w:rsid w:val="009B3C82"/>
    <w:rsid w:val="009B4273"/>
    <w:rsid w:val="009B4343"/>
    <w:rsid w:val="009B43CD"/>
    <w:rsid w:val="009B43F0"/>
    <w:rsid w:val="009B4487"/>
    <w:rsid w:val="009B4774"/>
    <w:rsid w:val="009B4915"/>
    <w:rsid w:val="009B53BB"/>
    <w:rsid w:val="009B549E"/>
    <w:rsid w:val="009B5A9D"/>
    <w:rsid w:val="009B64CF"/>
    <w:rsid w:val="009B7079"/>
    <w:rsid w:val="009B72EE"/>
    <w:rsid w:val="009B7454"/>
    <w:rsid w:val="009B7E40"/>
    <w:rsid w:val="009C000B"/>
    <w:rsid w:val="009C0626"/>
    <w:rsid w:val="009C0890"/>
    <w:rsid w:val="009C0933"/>
    <w:rsid w:val="009C0C1B"/>
    <w:rsid w:val="009C1170"/>
    <w:rsid w:val="009C1809"/>
    <w:rsid w:val="009C1BFA"/>
    <w:rsid w:val="009C1EE1"/>
    <w:rsid w:val="009C2167"/>
    <w:rsid w:val="009C2169"/>
    <w:rsid w:val="009C26C3"/>
    <w:rsid w:val="009C27FD"/>
    <w:rsid w:val="009C2817"/>
    <w:rsid w:val="009C28A1"/>
    <w:rsid w:val="009C295F"/>
    <w:rsid w:val="009C3333"/>
    <w:rsid w:val="009C3501"/>
    <w:rsid w:val="009C3C22"/>
    <w:rsid w:val="009C4106"/>
    <w:rsid w:val="009C427B"/>
    <w:rsid w:val="009C4C41"/>
    <w:rsid w:val="009C4E48"/>
    <w:rsid w:val="009C4FD1"/>
    <w:rsid w:val="009C54F8"/>
    <w:rsid w:val="009C588F"/>
    <w:rsid w:val="009C5A2E"/>
    <w:rsid w:val="009C5D91"/>
    <w:rsid w:val="009C6095"/>
    <w:rsid w:val="009C61BD"/>
    <w:rsid w:val="009C61E0"/>
    <w:rsid w:val="009C62C1"/>
    <w:rsid w:val="009C63C5"/>
    <w:rsid w:val="009C677F"/>
    <w:rsid w:val="009C67F3"/>
    <w:rsid w:val="009C690A"/>
    <w:rsid w:val="009C69C0"/>
    <w:rsid w:val="009C7017"/>
    <w:rsid w:val="009D08F1"/>
    <w:rsid w:val="009D0AAF"/>
    <w:rsid w:val="009D0B60"/>
    <w:rsid w:val="009D1164"/>
    <w:rsid w:val="009D1298"/>
    <w:rsid w:val="009D1BFB"/>
    <w:rsid w:val="009D1CC2"/>
    <w:rsid w:val="009D292E"/>
    <w:rsid w:val="009D2AE9"/>
    <w:rsid w:val="009D2C64"/>
    <w:rsid w:val="009D2C83"/>
    <w:rsid w:val="009D310C"/>
    <w:rsid w:val="009D3511"/>
    <w:rsid w:val="009D3598"/>
    <w:rsid w:val="009D3668"/>
    <w:rsid w:val="009D4A8F"/>
    <w:rsid w:val="009D4BD8"/>
    <w:rsid w:val="009D4C4E"/>
    <w:rsid w:val="009D4F4A"/>
    <w:rsid w:val="009D5333"/>
    <w:rsid w:val="009D5506"/>
    <w:rsid w:val="009D581F"/>
    <w:rsid w:val="009D5B06"/>
    <w:rsid w:val="009D6180"/>
    <w:rsid w:val="009D67E7"/>
    <w:rsid w:val="009D6886"/>
    <w:rsid w:val="009D68FA"/>
    <w:rsid w:val="009D6C7D"/>
    <w:rsid w:val="009D6EBC"/>
    <w:rsid w:val="009D6F0B"/>
    <w:rsid w:val="009D738C"/>
    <w:rsid w:val="009D7938"/>
    <w:rsid w:val="009D7C31"/>
    <w:rsid w:val="009D7EE6"/>
    <w:rsid w:val="009E00CF"/>
    <w:rsid w:val="009E04EC"/>
    <w:rsid w:val="009E053D"/>
    <w:rsid w:val="009E0FAA"/>
    <w:rsid w:val="009E1B24"/>
    <w:rsid w:val="009E21F0"/>
    <w:rsid w:val="009E2324"/>
    <w:rsid w:val="009E269D"/>
    <w:rsid w:val="009E2951"/>
    <w:rsid w:val="009E2B3E"/>
    <w:rsid w:val="009E2DD9"/>
    <w:rsid w:val="009E336F"/>
    <w:rsid w:val="009E33D1"/>
    <w:rsid w:val="009E3E5B"/>
    <w:rsid w:val="009E3FB0"/>
    <w:rsid w:val="009E3FFC"/>
    <w:rsid w:val="009E407E"/>
    <w:rsid w:val="009E41B6"/>
    <w:rsid w:val="009E422D"/>
    <w:rsid w:val="009E4B1B"/>
    <w:rsid w:val="009E4E89"/>
    <w:rsid w:val="009E56EF"/>
    <w:rsid w:val="009E5800"/>
    <w:rsid w:val="009E61B5"/>
    <w:rsid w:val="009E62B9"/>
    <w:rsid w:val="009E6361"/>
    <w:rsid w:val="009E6673"/>
    <w:rsid w:val="009E6949"/>
    <w:rsid w:val="009E72A8"/>
    <w:rsid w:val="009E75A5"/>
    <w:rsid w:val="009E7673"/>
    <w:rsid w:val="009F024B"/>
    <w:rsid w:val="009F027A"/>
    <w:rsid w:val="009F03B1"/>
    <w:rsid w:val="009F049F"/>
    <w:rsid w:val="009F04F2"/>
    <w:rsid w:val="009F051A"/>
    <w:rsid w:val="009F08A2"/>
    <w:rsid w:val="009F0CB4"/>
    <w:rsid w:val="009F1171"/>
    <w:rsid w:val="009F140A"/>
    <w:rsid w:val="009F17F3"/>
    <w:rsid w:val="009F1891"/>
    <w:rsid w:val="009F201E"/>
    <w:rsid w:val="009F26BC"/>
    <w:rsid w:val="009F2D64"/>
    <w:rsid w:val="009F2E98"/>
    <w:rsid w:val="009F33F8"/>
    <w:rsid w:val="009F35E7"/>
    <w:rsid w:val="009F3E7F"/>
    <w:rsid w:val="009F3FD8"/>
    <w:rsid w:val="009F4162"/>
    <w:rsid w:val="009F4B61"/>
    <w:rsid w:val="009F4CA1"/>
    <w:rsid w:val="009F4ED6"/>
    <w:rsid w:val="009F4ED7"/>
    <w:rsid w:val="009F5187"/>
    <w:rsid w:val="009F53D9"/>
    <w:rsid w:val="009F57C4"/>
    <w:rsid w:val="009F5EB1"/>
    <w:rsid w:val="009F5EEA"/>
    <w:rsid w:val="009F6517"/>
    <w:rsid w:val="009F69A5"/>
    <w:rsid w:val="009F6A40"/>
    <w:rsid w:val="009F7037"/>
    <w:rsid w:val="009F7188"/>
    <w:rsid w:val="009F7CE1"/>
    <w:rsid w:val="009F7D40"/>
    <w:rsid w:val="009F7F2C"/>
    <w:rsid w:val="00A00910"/>
    <w:rsid w:val="00A00ABD"/>
    <w:rsid w:val="00A00BB2"/>
    <w:rsid w:val="00A00C7F"/>
    <w:rsid w:val="00A01369"/>
    <w:rsid w:val="00A01554"/>
    <w:rsid w:val="00A016F1"/>
    <w:rsid w:val="00A01888"/>
    <w:rsid w:val="00A018E0"/>
    <w:rsid w:val="00A01A00"/>
    <w:rsid w:val="00A01E4D"/>
    <w:rsid w:val="00A02725"/>
    <w:rsid w:val="00A02884"/>
    <w:rsid w:val="00A02BAA"/>
    <w:rsid w:val="00A03621"/>
    <w:rsid w:val="00A03B95"/>
    <w:rsid w:val="00A03BD2"/>
    <w:rsid w:val="00A041F1"/>
    <w:rsid w:val="00A04564"/>
    <w:rsid w:val="00A04C08"/>
    <w:rsid w:val="00A04E6E"/>
    <w:rsid w:val="00A056E0"/>
    <w:rsid w:val="00A059AB"/>
    <w:rsid w:val="00A061E6"/>
    <w:rsid w:val="00A063A7"/>
    <w:rsid w:val="00A07119"/>
    <w:rsid w:val="00A07297"/>
    <w:rsid w:val="00A07A4E"/>
    <w:rsid w:val="00A07CD7"/>
    <w:rsid w:val="00A07D5B"/>
    <w:rsid w:val="00A07F07"/>
    <w:rsid w:val="00A10067"/>
    <w:rsid w:val="00A101A9"/>
    <w:rsid w:val="00A102A9"/>
    <w:rsid w:val="00A10620"/>
    <w:rsid w:val="00A108BE"/>
    <w:rsid w:val="00A10AF8"/>
    <w:rsid w:val="00A10EF9"/>
    <w:rsid w:val="00A10F64"/>
    <w:rsid w:val="00A11607"/>
    <w:rsid w:val="00A11B68"/>
    <w:rsid w:val="00A122EC"/>
    <w:rsid w:val="00A12BDA"/>
    <w:rsid w:val="00A12E2A"/>
    <w:rsid w:val="00A13393"/>
    <w:rsid w:val="00A134FE"/>
    <w:rsid w:val="00A137E3"/>
    <w:rsid w:val="00A13861"/>
    <w:rsid w:val="00A13941"/>
    <w:rsid w:val="00A142CA"/>
    <w:rsid w:val="00A14842"/>
    <w:rsid w:val="00A14ABC"/>
    <w:rsid w:val="00A155FC"/>
    <w:rsid w:val="00A15B75"/>
    <w:rsid w:val="00A16521"/>
    <w:rsid w:val="00A168CE"/>
    <w:rsid w:val="00A16E22"/>
    <w:rsid w:val="00A16EDD"/>
    <w:rsid w:val="00A16F21"/>
    <w:rsid w:val="00A172E2"/>
    <w:rsid w:val="00A1791B"/>
    <w:rsid w:val="00A17C85"/>
    <w:rsid w:val="00A17FEC"/>
    <w:rsid w:val="00A21363"/>
    <w:rsid w:val="00A22582"/>
    <w:rsid w:val="00A233B9"/>
    <w:rsid w:val="00A236A4"/>
    <w:rsid w:val="00A23741"/>
    <w:rsid w:val="00A23A4A"/>
    <w:rsid w:val="00A23CDD"/>
    <w:rsid w:val="00A23D2E"/>
    <w:rsid w:val="00A23F8A"/>
    <w:rsid w:val="00A241D5"/>
    <w:rsid w:val="00A24601"/>
    <w:rsid w:val="00A24B58"/>
    <w:rsid w:val="00A24F11"/>
    <w:rsid w:val="00A254D6"/>
    <w:rsid w:val="00A256C1"/>
    <w:rsid w:val="00A25752"/>
    <w:rsid w:val="00A25851"/>
    <w:rsid w:val="00A26069"/>
    <w:rsid w:val="00A26202"/>
    <w:rsid w:val="00A262D6"/>
    <w:rsid w:val="00A267B3"/>
    <w:rsid w:val="00A26988"/>
    <w:rsid w:val="00A26FAA"/>
    <w:rsid w:val="00A273DD"/>
    <w:rsid w:val="00A27B67"/>
    <w:rsid w:val="00A27BA1"/>
    <w:rsid w:val="00A27D43"/>
    <w:rsid w:val="00A30299"/>
    <w:rsid w:val="00A303F1"/>
    <w:rsid w:val="00A304CC"/>
    <w:rsid w:val="00A30860"/>
    <w:rsid w:val="00A3154A"/>
    <w:rsid w:val="00A318A6"/>
    <w:rsid w:val="00A31BD0"/>
    <w:rsid w:val="00A31DD2"/>
    <w:rsid w:val="00A3226D"/>
    <w:rsid w:val="00A327BB"/>
    <w:rsid w:val="00A32CB7"/>
    <w:rsid w:val="00A32D89"/>
    <w:rsid w:val="00A3305C"/>
    <w:rsid w:val="00A33218"/>
    <w:rsid w:val="00A337F0"/>
    <w:rsid w:val="00A33883"/>
    <w:rsid w:val="00A338FD"/>
    <w:rsid w:val="00A33E2B"/>
    <w:rsid w:val="00A341BE"/>
    <w:rsid w:val="00A343EB"/>
    <w:rsid w:val="00A347D0"/>
    <w:rsid w:val="00A34ABC"/>
    <w:rsid w:val="00A34D0D"/>
    <w:rsid w:val="00A35255"/>
    <w:rsid w:val="00A3529E"/>
    <w:rsid w:val="00A352D2"/>
    <w:rsid w:val="00A3535D"/>
    <w:rsid w:val="00A3593F"/>
    <w:rsid w:val="00A359BE"/>
    <w:rsid w:val="00A35A1A"/>
    <w:rsid w:val="00A36154"/>
    <w:rsid w:val="00A3625A"/>
    <w:rsid w:val="00A36D05"/>
    <w:rsid w:val="00A3707E"/>
    <w:rsid w:val="00A375E1"/>
    <w:rsid w:val="00A3782D"/>
    <w:rsid w:val="00A37C3E"/>
    <w:rsid w:val="00A404A2"/>
    <w:rsid w:val="00A4060E"/>
    <w:rsid w:val="00A40881"/>
    <w:rsid w:val="00A40D2A"/>
    <w:rsid w:val="00A413FE"/>
    <w:rsid w:val="00A41724"/>
    <w:rsid w:val="00A41A01"/>
    <w:rsid w:val="00A41D2D"/>
    <w:rsid w:val="00A42369"/>
    <w:rsid w:val="00A424D2"/>
    <w:rsid w:val="00A425FC"/>
    <w:rsid w:val="00A42637"/>
    <w:rsid w:val="00A429C5"/>
    <w:rsid w:val="00A42AA2"/>
    <w:rsid w:val="00A42AAB"/>
    <w:rsid w:val="00A42AC7"/>
    <w:rsid w:val="00A4313F"/>
    <w:rsid w:val="00A4379F"/>
    <w:rsid w:val="00A43A86"/>
    <w:rsid w:val="00A43B9A"/>
    <w:rsid w:val="00A4449F"/>
    <w:rsid w:val="00A445F6"/>
    <w:rsid w:val="00A44771"/>
    <w:rsid w:val="00A44BA7"/>
    <w:rsid w:val="00A44C33"/>
    <w:rsid w:val="00A454A9"/>
    <w:rsid w:val="00A458FA"/>
    <w:rsid w:val="00A45EBA"/>
    <w:rsid w:val="00A45FAF"/>
    <w:rsid w:val="00A4656E"/>
    <w:rsid w:val="00A4678A"/>
    <w:rsid w:val="00A46A00"/>
    <w:rsid w:val="00A46E40"/>
    <w:rsid w:val="00A46FC0"/>
    <w:rsid w:val="00A46FD5"/>
    <w:rsid w:val="00A4716C"/>
    <w:rsid w:val="00A473CA"/>
    <w:rsid w:val="00A47B1D"/>
    <w:rsid w:val="00A50185"/>
    <w:rsid w:val="00A5022C"/>
    <w:rsid w:val="00A5036B"/>
    <w:rsid w:val="00A50589"/>
    <w:rsid w:val="00A50669"/>
    <w:rsid w:val="00A506A9"/>
    <w:rsid w:val="00A507A2"/>
    <w:rsid w:val="00A507EB"/>
    <w:rsid w:val="00A5089E"/>
    <w:rsid w:val="00A50C76"/>
    <w:rsid w:val="00A50D05"/>
    <w:rsid w:val="00A511C4"/>
    <w:rsid w:val="00A5145F"/>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9C2"/>
    <w:rsid w:val="00A53C2D"/>
    <w:rsid w:val="00A53D4A"/>
    <w:rsid w:val="00A53D51"/>
    <w:rsid w:val="00A53F53"/>
    <w:rsid w:val="00A5404E"/>
    <w:rsid w:val="00A54108"/>
    <w:rsid w:val="00A54839"/>
    <w:rsid w:val="00A548E6"/>
    <w:rsid w:val="00A55CAC"/>
    <w:rsid w:val="00A55D46"/>
    <w:rsid w:val="00A56425"/>
    <w:rsid w:val="00A56C1E"/>
    <w:rsid w:val="00A57022"/>
    <w:rsid w:val="00A57205"/>
    <w:rsid w:val="00A574B3"/>
    <w:rsid w:val="00A57ADD"/>
    <w:rsid w:val="00A57FA8"/>
    <w:rsid w:val="00A6010C"/>
    <w:rsid w:val="00A60521"/>
    <w:rsid w:val="00A60561"/>
    <w:rsid w:val="00A6115D"/>
    <w:rsid w:val="00A61531"/>
    <w:rsid w:val="00A615BF"/>
    <w:rsid w:val="00A61FC5"/>
    <w:rsid w:val="00A6204B"/>
    <w:rsid w:val="00A620A1"/>
    <w:rsid w:val="00A620E2"/>
    <w:rsid w:val="00A623A9"/>
    <w:rsid w:val="00A625E1"/>
    <w:rsid w:val="00A627FE"/>
    <w:rsid w:val="00A629BA"/>
    <w:rsid w:val="00A62A02"/>
    <w:rsid w:val="00A62A2E"/>
    <w:rsid w:val="00A63279"/>
    <w:rsid w:val="00A63445"/>
    <w:rsid w:val="00A637F7"/>
    <w:rsid w:val="00A63826"/>
    <w:rsid w:val="00A639BE"/>
    <w:rsid w:val="00A63C3B"/>
    <w:rsid w:val="00A63F33"/>
    <w:rsid w:val="00A64830"/>
    <w:rsid w:val="00A64BA7"/>
    <w:rsid w:val="00A64D40"/>
    <w:rsid w:val="00A652C2"/>
    <w:rsid w:val="00A6545A"/>
    <w:rsid w:val="00A65AE0"/>
    <w:rsid w:val="00A6647B"/>
    <w:rsid w:val="00A665D4"/>
    <w:rsid w:val="00A66A3E"/>
    <w:rsid w:val="00A66B78"/>
    <w:rsid w:val="00A703BC"/>
    <w:rsid w:val="00A70A3E"/>
    <w:rsid w:val="00A70F1F"/>
    <w:rsid w:val="00A7150C"/>
    <w:rsid w:val="00A71645"/>
    <w:rsid w:val="00A718D9"/>
    <w:rsid w:val="00A71C18"/>
    <w:rsid w:val="00A71DC2"/>
    <w:rsid w:val="00A72E65"/>
    <w:rsid w:val="00A73296"/>
    <w:rsid w:val="00A73A52"/>
    <w:rsid w:val="00A73C17"/>
    <w:rsid w:val="00A73D3C"/>
    <w:rsid w:val="00A73FBE"/>
    <w:rsid w:val="00A73FF8"/>
    <w:rsid w:val="00A7408A"/>
    <w:rsid w:val="00A7416A"/>
    <w:rsid w:val="00A750AA"/>
    <w:rsid w:val="00A753B4"/>
    <w:rsid w:val="00A754F2"/>
    <w:rsid w:val="00A759FE"/>
    <w:rsid w:val="00A75F02"/>
    <w:rsid w:val="00A75F2D"/>
    <w:rsid w:val="00A75F6A"/>
    <w:rsid w:val="00A76042"/>
    <w:rsid w:val="00A76798"/>
    <w:rsid w:val="00A76C25"/>
    <w:rsid w:val="00A76C75"/>
    <w:rsid w:val="00A76DAB"/>
    <w:rsid w:val="00A76DB2"/>
    <w:rsid w:val="00A76E7A"/>
    <w:rsid w:val="00A76EDB"/>
    <w:rsid w:val="00A77219"/>
    <w:rsid w:val="00A7743D"/>
    <w:rsid w:val="00A77452"/>
    <w:rsid w:val="00A7776C"/>
    <w:rsid w:val="00A80308"/>
    <w:rsid w:val="00A80A37"/>
    <w:rsid w:val="00A80B97"/>
    <w:rsid w:val="00A81207"/>
    <w:rsid w:val="00A814BB"/>
    <w:rsid w:val="00A818E4"/>
    <w:rsid w:val="00A81FD0"/>
    <w:rsid w:val="00A82516"/>
    <w:rsid w:val="00A82A8E"/>
    <w:rsid w:val="00A82AE0"/>
    <w:rsid w:val="00A82B4E"/>
    <w:rsid w:val="00A82E6C"/>
    <w:rsid w:val="00A82EC5"/>
    <w:rsid w:val="00A83119"/>
    <w:rsid w:val="00A844F1"/>
    <w:rsid w:val="00A849D8"/>
    <w:rsid w:val="00A84D22"/>
    <w:rsid w:val="00A84FC1"/>
    <w:rsid w:val="00A84FE7"/>
    <w:rsid w:val="00A85693"/>
    <w:rsid w:val="00A85A67"/>
    <w:rsid w:val="00A86161"/>
    <w:rsid w:val="00A8616C"/>
    <w:rsid w:val="00A862F5"/>
    <w:rsid w:val="00A86722"/>
    <w:rsid w:val="00A86780"/>
    <w:rsid w:val="00A869AF"/>
    <w:rsid w:val="00A86AD7"/>
    <w:rsid w:val="00A86CFF"/>
    <w:rsid w:val="00A8713C"/>
    <w:rsid w:val="00A874D8"/>
    <w:rsid w:val="00A8751C"/>
    <w:rsid w:val="00A8780F"/>
    <w:rsid w:val="00A87884"/>
    <w:rsid w:val="00A87A79"/>
    <w:rsid w:val="00A87AB5"/>
    <w:rsid w:val="00A87D55"/>
    <w:rsid w:val="00A87E46"/>
    <w:rsid w:val="00A901EC"/>
    <w:rsid w:val="00A9062D"/>
    <w:rsid w:val="00A907F0"/>
    <w:rsid w:val="00A9100D"/>
    <w:rsid w:val="00A91168"/>
    <w:rsid w:val="00A9129D"/>
    <w:rsid w:val="00A91458"/>
    <w:rsid w:val="00A9153E"/>
    <w:rsid w:val="00A916F6"/>
    <w:rsid w:val="00A9178B"/>
    <w:rsid w:val="00A917BD"/>
    <w:rsid w:val="00A918B2"/>
    <w:rsid w:val="00A92265"/>
    <w:rsid w:val="00A923C0"/>
    <w:rsid w:val="00A9245D"/>
    <w:rsid w:val="00A925F2"/>
    <w:rsid w:val="00A92AD7"/>
    <w:rsid w:val="00A92AFF"/>
    <w:rsid w:val="00A930CA"/>
    <w:rsid w:val="00A935C9"/>
    <w:rsid w:val="00A937D8"/>
    <w:rsid w:val="00A93D41"/>
    <w:rsid w:val="00A9435C"/>
    <w:rsid w:val="00A943E0"/>
    <w:rsid w:val="00A94590"/>
    <w:rsid w:val="00A94B83"/>
    <w:rsid w:val="00A94F7D"/>
    <w:rsid w:val="00A95357"/>
    <w:rsid w:val="00A95642"/>
    <w:rsid w:val="00A95769"/>
    <w:rsid w:val="00A9578C"/>
    <w:rsid w:val="00A9592A"/>
    <w:rsid w:val="00A95972"/>
    <w:rsid w:val="00A95D41"/>
    <w:rsid w:val="00A96152"/>
    <w:rsid w:val="00A96478"/>
    <w:rsid w:val="00A969A1"/>
    <w:rsid w:val="00A96E01"/>
    <w:rsid w:val="00A973FD"/>
    <w:rsid w:val="00A97AA5"/>
    <w:rsid w:val="00A97FCA"/>
    <w:rsid w:val="00AA0042"/>
    <w:rsid w:val="00AA00DF"/>
    <w:rsid w:val="00AA01A2"/>
    <w:rsid w:val="00AA06DF"/>
    <w:rsid w:val="00AA0734"/>
    <w:rsid w:val="00AA07B8"/>
    <w:rsid w:val="00AA082F"/>
    <w:rsid w:val="00AA0CE9"/>
    <w:rsid w:val="00AA0DB1"/>
    <w:rsid w:val="00AA1245"/>
    <w:rsid w:val="00AA1267"/>
    <w:rsid w:val="00AA1469"/>
    <w:rsid w:val="00AA14A2"/>
    <w:rsid w:val="00AA1602"/>
    <w:rsid w:val="00AA1801"/>
    <w:rsid w:val="00AA1F36"/>
    <w:rsid w:val="00AA1FC8"/>
    <w:rsid w:val="00AA2174"/>
    <w:rsid w:val="00AA2675"/>
    <w:rsid w:val="00AA28B6"/>
    <w:rsid w:val="00AA2EE9"/>
    <w:rsid w:val="00AA30CD"/>
    <w:rsid w:val="00AA312C"/>
    <w:rsid w:val="00AA39EC"/>
    <w:rsid w:val="00AA3A5B"/>
    <w:rsid w:val="00AA3A64"/>
    <w:rsid w:val="00AA3A86"/>
    <w:rsid w:val="00AA47C1"/>
    <w:rsid w:val="00AA4A5F"/>
    <w:rsid w:val="00AA52DB"/>
    <w:rsid w:val="00AA549D"/>
    <w:rsid w:val="00AA58E8"/>
    <w:rsid w:val="00AA590F"/>
    <w:rsid w:val="00AA5AC2"/>
    <w:rsid w:val="00AA5C3B"/>
    <w:rsid w:val="00AA5F72"/>
    <w:rsid w:val="00AA619C"/>
    <w:rsid w:val="00AA61D5"/>
    <w:rsid w:val="00AA6213"/>
    <w:rsid w:val="00AA634F"/>
    <w:rsid w:val="00AA63C6"/>
    <w:rsid w:val="00AA677E"/>
    <w:rsid w:val="00AA6AF2"/>
    <w:rsid w:val="00AA6C01"/>
    <w:rsid w:val="00AA7064"/>
    <w:rsid w:val="00AA73C8"/>
    <w:rsid w:val="00AA75E8"/>
    <w:rsid w:val="00AA78AF"/>
    <w:rsid w:val="00AA79F8"/>
    <w:rsid w:val="00AA7AC4"/>
    <w:rsid w:val="00AA7BB2"/>
    <w:rsid w:val="00AB0297"/>
    <w:rsid w:val="00AB038D"/>
    <w:rsid w:val="00AB03C5"/>
    <w:rsid w:val="00AB0678"/>
    <w:rsid w:val="00AB0B54"/>
    <w:rsid w:val="00AB0DC8"/>
    <w:rsid w:val="00AB0F26"/>
    <w:rsid w:val="00AB0F85"/>
    <w:rsid w:val="00AB11B4"/>
    <w:rsid w:val="00AB1DB0"/>
    <w:rsid w:val="00AB21AE"/>
    <w:rsid w:val="00AB2CAB"/>
    <w:rsid w:val="00AB31B8"/>
    <w:rsid w:val="00AB349C"/>
    <w:rsid w:val="00AB353E"/>
    <w:rsid w:val="00AB370D"/>
    <w:rsid w:val="00AB4448"/>
    <w:rsid w:val="00AB463F"/>
    <w:rsid w:val="00AB49A6"/>
    <w:rsid w:val="00AB4CED"/>
    <w:rsid w:val="00AB5729"/>
    <w:rsid w:val="00AB581D"/>
    <w:rsid w:val="00AB5AFD"/>
    <w:rsid w:val="00AB5E0F"/>
    <w:rsid w:val="00AB64F8"/>
    <w:rsid w:val="00AB666C"/>
    <w:rsid w:val="00AB682C"/>
    <w:rsid w:val="00AB6AB5"/>
    <w:rsid w:val="00AB6D5D"/>
    <w:rsid w:val="00AB7761"/>
    <w:rsid w:val="00AB7E3B"/>
    <w:rsid w:val="00AB7F8F"/>
    <w:rsid w:val="00AC019A"/>
    <w:rsid w:val="00AC0256"/>
    <w:rsid w:val="00AC0332"/>
    <w:rsid w:val="00AC059E"/>
    <w:rsid w:val="00AC0E68"/>
    <w:rsid w:val="00AC10D4"/>
    <w:rsid w:val="00AC2474"/>
    <w:rsid w:val="00AC2598"/>
    <w:rsid w:val="00AC25C3"/>
    <w:rsid w:val="00AC28C6"/>
    <w:rsid w:val="00AC2E18"/>
    <w:rsid w:val="00AC2F19"/>
    <w:rsid w:val="00AC2F7E"/>
    <w:rsid w:val="00AC3492"/>
    <w:rsid w:val="00AC3A0A"/>
    <w:rsid w:val="00AC3DC0"/>
    <w:rsid w:val="00AC3E45"/>
    <w:rsid w:val="00AC41BE"/>
    <w:rsid w:val="00AC4742"/>
    <w:rsid w:val="00AC4BD5"/>
    <w:rsid w:val="00AC4CAE"/>
    <w:rsid w:val="00AC4D9E"/>
    <w:rsid w:val="00AC4E17"/>
    <w:rsid w:val="00AC52C9"/>
    <w:rsid w:val="00AC54CC"/>
    <w:rsid w:val="00AC55FA"/>
    <w:rsid w:val="00AC57E6"/>
    <w:rsid w:val="00AC5D09"/>
    <w:rsid w:val="00AC692F"/>
    <w:rsid w:val="00AC762A"/>
    <w:rsid w:val="00AC7634"/>
    <w:rsid w:val="00AC7B26"/>
    <w:rsid w:val="00AC7FB3"/>
    <w:rsid w:val="00AD008A"/>
    <w:rsid w:val="00AD0A1F"/>
    <w:rsid w:val="00AD0DB9"/>
    <w:rsid w:val="00AD0E4F"/>
    <w:rsid w:val="00AD0E5C"/>
    <w:rsid w:val="00AD15A2"/>
    <w:rsid w:val="00AD15E4"/>
    <w:rsid w:val="00AD1B71"/>
    <w:rsid w:val="00AD246B"/>
    <w:rsid w:val="00AD280F"/>
    <w:rsid w:val="00AD2DDC"/>
    <w:rsid w:val="00AD3392"/>
    <w:rsid w:val="00AD3B54"/>
    <w:rsid w:val="00AD3C18"/>
    <w:rsid w:val="00AD3CE2"/>
    <w:rsid w:val="00AD42CC"/>
    <w:rsid w:val="00AD4319"/>
    <w:rsid w:val="00AD4A9F"/>
    <w:rsid w:val="00AD4B52"/>
    <w:rsid w:val="00AD5049"/>
    <w:rsid w:val="00AD5266"/>
    <w:rsid w:val="00AD5401"/>
    <w:rsid w:val="00AD549A"/>
    <w:rsid w:val="00AD54F5"/>
    <w:rsid w:val="00AD57FF"/>
    <w:rsid w:val="00AD5CE5"/>
    <w:rsid w:val="00AD5F91"/>
    <w:rsid w:val="00AD6417"/>
    <w:rsid w:val="00AD6801"/>
    <w:rsid w:val="00AD6C14"/>
    <w:rsid w:val="00AD6C2B"/>
    <w:rsid w:val="00AD7ED1"/>
    <w:rsid w:val="00AD7FC5"/>
    <w:rsid w:val="00AE003A"/>
    <w:rsid w:val="00AE021E"/>
    <w:rsid w:val="00AE0220"/>
    <w:rsid w:val="00AE0768"/>
    <w:rsid w:val="00AE0D53"/>
    <w:rsid w:val="00AE0FA7"/>
    <w:rsid w:val="00AE0FD7"/>
    <w:rsid w:val="00AE1715"/>
    <w:rsid w:val="00AE19A5"/>
    <w:rsid w:val="00AE1BBA"/>
    <w:rsid w:val="00AE2211"/>
    <w:rsid w:val="00AE2BD1"/>
    <w:rsid w:val="00AE2C94"/>
    <w:rsid w:val="00AE2F55"/>
    <w:rsid w:val="00AE3285"/>
    <w:rsid w:val="00AE33DB"/>
    <w:rsid w:val="00AE3CEB"/>
    <w:rsid w:val="00AE3D8C"/>
    <w:rsid w:val="00AE4207"/>
    <w:rsid w:val="00AE43A1"/>
    <w:rsid w:val="00AE43DF"/>
    <w:rsid w:val="00AE467D"/>
    <w:rsid w:val="00AE4E4A"/>
    <w:rsid w:val="00AE534A"/>
    <w:rsid w:val="00AE5653"/>
    <w:rsid w:val="00AE56E4"/>
    <w:rsid w:val="00AE576B"/>
    <w:rsid w:val="00AE57C8"/>
    <w:rsid w:val="00AE5BC3"/>
    <w:rsid w:val="00AE67C6"/>
    <w:rsid w:val="00AE69D4"/>
    <w:rsid w:val="00AE6FBE"/>
    <w:rsid w:val="00AE7145"/>
    <w:rsid w:val="00AE7E19"/>
    <w:rsid w:val="00AE7EA2"/>
    <w:rsid w:val="00AF050E"/>
    <w:rsid w:val="00AF0A33"/>
    <w:rsid w:val="00AF0AA5"/>
    <w:rsid w:val="00AF0AF2"/>
    <w:rsid w:val="00AF14AC"/>
    <w:rsid w:val="00AF39D3"/>
    <w:rsid w:val="00AF402D"/>
    <w:rsid w:val="00AF43C1"/>
    <w:rsid w:val="00AF4549"/>
    <w:rsid w:val="00AF4A35"/>
    <w:rsid w:val="00AF4B01"/>
    <w:rsid w:val="00AF4C15"/>
    <w:rsid w:val="00AF4D36"/>
    <w:rsid w:val="00AF4F29"/>
    <w:rsid w:val="00AF5C01"/>
    <w:rsid w:val="00AF655F"/>
    <w:rsid w:val="00AF6724"/>
    <w:rsid w:val="00AF6813"/>
    <w:rsid w:val="00AF6830"/>
    <w:rsid w:val="00AF6BDB"/>
    <w:rsid w:val="00AF6E7D"/>
    <w:rsid w:val="00AF6EBD"/>
    <w:rsid w:val="00AF70E6"/>
    <w:rsid w:val="00AF7464"/>
    <w:rsid w:val="00AF78DE"/>
    <w:rsid w:val="00AF793C"/>
    <w:rsid w:val="00AF7D8F"/>
    <w:rsid w:val="00AF7DF5"/>
    <w:rsid w:val="00B00133"/>
    <w:rsid w:val="00B00270"/>
    <w:rsid w:val="00B004E9"/>
    <w:rsid w:val="00B0093B"/>
    <w:rsid w:val="00B00A2F"/>
    <w:rsid w:val="00B00C76"/>
    <w:rsid w:val="00B00CB9"/>
    <w:rsid w:val="00B00D47"/>
    <w:rsid w:val="00B00EDB"/>
    <w:rsid w:val="00B010CE"/>
    <w:rsid w:val="00B01365"/>
    <w:rsid w:val="00B01A21"/>
    <w:rsid w:val="00B01EB0"/>
    <w:rsid w:val="00B01F14"/>
    <w:rsid w:val="00B02444"/>
    <w:rsid w:val="00B02924"/>
    <w:rsid w:val="00B02961"/>
    <w:rsid w:val="00B02AFD"/>
    <w:rsid w:val="00B03075"/>
    <w:rsid w:val="00B034A3"/>
    <w:rsid w:val="00B0402A"/>
    <w:rsid w:val="00B040B1"/>
    <w:rsid w:val="00B04269"/>
    <w:rsid w:val="00B04346"/>
    <w:rsid w:val="00B043CA"/>
    <w:rsid w:val="00B04758"/>
    <w:rsid w:val="00B0499C"/>
    <w:rsid w:val="00B05639"/>
    <w:rsid w:val="00B0572D"/>
    <w:rsid w:val="00B05980"/>
    <w:rsid w:val="00B05F45"/>
    <w:rsid w:val="00B06263"/>
    <w:rsid w:val="00B065C7"/>
    <w:rsid w:val="00B066D0"/>
    <w:rsid w:val="00B06A12"/>
    <w:rsid w:val="00B06B98"/>
    <w:rsid w:val="00B06DBE"/>
    <w:rsid w:val="00B1002F"/>
    <w:rsid w:val="00B1108C"/>
    <w:rsid w:val="00B11916"/>
    <w:rsid w:val="00B1196C"/>
    <w:rsid w:val="00B11E7F"/>
    <w:rsid w:val="00B128E0"/>
    <w:rsid w:val="00B12980"/>
    <w:rsid w:val="00B12D79"/>
    <w:rsid w:val="00B13646"/>
    <w:rsid w:val="00B13970"/>
    <w:rsid w:val="00B13BF3"/>
    <w:rsid w:val="00B1439D"/>
    <w:rsid w:val="00B147EC"/>
    <w:rsid w:val="00B14BD8"/>
    <w:rsid w:val="00B15237"/>
    <w:rsid w:val="00B155EE"/>
    <w:rsid w:val="00B1574B"/>
    <w:rsid w:val="00B15E2F"/>
    <w:rsid w:val="00B15FB4"/>
    <w:rsid w:val="00B16071"/>
    <w:rsid w:val="00B1623E"/>
    <w:rsid w:val="00B1644D"/>
    <w:rsid w:val="00B1646C"/>
    <w:rsid w:val="00B16853"/>
    <w:rsid w:val="00B169D9"/>
    <w:rsid w:val="00B16B60"/>
    <w:rsid w:val="00B16CBA"/>
    <w:rsid w:val="00B176C3"/>
    <w:rsid w:val="00B177F5"/>
    <w:rsid w:val="00B2012B"/>
    <w:rsid w:val="00B2099D"/>
    <w:rsid w:val="00B20DC5"/>
    <w:rsid w:val="00B219A4"/>
    <w:rsid w:val="00B21F46"/>
    <w:rsid w:val="00B222AD"/>
    <w:rsid w:val="00B22D47"/>
    <w:rsid w:val="00B22E09"/>
    <w:rsid w:val="00B2307C"/>
    <w:rsid w:val="00B23337"/>
    <w:rsid w:val="00B23513"/>
    <w:rsid w:val="00B239ED"/>
    <w:rsid w:val="00B23BFE"/>
    <w:rsid w:val="00B23C14"/>
    <w:rsid w:val="00B24069"/>
    <w:rsid w:val="00B2414C"/>
    <w:rsid w:val="00B24A78"/>
    <w:rsid w:val="00B24F5B"/>
    <w:rsid w:val="00B2533A"/>
    <w:rsid w:val="00B257A2"/>
    <w:rsid w:val="00B25894"/>
    <w:rsid w:val="00B258D1"/>
    <w:rsid w:val="00B25C1A"/>
    <w:rsid w:val="00B2625A"/>
    <w:rsid w:val="00B263A5"/>
    <w:rsid w:val="00B26650"/>
    <w:rsid w:val="00B26776"/>
    <w:rsid w:val="00B26873"/>
    <w:rsid w:val="00B26B24"/>
    <w:rsid w:val="00B27131"/>
    <w:rsid w:val="00B276BC"/>
    <w:rsid w:val="00B3011F"/>
    <w:rsid w:val="00B3012A"/>
    <w:rsid w:val="00B30546"/>
    <w:rsid w:val="00B30DEB"/>
    <w:rsid w:val="00B31107"/>
    <w:rsid w:val="00B31187"/>
    <w:rsid w:val="00B31800"/>
    <w:rsid w:val="00B31E47"/>
    <w:rsid w:val="00B31EBE"/>
    <w:rsid w:val="00B3202F"/>
    <w:rsid w:val="00B3224A"/>
    <w:rsid w:val="00B3276C"/>
    <w:rsid w:val="00B327ED"/>
    <w:rsid w:val="00B33384"/>
    <w:rsid w:val="00B335AA"/>
    <w:rsid w:val="00B33B4E"/>
    <w:rsid w:val="00B33CBE"/>
    <w:rsid w:val="00B34556"/>
    <w:rsid w:val="00B346C8"/>
    <w:rsid w:val="00B349F0"/>
    <w:rsid w:val="00B34A2E"/>
    <w:rsid w:val="00B34C5C"/>
    <w:rsid w:val="00B34E12"/>
    <w:rsid w:val="00B34F6F"/>
    <w:rsid w:val="00B3567B"/>
    <w:rsid w:val="00B3591F"/>
    <w:rsid w:val="00B3593E"/>
    <w:rsid w:val="00B35F00"/>
    <w:rsid w:val="00B36D09"/>
    <w:rsid w:val="00B36FCA"/>
    <w:rsid w:val="00B37526"/>
    <w:rsid w:val="00B37561"/>
    <w:rsid w:val="00B37745"/>
    <w:rsid w:val="00B37ACA"/>
    <w:rsid w:val="00B37DCD"/>
    <w:rsid w:val="00B37F4B"/>
    <w:rsid w:val="00B40A07"/>
    <w:rsid w:val="00B40A41"/>
    <w:rsid w:val="00B40B02"/>
    <w:rsid w:val="00B40C3E"/>
    <w:rsid w:val="00B40EBF"/>
    <w:rsid w:val="00B40F2E"/>
    <w:rsid w:val="00B410CE"/>
    <w:rsid w:val="00B41475"/>
    <w:rsid w:val="00B41D23"/>
    <w:rsid w:val="00B42046"/>
    <w:rsid w:val="00B4209B"/>
    <w:rsid w:val="00B42168"/>
    <w:rsid w:val="00B431B7"/>
    <w:rsid w:val="00B431ED"/>
    <w:rsid w:val="00B432F1"/>
    <w:rsid w:val="00B43899"/>
    <w:rsid w:val="00B43DC3"/>
    <w:rsid w:val="00B441C6"/>
    <w:rsid w:val="00B446AA"/>
    <w:rsid w:val="00B44BF0"/>
    <w:rsid w:val="00B45631"/>
    <w:rsid w:val="00B456F7"/>
    <w:rsid w:val="00B459C0"/>
    <w:rsid w:val="00B46262"/>
    <w:rsid w:val="00B4698C"/>
    <w:rsid w:val="00B4729F"/>
    <w:rsid w:val="00B472B9"/>
    <w:rsid w:val="00B47626"/>
    <w:rsid w:val="00B50058"/>
    <w:rsid w:val="00B5095A"/>
    <w:rsid w:val="00B50BB3"/>
    <w:rsid w:val="00B51392"/>
    <w:rsid w:val="00B51A87"/>
    <w:rsid w:val="00B51CD2"/>
    <w:rsid w:val="00B5232B"/>
    <w:rsid w:val="00B5289B"/>
    <w:rsid w:val="00B52A8A"/>
    <w:rsid w:val="00B52E39"/>
    <w:rsid w:val="00B53049"/>
    <w:rsid w:val="00B530B2"/>
    <w:rsid w:val="00B530F1"/>
    <w:rsid w:val="00B53250"/>
    <w:rsid w:val="00B532A1"/>
    <w:rsid w:val="00B532B3"/>
    <w:rsid w:val="00B53626"/>
    <w:rsid w:val="00B53787"/>
    <w:rsid w:val="00B54123"/>
    <w:rsid w:val="00B541BC"/>
    <w:rsid w:val="00B54326"/>
    <w:rsid w:val="00B54546"/>
    <w:rsid w:val="00B54AA2"/>
    <w:rsid w:val="00B54F5D"/>
    <w:rsid w:val="00B555E4"/>
    <w:rsid w:val="00B558F8"/>
    <w:rsid w:val="00B55D69"/>
    <w:rsid w:val="00B55FD4"/>
    <w:rsid w:val="00B562CC"/>
    <w:rsid w:val="00B562EA"/>
    <w:rsid w:val="00B56308"/>
    <w:rsid w:val="00B5752E"/>
    <w:rsid w:val="00B577FB"/>
    <w:rsid w:val="00B57FFD"/>
    <w:rsid w:val="00B601F5"/>
    <w:rsid w:val="00B604E2"/>
    <w:rsid w:val="00B609DF"/>
    <w:rsid w:val="00B609E3"/>
    <w:rsid w:val="00B61071"/>
    <w:rsid w:val="00B611E4"/>
    <w:rsid w:val="00B611E7"/>
    <w:rsid w:val="00B61225"/>
    <w:rsid w:val="00B61276"/>
    <w:rsid w:val="00B61537"/>
    <w:rsid w:val="00B61B40"/>
    <w:rsid w:val="00B62837"/>
    <w:rsid w:val="00B6291B"/>
    <w:rsid w:val="00B636C9"/>
    <w:rsid w:val="00B63B29"/>
    <w:rsid w:val="00B63C2B"/>
    <w:rsid w:val="00B63ED3"/>
    <w:rsid w:val="00B64203"/>
    <w:rsid w:val="00B64465"/>
    <w:rsid w:val="00B64700"/>
    <w:rsid w:val="00B64C1F"/>
    <w:rsid w:val="00B64D25"/>
    <w:rsid w:val="00B650B4"/>
    <w:rsid w:val="00B6566A"/>
    <w:rsid w:val="00B656C2"/>
    <w:rsid w:val="00B65931"/>
    <w:rsid w:val="00B65F01"/>
    <w:rsid w:val="00B6653C"/>
    <w:rsid w:val="00B66802"/>
    <w:rsid w:val="00B66A0C"/>
    <w:rsid w:val="00B6728B"/>
    <w:rsid w:val="00B6776B"/>
    <w:rsid w:val="00B67CDD"/>
    <w:rsid w:val="00B67DF4"/>
    <w:rsid w:val="00B67E0F"/>
    <w:rsid w:val="00B67F38"/>
    <w:rsid w:val="00B67F83"/>
    <w:rsid w:val="00B70055"/>
    <w:rsid w:val="00B70101"/>
    <w:rsid w:val="00B7015C"/>
    <w:rsid w:val="00B701B4"/>
    <w:rsid w:val="00B7075B"/>
    <w:rsid w:val="00B70BE9"/>
    <w:rsid w:val="00B70D15"/>
    <w:rsid w:val="00B715F7"/>
    <w:rsid w:val="00B715F9"/>
    <w:rsid w:val="00B7196A"/>
    <w:rsid w:val="00B71A41"/>
    <w:rsid w:val="00B71A79"/>
    <w:rsid w:val="00B71AAA"/>
    <w:rsid w:val="00B71BE8"/>
    <w:rsid w:val="00B72154"/>
    <w:rsid w:val="00B72328"/>
    <w:rsid w:val="00B725A9"/>
    <w:rsid w:val="00B72730"/>
    <w:rsid w:val="00B727E4"/>
    <w:rsid w:val="00B728EF"/>
    <w:rsid w:val="00B731F4"/>
    <w:rsid w:val="00B73461"/>
    <w:rsid w:val="00B73922"/>
    <w:rsid w:val="00B73979"/>
    <w:rsid w:val="00B73B36"/>
    <w:rsid w:val="00B73D59"/>
    <w:rsid w:val="00B74889"/>
    <w:rsid w:val="00B748FD"/>
    <w:rsid w:val="00B74A3F"/>
    <w:rsid w:val="00B75114"/>
    <w:rsid w:val="00B7511D"/>
    <w:rsid w:val="00B7526D"/>
    <w:rsid w:val="00B754F5"/>
    <w:rsid w:val="00B759C5"/>
    <w:rsid w:val="00B759FF"/>
    <w:rsid w:val="00B75DE4"/>
    <w:rsid w:val="00B760B2"/>
    <w:rsid w:val="00B761BD"/>
    <w:rsid w:val="00B767CC"/>
    <w:rsid w:val="00B77618"/>
    <w:rsid w:val="00B7767B"/>
    <w:rsid w:val="00B7788B"/>
    <w:rsid w:val="00B77DF8"/>
    <w:rsid w:val="00B8000A"/>
    <w:rsid w:val="00B802BE"/>
    <w:rsid w:val="00B80ACF"/>
    <w:rsid w:val="00B80B25"/>
    <w:rsid w:val="00B80C51"/>
    <w:rsid w:val="00B80CC0"/>
    <w:rsid w:val="00B80E80"/>
    <w:rsid w:val="00B814C8"/>
    <w:rsid w:val="00B8155B"/>
    <w:rsid w:val="00B81D4E"/>
    <w:rsid w:val="00B81E45"/>
    <w:rsid w:val="00B82262"/>
    <w:rsid w:val="00B82C52"/>
    <w:rsid w:val="00B83B0B"/>
    <w:rsid w:val="00B847CB"/>
    <w:rsid w:val="00B84959"/>
    <w:rsid w:val="00B84989"/>
    <w:rsid w:val="00B84A07"/>
    <w:rsid w:val="00B84E75"/>
    <w:rsid w:val="00B84EF3"/>
    <w:rsid w:val="00B84F49"/>
    <w:rsid w:val="00B85053"/>
    <w:rsid w:val="00B853A3"/>
    <w:rsid w:val="00B85514"/>
    <w:rsid w:val="00B85678"/>
    <w:rsid w:val="00B85739"/>
    <w:rsid w:val="00B859A3"/>
    <w:rsid w:val="00B85AD5"/>
    <w:rsid w:val="00B85B94"/>
    <w:rsid w:val="00B85BA4"/>
    <w:rsid w:val="00B85C59"/>
    <w:rsid w:val="00B85E0E"/>
    <w:rsid w:val="00B86152"/>
    <w:rsid w:val="00B86403"/>
    <w:rsid w:val="00B864F9"/>
    <w:rsid w:val="00B86856"/>
    <w:rsid w:val="00B86AF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89D"/>
    <w:rsid w:val="00B93A7B"/>
    <w:rsid w:val="00B93AC8"/>
    <w:rsid w:val="00B93C2E"/>
    <w:rsid w:val="00B9402B"/>
    <w:rsid w:val="00B94803"/>
    <w:rsid w:val="00B94D8E"/>
    <w:rsid w:val="00B94DB1"/>
    <w:rsid w:val="00B95492"/>
    <w:rsid w:val="00B954F1"/>
    <w:rsid w:val="00B956CB"/>
    <w:rsid w:val="00B95A5E"/>
    <w:rsid w:val="00B95F5D"/>
    <w:rsid w:val="00B96062"/>
    <w:rsid w:val="00B96120"/>
    <w:rsid w:val="00B96226"/>
    <w:rsid w:val="00B96953"/>
    <w:rsid w:val="00B96B23"/>
    <w:rsid w:val="00B9748D"/>
    <w:rsid w:val="00B974B7"/>
    <w:rsid w:val="00B97540"/>
    <w:rsid w:val="00B97707"/>
    <w:rsid w:val="00B978E3"/>
    <w:rsid w:val="00B97A3F"/>
    <w:rsid w:val="00B97B45"/>
    <w:rsid w:val="00BA020C"/>
    <w:rsid w:val="00BA0238"/>
    <w:rsid w:val="00BA031D"/>
    <w:rsid w:val="00BA05D1"/>
    <w:rsid w:val="00BA06B0"/>
    <w:rsid w:val="00BA0CF0"/>
    <w:rsid w:val="00BA0EA9"/>
    <w:rsid w:val="00BA1222"/>
    <w:rsid w:val="00BA146F"/>
    <w:rsid w:val="00BA1472"/>
    <w:rsid w:val="00BA1570"/>
    <w:rsid w:val="00BA1F66"/>
    <w:rsid w:val="00BA1FE0"/>
    <w:rsid w:val="00BA22FA"/>
    <w:rsid w:val="00BA285E"/>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0F"/>
    <w:rsid w:val="00BA6DCA"/>
    <w:rsid w:val="00BA70FC"/>
    <w:rsid w:val="00BA7B3A"/>
    <w:rsid w:val="00BB00FC"/>
    <w:rsid w:val="00BB0440"/>
    <w:rsid w:val="00BB0D2C"/>
    <w:rsid w:val="00BB0FE2"/>
    <w:rsid w:val="00BB10A4"/>
    <w:rsid w:val="00BB1825"/>
    <w:rsid w:val="00BB1888"/>
    <w:rsid w:val="00BB190E"/>
    <w:rsid w:val="00BB199F"/>
    <w:rsid w:val="00BB1B64"/>
    <w:rsid w:val="00BB22DA"/>
    <w:rsid w:val="00BB25F7"/>
    <w:rsid w:val="00BB26AE"/>
    <w:rsid w:val="00BB2BBA"/>
    <w:rsid w:val="00BB2DFE"/>
    <w:rsid w:val="00BB346C"/>
    <w:rsid w:val="00BB369C"/>
    <w:rsid w:val="00BB3944"/>
    <w:rsid w:val="00BB3BE0"/>
    <w:rsid w:val="00BB3EE3"/>
    <w:rsid w:val="00BB41C5"/>
    <w:rsid w:val="00BB4432"/>
    <w:rsid w:val="00BB4965"/>
    <w:rsid w:val="00BB4F7C"/>
    <w:rsid w:val="00BB4F9C"/>
    <w:rsid w:val="00BB50C1"/>
    <w:rsid w:val="00BB58A1"/>
    <w:rsid w:val="00BB5E57"/>
    <w:rsid w:val="00BB5E94"/>
    <w:rsid w:val="00BB5EBC"/>
    <w:rsid w:val="00BB5FB7"/>
    <w:rsid w:val="00BB5FF4"/>
    <w:rsid w:val="00BB6B89"/>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05"/>
    <w:rsid w:val="00BC45C2"/>
    <w:rsid w:val="00BC48B5"/>
    <w:rsid w:val="00BC4B8E"/>
    <w:rsid w:val="00BC4CDB"/>
    <w:rsid w:val="00BC4F14"/>
    <w:rsid w:val="00BC50A6"/>
    <w:rsid w:val="00BC52E1"/>
    <w:rsid w:val="00BC54CD"/>
    <w:rsid w:val="00BC54FE"/>
    <w:rsid w:val="00BC57A3"/>
    <w:rsid w:val="00BC5929"/>
    <w:rsid w:val="00BC5E3E"/>
    <w:rsid w:val="00BC5FA5"/>
    <w:rsid w:val="00BC6000"/>
    <w:rsid w:val="00BC6006"/>
    <w:rsid w:val="00BC6226"/>
    <w:rsid w:val="00BC666F"/>
    <w:rsid w:val="00BC6C77"/>
    <w:rsid w:val="00BC6EFD"/>
    <w:rsid w:val="00BC7BE5"/>
    <w:rsid w:val="00BC7E8B"/>
    <w:rsid w:val="00BD0052"/>
    <w:rsid w:val="00BD05DC"/>
    <w:rsid w:val="00BD0799"/>
    <w:rsid w:val="00BD0966"/>
    <w:rsid w:val="00BD0CE2"/>
    <w:rsid w:val="00BD0E57"/>
    <w:rsid w:val="00BD0EAA"/>
    <w:rsid w:val="00BD142B"/>
    <w:rsid w:val="00BD1A05"/>
    <w:rsid w:val="00BD204F"/>
    <w:rsid w:val="00BD21CC"/>
    <w:rsid w:val="00BD2927"/>
    <w:rsid w:val="00BD29E6"/>
    <w:rsid w:val="00BD335A"/>
    <w:rsid w:val="00BD39D7"/>
    <w:rsid w:val="00BD3D9A"/>
    <w:rsid w:val="00BD40A6"/>
    <w:rsid w:val="00BD4396"/>
    <w:rsid w:val="00BD45A3"/>
    <w:rsid w:val="00BD4C55"/>
    <w:rsid w:val="00BD55AC"/>
    <w:rsid w:val="00BD65CD"/>
    <w:rsid w:val="00BD665B"/>
    <w:rsid w:val="00BD668D"/>
    <w:rsid w:val="00BD6BF2"/>
    <w:rsid w:val="00BD6FB2"/>
    <w:rsid w:val="00BD70FE"/>
    <w:rsid w:val="00BD7194"/>
    <w:rsid w:val="00BD7EEF"/>
    <w:rsid w:val="00BE00EF"/>
    <w:rsid w:val="00BE0781"/>
    <w:rsid w:val="00BE0808"/>
    <w:rsid w:val="00BE0918"/>
    <w:rsid w:val="00BE094B"/>
    <w:rsid w:val="00BE0B76"/>
    <w:rsid w:val="00BE0B9A"/>
    <w:rsid w:val="00BE1077"/>
    <w:rsid w:val="00BE1125"/>
    <w:rsid w:val="00BE1667"/>
    <w:rsid w:val="00BE19FF"/>
    <w:rsid w:val="00BE1A5B"/>
    <w:rsid w:val="00BE210F"/>
    <w:rsid w:val="00BE25B0"/>
    <w:rsid w:val="00BE305F"/>
    <w:rsid w:val="00BE3298"/>
    <w:rsid w:val="00BE3772"/>
    <w:rsid w:val="00BE37C7"/>
    <w:rsid w:val="00BE3FBE"/>
    <w:rsid w:val="00BE40A4"/>
    <w:rsid w:val="00BE4505"/>
    <w:rsid w:val="00BE4525"/>
    <w:rsid w:val="00BE4553"/>
    <w:rsid w:val="00BE4B81"/>
    <w:rsid w:val="00BE4BDA"/>
    <w:rsid w:val="00BE4C62"/>
    <w:rsid w:val="00BE4F49"/>
    <w:rsid w:val="00BE52D8"/>
    <w:rsid w:val="00BE53ED"/>
    <w:rsid w:val="00BE5AA4"/>
    <w:rsid w:val="00BE5EF5"/>
    <w:rsid w:val="00BE6292"/>
    <w:rsid w:val="00BE6376"/>
    <w:rsid w:val="00BE687B"/>
    <w:rsid w:val="00BE6AD9"/>
    <w:rsid w:val="00BE71E9"/>
    <w:rsid w:val="00BE7450"/>
    <w:rsid w:val="00BE794A"/>
    <w:rsid w:val="00BE7A59"/>
    <w:rsid w:val="00BE7CA6"/>
    <w:rsid w:val="00BF050D"/>
    <w:rsid w:val="00BF0963"/>
    <w:rsid w:val="00BF0A9C"/>
    <w:rsid w:val="00BF13D6"/>
    <w:rsid w:val="00BF1761"/>
    <w:rsid w:val="00BF1A8F"/>
    <w:rsid w:val="00BF1D4C"/>
    <w:rsid w:val="00BF1F79"/>
    <w:rsid w:val="00BF2116"/>
    <w:rsid w:val="00BF228D"/>
    <w:rsid w:val="00BF26A0"/>
    <w:rsid w:val="00BF2B87"/>
    <w:rsid w:val="00BF2BF9"/>
    <w:rsid w:val="00BF2F8F"/>
    <w:rsid w:val="00BF317C"/>
    <w:rsid w:val="00BF3C77"/>
    <w:rsid w:val="00BF41B4"/>
    <w:rsid w:val="00BF4314"/>
    <w:rsid w:val="00BF44EC"/>
    <w:rsid w:val="00BF47DC"/>
    <w:rsid w:val="00BF48A5"/>
    <w:rsid w:val="00BF4C89"/>
    <w:rsid w:val="00BF4C97"/>
    <w:rsid w:val="00BF5147"/>
    <w:rsid w:val="00BF5688"/>
    <w:rsid w:val="00BF5CE0"/>
    <w:rsid w:val="00BF5F68"/>
    <w:rsid w:val="00BF62BD"/>
    <w:rsid w:val="00BF6303"/>
    <w:rsid w:val="00BF67F5"/>
    <w:rsid w:val="00BF693C"/>
    <w:rsid w:val="00BF693E"/>
    <w:rsid w:val="00BF6998"/>
    <w:rsid w:val="00BF6B96"/>
    <w:rsid w:val="00BF7532"/>
    <w:rsid w:val="00BF78A8"/>
    <w:rsid w:val="00BF7C4F"/>
    <w:rsid w:val="00BF7D2E"/>
    <w:rsid w:val="00C00531"/>
    <w:rsid w:val="00C00564"/>
    <w:rsid w:val="00C00CF8"/>
    <w:rsid w:val="00C00DBD"/>
    <w:rsid w:val="00C02C4D"/>
    <w:rsid w:val="00C02E35"/>
    <w:rsid w:val="00C02E8E"/>
    <w:rsid w:val="00C03AEF"/>
    <w:rsid w:val="00C04420"/>
    <w:rsid w:val="00C04440"/>
    <w:rsid w:val="00C048A2"/>
    <w:rsid w:val="00C04E2B"/>
    <w:rsid w:val="00C05240"/>
    <w:rsid w:val="00C05AEF"/>
    <w:rsid w:val="00C05E8F"/>
    <w:rsid w:val="00C05FAA"/>
    <w:rsid w:val="00C06179"/>
    <w:rsid w:val="00C066BE"/>
    <w:rsid w:val="00C06A76"/>
    <w:rsid w:val="00C071D0"/>
    <w:rsid w:val="00C0760B"/>
    <w:rsid w:val="00C079BB"/>
    <w:rsid w:val="00C1020B"/>
    <w:rsid w:val="00C102F9"/>
    <w:rsid w:val="00C10B9D"/>
    <w:rsid w:val="00C10CC8"/>
    <w:rsid w:val="00C11050"/>
    <w:rsid w:val="00C1142A"/>
    <w:rsid w:val="00C119A5"/>
    <w:rsid w:val="00C11BBF"/>
    <w:rsid w:val="00C12324"/>
    <w:rsid w:val="00C12AB3"/>
    <w:rsid w:val="00C12ED5"/>
    <w:rsid w:val="00C13126"/>
    <w:rsid w:val="00C13154"/>
    <w:rsid w:val="00C132B5"/>
    <w:rsid w:val="00C135A5"/>
    <w:rsid w:val="00C13BCD"/>
    <w:rsid w:val="00C145D8"/>
    <w:rsid w:val="00C14601"/>
    <w:rsid w:val="00C14689"/>
    <w:rsid w:val="00C1471D"/>
    <w:rsid w:val="00C147A4"/>
    <w:rsid w:val="00C14999"/>
    <w:rsid w:val="00C151E7"/>
    <w:rsid w:val="00C15715"/>
    <w:rsid w:val="00C159B1"/>
    <w:rsid w:val="00C15B0A"/>
    <w:rsid w:val="00C160F0"/>
    <w:rsid w:val="00C1623E"/>
    <w:rsid w:val="00C163AC"/>
    <w:rsid w:val="00C16B88"/>
    <w:rsid w:val="00C16B99"/>
    <w:rsid w:val="00C16BF7"/>
    <w:rsid w:val="00C1710D"/>
    <w:rsid w:val="00C17998"/>
    <w:rsid w:val="00C17CC9"/>
    <w:rsid w:val="00C17FA3"/>
    <w:rsid w:val="00C20795"/>
    <w:rsid w:val="00C20A70"/>
    <w:rsid w:val="00C20A9E"/>
    <w:rsid w:val="00C20C3E"/>
    <w:rsid w:val="00C20F82"/>
    <w:rsid w:val="00C210C8"/>
    <w:rsid w:val="00C21180"/>
    <w:rsid w:val="00C21463"/>
    <w:rsid w:val="00C215FE"/>
    <w:rsid w:val="00C22648"/>
    <w:rsid w:val="00C22692"/>
    <w:rsid w:val="00C22936"/>
    <w:rsid w:val="00C22AA4"/>
    <w:rsid w:val="00C22F34"/>
    <w:rsid w:val="00C2334B"/>
    <w:rsid w:val="00C23364"/>
    <w:rsid w:val="00C237D5"/>
    <w:rsid w:val="00C2440C"/>
    <w:rsid w:val="00C2447C"/>
    <w:rsid w:val="00C2465F"/>
    <w:rsid w:val="00C247F5"/>
    <w:rsid w:val="00C24B34"/>
    <w:rsid w:val="00C24BA7"/>
    <w:rsid w:val="00C24BBE"/>
    <w:rsid w:val="00C24E84"/>
    <w:rsid w:val="00C25026"/>
    <w:rsid w:val="00C250D8"/>
    <w:rsid w:val="00C251E2"/>
    <w:rsid w:val="00C25451"/>
    <w:rsid w:val="00C25C69"/>
    <w:rsid w:val="00C269B6"/>
    <w:rsid w:val="00C26E7A"/>
    <w:rsid w:val="00C27419"/>
    <w:rsid w:val="00C274F9"/>
    <w:rsid w:val="00C27C62"/>
    <w:rsid w:val="00C27E3F"/>
    <w:rsid w:val="00C30354"/>
    <w:rsid w:val="00C30624"/>
    <w:rsid w:val="00C306ED"/>
    <w:rsid w:val="00C308D1"/>
    <w:rsid w:val="00C30998"/>
    <w:rsid w:val="00C309EE"/>
    <w:rsid w:val="00C30C65"/>
    <w:rsid w:val="00C3237D"/>
    <w:rsid w:val="00C32B78"/>
    <w:rsid w:val="00C32DB5"/>
    <w:rsid w:val="00C32DD0"/>
    <w:rsid w:val="00C33639"/>
    <w:rsid w:val="00C339A1"/>
    <w:rsid w:val="00C33AE0"/>
    <w:rsid w:val="00C33C5D"/>
    <w:rsid w:val="00C33CA7"/>
    <w:rsid w:val="00C33D48"/>
    <w:rsid w:val="00C34140"/>
    <w:rsid w:val="00C342EC"/>
    <w:rsid w:val="00C3430B"/>
    <w:rsid w:val="00C34513"/>
    <w:rsid w:val="00C34839"/>
    <w:rsid w:val="00C34AB3"/>
    <w:rsid w:val="00C35BB9"/>
    <w:rsid w:val="00C35CFB"/>
    <w:rsid w:val="00C35EBC"/>
    <w:rsid w:val="00C35F07"/>
    <w:rsid w:val="00C35FD1"/>
    <w:rsid w:val="00C360EA"/>
    <w:rsid w:val="00C361BC"/>
    <w:rsid w:val="00C368FA"/>
    <w:rsid w:val="00C3694E"/>
    <w:rsid w:val="00C36BC9"/>
    <w:rsid w:val="00C372E0"/>
    <w:rsid w:val="00C378E2"/>
    <w:rsid w:val="00C37C7C"/>
    <w:rsid w:val="00C4022F"/>
    <w:rsid w:val="00C405BE"/>
    <w:rsid w:val="00C4072E"/>
    <w:rsid w:val="00C4097C"/>
    <w:rsid w:val="00C417DD"/>
    <w:rsid w:val="00C418BC"/>
    <w:rsid w:val="00C41ECE"/>
    <w:rsid w:val="00C41EE3"/>
    <w:rsid w:val="00C42339"/>
    <w:rsid w:val="00C4259F"/>
    <w:rsid w:val="00C427CB"/>
    <w:rsid w:val="00C42F33"/>
    <w:rsid w:val="00C4368A"/>
    <w:rsid w:val="00C43882"/>
    <w:rsid w:val="00C439D6"/>
    <w:rsid w:val="00C43D77"/>
    <w:rsid w:val="00C43D78"/>
    <w:rsid w:val="00C44500"/>
    <w:rsid w:val="00C449E4"/>
    <w:rsid w:val="00C44B66"/>
    <w:rsid w:val="00C44BB4"/>
    <w:rsid w:val="00C44D3E"/>
    <w:rsid w:val="00C44FAB"/>
    <w:rsid w:val="00C453A5"/>
    <w:rsid w:val="00C45560"/>
    <w:rsid w:val="00C455FC"/>
    <w:rsid w:val="00C45762"/>
    <w:rsid w:val="00C4583D"/>
    <w:rsid w:val="00C45A1F"/>
    <w:rsid w:val="00C46363"/>
    <w:rsid w:val="00C46780"/>
    <w:rsid w:val="00C46909"/>
    <w:rsid w:val="00C46DD7"/>
    <w:rsid w:val="00C46F70"/>
    <w:rsid w:val="00C46FA0"/>
    <w:rsid w:val="00C4706E"/>
    <w:rsid w:val="00C47692"/>
    <w:rsid w:val="00C4777B"/>
    <w:rsid w:val="00C47C28"/>
    <w:rsid w:val="00C47C8C"/>
    <w:rsid w:val="00C50025"/>
    <w:rsid w:val="00C50135"/>
    <w:rsid w:val="00C50150"/>
    <w:rsid w:val="00C50288"/>
    <w:rsid w:val="00C5032B"/>
    <w:rsid w:val="00C503F4"/>
    <w:rsid w:val="00C50800"/>
    <w:rsid w:val="00C50A36"/>
    <w:rsid w:val="00C50E69"/>
    <w:rsid w:val="00C511CF"/>
    <w:rsid w:val="00C51385"/>
    <w:rsid w:val="00C51545"/>
    <w:rsid w:val="00C51CBF"/>
    <w:rsid w:val="00C52038"/>
    <w:rsid w:val="00C5213E"/>
    <w:rsid w:val="00C523AB"/>
    <w:rsid w:val="00C52461"/>
    <w:rsid w:val="00C52617"/>
    <w:rsid w:val="00C5290D"/>
    <w:rsid w:val="00C52F5D"/>
    <w:rsid w:val="00C53214"/>
    <w:rsid w:val="00C53394"/>
    <w:rsid w:val="00C533DF"/>
    <w:rsid w:val="00C53773"/>
    <w:rsid w:val="00C5389B"/>
    <w:rsid w:val="00C53B79"/>
    <w:rsid w:val="00C53D34"/>
    <w:rsid w:val="00C540F6"/>
    <w:rsid w:val="00C546D8"/>
    <w:rsid w:val="00C54A57"/>
    <w:rsid w:val="00C54C51"/>
    <w:rsid w:val="00C54EE0"/>
    <w:rsid w:val="00C5592A"/>
    <w:rsid w:val="00C55982"/>
    <w:rsid w:val="00C55A3D"/>
    <w:rsid w:val="00C55AD5"/>
    <w:rsid w:val="00C55E28"/>
    <w:rsid w:val="00C56006"/>
    <w:rsid w:val="00C565AC"/>
    <w:rsid w:val="00C56702"/>
    <w:rsid w:val="00C56A64"/>
    <w:rsid w:val="00C57480"/>
    <w:rsid w:val="00C57DF1"/>
    <w:rsid w:val="00C60089"/>
    <w:rsid w:val="00C604C1"/>
    <w:rsid w:val="00C6091C"/>
    <w:rsid w:val="00C60C4F"/>
    <w:rsid w:val="00C60C69"/>
    <w:rsid w:val="00C60D66"/>
    <w:rsid w:val="00C60D7B"/>
    <w:rsid w:val="00C61614"/>
    <w:rsid w:val="00C61A1B"/>
    <w:rsid w:val="00C61B5F"/>
    <w:rsid w:val="00C631B9"/>
    <w:rsid w:val="00C6327E"/>
    <w:rsid w:val="00C63C2D"/>
    <w:rsid w:val="00C63D44"/>
    <w:rsid w:val="00C643D1"/>
    <w:rsid w:val="00C6456C"/>
    <w:rsid w:val="00C6497D"/>
    <w:rsid w:val="00C64BA0"/>
    <w:rsid w:val="00C6500C"/>
    <w:rsid w:val="00C6506E"/>
    <w:rsid w:val="00C6518D"/>
    <w:rsid w:val="00C65555"/>
    <w:rsid w:val="00C65AC4"/>
    <w:rsid w:val="00C65C4F"/>
    <w:rsid w:val="00C65D0D"/>
    <w:rsid w:val="00C65D17"/>
    <w:rsid w:val="00C65FCA"/>
    <w:rsid w:val="00C65FCD"/>
    <w:rsid w:val="00C65FE6"/>
    <w:rsid w:val="00C6621A"/>
    <w:rsid w:val="00C667A6"/>
    <w:rsid w:val="00C66F1C"/>
    <w:rsid w:val="00C67031"/>
    <w:rsid w:val="00C67411"/>
    <w:rsid w:val="00C676A3"/>
    <w:rsid w:val="00C678BB"/>
    <w:rsid w:val="00C67B3F"/>
    <w:rsid w:val="00C70653"/>
    <w:rsid w:val="00C708A7"/>
    <w:rsid w:val="00C7138F"/>
    <w:rsid w:val="00C714B9"/>
    <w:rsid w:val="00C719B2"/>
    <w:rsid w:val="00C71C0C"/>
    <w:rsid w:val="00C72501"/>
    <w:rsid w:val="00C725A4"/>
    <w:rsid w:val="00C72C62"/>
    <w:rsid w:val="00C72D39"/>
    <w:rsid w:val="00C72FA3"/>
    <w:rsid w:val="00C7303A"/>
    <w:rsid w:val="00C73096"/>
    <w:rsid w:val="00C730D1"/>
    <w:rsid w:val="00C734D3"/>
    <w:rsid w:val="00C735C8"/>
    <w:rsid w:val="00C7387D"/>
    <w:rsid w:val="00C73E47"/>
    <w:rsid w:val="00C742E0"/>
    <w:rsid w:val="00C74424"/>
    <w:rsid w:val="00C74839"/>
    <w:rsid w:val="00C74EBC"/>
    <w:rsid w:val="00C7501E"/>
    <w:rsid w:val="00C753DB"/>
    <w:rsid w:val="00C75A58"/>
    <w:rsid w:val="00C75C43"/>
    <w:rsid w:val="00C761B6"/>
    <w:rsid w:val="00C76716"/>
    <w:rsid w:val="00C76F45"/>
    <w:rsid w:val="00C77125"/>
    <w:rsid w:val="00C775A7"/>
    <w:rsid w:val="00C777A7"/>
    <w:rsid w:val="00C77B3B"/>
    <w:rsid w:val="00C77E8D"/>
    <w:rsid w:val="00C80633"/>
    <w:rsid w:val="00C810BE"/>
    <w:rsid w:val="00C81354"/>
    <w:rsid w:val="00C81361"/>
    <w:rsid w:val="00C8150C"/>
    <w:rsid w:val="00C81570"/>
    <w:rsid w:val="00C8176A"/>
    <w:rsid w:val="00C8180A"/>
    <w:rsid w:val="00C81C46"/>
    <w:rsid w:val="00C8228E"/>
    <w:rsid w:val="00C8297F"/>
    <w:rsid w:val="00C82A3E"/>
    <w:rsid w:val="00C82C61"/>
    <w:rsid w:val="00C83053"/>
    <w:rsid w:val="00C8317F"/>
    <w:rsid w:val="00C831EE"/>
    <w:rsid w:val="00C83211"/>
    <w:rsid w:val="00C83DD1"/>
    <w:rsid w:val="00C83E0B"/>
    <w:rsid w:val="00C8496E"/>
    <w:rsid w:val="00C84AAD"/>
    <w:rsid w:val="00C84D8A"/>
    <w:rsid w:val="00C84F0D"/>
    <w:rsid w:val="00C85127"/>
    <w:rsid w:val="00C858ED"/>
    <w:rsid w:val="00C8682C"/>
    <w:rsid w:val="00C8684D"/>
    <w:rsid w:val="00C86895"/>
    <w:rsid w:val="00C868EB"/>
    <w:rsid w:val="00C86A19"/>
    <w:rsid w:val="00C86E03"/>
    <w:rsid w:val="00C86E61"/>
    <w:rsid w:val="00C86EAC"/>
    <w:rsid w:val="00C8703C"/>
    <w:rsid w:val="00C8708A"/>
    <w:rsid w:val="00C874BA"/>
    <w:rsid w:val="00C87952"/>
    <w:rsid w:val="00C87C25"/>
    <w:rsid w:val="00C87EA8"/>
    <w:rsid w:val="00C87FF3"/>
    <w:rsid w:val="00C9011B"/>
    <w:rsid w:val="00C903C0"/>
    <w:rsid w:val="00C904AF"/>
    <w:rsid w:val="00C9071A"/>
    <w:rsid w:val="00C90757"/>
    <w:rsid w:val="00C90AE2"/>
    <w:rsid w:val="00C90BB9"/>
    <w:rsid w:val="00C90F48"/>
    <w:rsid w:val="00C9152A"/>
    <w:rsid w:val="00C91786"/>
    <w:rsid w:val="00C91A65"/>
    <w:rsid w:val="00C9221A"/>
    <w:rsid w:val="00C923F5"/>
    <w:rsid w:val="00C92733"/>
    <w:rsid w:val="00C92998"/>
    <w:rsid w:val="00C92A40"/>
    <w:rsid w:val="00C92FA0"/>
    <w:rsid w:val="00C92FC9"/>
    <w:rsid w:val="00C9355D"/>
    <w:rsid w:val="00C9372A"/>
    <w:rsid w:val="00C938D8"/>
    <w:rsid w:val="00C93AEA"/>
    <w:rsid w:val="00C93E06"/>
    <w:rsid w:val="00C94061"/>
    <w:rsid w:val="00C941C1"/>
    <w:rsid w:val="00C947CC"/>
    <w:rsid w:val="00C94D0F"/>
    <w:rsid w:val="00C950CA"/>
    <w:rsid w:val="00C95260"/>
    <w:rsid w:val="00C95721"/>
    <w:rsid w:val="00C95762"/>
    <w:rsid w:val="00C95B68"/>
    <w:rsid w:val="00C95E35"/>
    <w:rsid w:val="00C95F49"/>
    <w:rsid w:val="00C96392"/>
    <w:rsid w:val="00C96CAC"/>
    <w:rsid w:val="00C96CE1"/>
    <w:rsid w:val="00C97456"/>
    <w:rsid w:val="00C97640"/>
    <w:rsid w:val="00C97669"/>
    <w:rsid w:val="00CA0A93"/>
    <w:rsid w:val="00CA13EA"/>
    <w:rsid w:val="00CA159B"/>
    <w:rsid w:val="00CA1BBB"/>
    <w:rsid w:val="00CA1D0A"/>
    <w:rsid w:val="00CA2216"/>
    <w:rsid w:val="00CA2650"/>
    <w:rsid w:val="00CA2A37"/>
    <w:rsid w:val="00CA2B8C"/>
    <w:rsid w:val="00CA2C05"/>
    <w:rsid w:val="00CA37A3"/>
    <w:rsid w:val="00CA38B8"/>
    <w:rsid w:val="00CA3B51"/>
    <w:rsid w:val="00CA3D52"/>
    <w:rsid w:val="00CA452C"/>
    <w:rsid w:val="00CA520A"/>
    <w:rsid w:val="00CA560F"/>
    <w:rsid w:val="00CA571D"/>
    <w:rsid w:val="00CA5753"/>
    <w:rsid w:val="00CA5880"/>
    <w:rsid w:val="00CA68F2"/>
    <w:rsid w:val="00CA70E6"/>
    <w:rsid w:val="00CA78B3"/>
    <w:rsid w:val="00CA78E5"/>
    <w:rsid w:val="00CA7D31"/>
    <w:rsid w:val="00CA7D95"/>
    <w:rsid w:val="00CA7E33"/>
    <w:rsid w:val="00CB01F1"/>
    <w:rsid w:val="00CB0226"/>
    <w:rsid w:val="00CB0308"/>
    <w:rsid w:val="00CB0317"/>
    <w:rsid w:val="00CB0937"/>
    <w:rsid w:val="00CB0BD2"/>
    <w:rsid w:val="00CB0EF9"/>
    <w:rsid w:val="00CB1004"/>
    <w:rsid w:val="00CB14C5"/>
    <w:rsid w:val="00CB1D79"/>
    <w:rsid w:val="00CB1DE7"/>
    <w:rsid w:val="00CB1E8F"/>
    <w:rsid w:val="00CB207E"/>
    <w:rsid w:val="00CB254C"/>
    <w:rsid w:val="00CB2970"/>
    <w:rsid w:val="00CB2C19"/>
    <w:rsid w:val="00CB2CBC"/>
    <w:rsid w:val="00CB33DF"/>
    <w:rsid w:val="00CB3530"/>
    <w:rsid w:val="00CB35FF"/>
    <w:rsid w:val="00CB36FC"/>
    <w:rsid w:val="00CB394E"/>
    <w:rsid w:val="00CB3957"/>
    <w:rsid w:val="00CB3D7C"/>
    <w:rsid w:val="00CB457D"/>
    <w:rsid w:val="00CB47DC"/>
    <w:rsid w:val="00CB4C5F"/>
    <w:rsid w:val="00CB556D"/>
    <w:rsid w:val="00CB583F"/>
    <w:rsid w:val="00CB66CD"/>
    <w:rsid w:val="00CB683C"/>
    <w:rsid w:val="00CB6A5D"/>
    <w:rsid w:val="00CB6BA8"/>
    <w:rsid w:val="00CB7498"/>
    <w:rsid w:val="00CB7679"/>
    <w:rsid w:val="00CB772A"/>
    <w:rsid w:val="00CC0005"/>
    <w:rsid w:val="00CC0160"/>
    <w:rsid w:val="00CC0423"/>
    <w:rsid w:val="00CC07E1"/>
    <w:rsid w:val="00CC0FCD"/>
    <w:rsid w:val="00CC0FD6"/>
    <w:rsid w:val="00CC11A6"/>
    <w:rsid w:val="00CC134B"/>
    <w:rsid w:val="00CC13E0"/>
    <w:rsid w:val="00CC16C8"/>
    <w:rsid w:val="00CC1776"/>
    <w:rsid w:val="00CC2020"/>
    <w:rsid w:val="00CC2054"/>
    <w:rsid w:val="00CC25DA"/>
    <w:rsid w:val="00CC27C1"/>
    <w:rsid w:val="00CC27F7"/>
    <w:rsid w:val="00CC3202"/>
    <w:rsid w:val="00CC3206"/>
    <w:rsid w:val="00CC3A55"/>
    <w:rsid w:val="00CC4615"/>
    <w:rsid w:val="00CC5011"/>
    <w:rsid w:val="00CC56E3"/>
    <w:rsid w:val="00CC5958"/>
    <w:rsid w:val="00CC5B16"/>
    <w:rsid w:val="00CC5D56"/>
    <w:rsid w:val="00CC6385"/>
    <w:rsid w:val="00CC67E3"/>
    <w:rsid w:val="00CC6A5D"/>
    <w:rsid w:val="00CC6D49"/>
    <w:rsid w:val="00CC747E"/>
    <w:rsid w:val="00CD00AB"/>
    <w:rsid w:val="00CD050C"/>
    <w:rsid w:val="00CD0CCC"/>
    <w:rsid w:val="00CD11BD"/>
    <w:rsid w:val="00CD1393"/>
    <w:rsid w:val="00CD1F73"/>
    <w:rsid w:val="00CD27A8"/>
    <w:rsid w:val="00CD2845"/>
    <w:rsid w:val="00CD2A20"/>
    <w:rsid w:val="00CD2D93"/>
    <w:rsid w:val="00CD2E58"/>
    <w:rsid w:val="00CD3367"/>
    <w:rsid w:val="00CD3504"/>
    <w:rsid w:val="00CD3B7E"/>
    <w:rsid w:val="00CD4B88"/>
    <w:rsid w:val="00CD4BA9"/>
    <w:rsid w:val="00CD4CAB"/>
    <w:rsid w:val="00CD4CFC"/>
    <w:rsid w:val="00CD4D42"/>
    <w:rsid w:val="00CD585C"/>
    <w:rsid w:val="00CD5898"/>
    <w:rsid w:val="00CD5ADD"/>
    <w:rsid w:val="00CD5EB8"/>
    <w:rsid w:val="00CD60FA"/>
    <w:rsid w:val="00CD64FD"/>
    <w:rsid w:val="00CD66AF"/>
    <w:rsid w:val="00CD6DFF"/>
    <w:rsid w:val="00CD7307"/>
    <w:rsid w:val="00CD770D"/>
    <w:rsid w:val="00CD7A57"/>
    <w:rsid w:val="00CD7B8E"/>
    <w:rsid w:val="00CD7CDF"/>
    <w:rsid w:val="00CD7F54"/>
    <w:rsid w:val="00CE08FB"/>
    <w:rsid w:val="00CE10E2"/>
    <w:rsid w:val="00CE1149"/>
    <w:rsid w:val="00CE1248"/>
    <w:rsid w:val="00CE1297"/>
    <w:rsid w:val="00CE17DE"/>
    <w:rsid w:val="00CE2313"/>
    <w:rsid w:val="00CE25F7"/>
    <w:rsid w:val="00CE2856"/>
    <w:rsid w:val="00CE3C51"/>
    <w:rsid w:val="00CE3EDC"/>
    <w:rsid w:val="00CE4AF7"/>
    <w:rsid w:val="00CE4B68"/>
    <w:rsid w:val="00CE5120"/>
    <w:rsid w:val="00CE5414"/>
    <w:rsid w:val="00CE55C7"/>
    <w:rsid w:val="00CE5723"/>
    <w:rsid w:val="00CE5899"/>
    <w:rsid w:val="00CE5A14"/>
    <w:rsid w:val="00CE5AA8"/>
    <w:rsid w:val="00CE646E"/>
    <w:rsid w:val="00CE739A"/>
    <w:rsid w:val="00CE758B"/>
    <w:rsid w:val="00CE7953"/>
    <w:rsid w:val="00CE7D21"/>
    <w:rsid w:val="00CE7F53"/>
    <w:rsid w:val="00CF0646"/>
    <w:rsid w:val="00CF119E"/>
    <w:rsid w:val="00CF11C4"/>
    <w:rsid w:val="00CF1391"/>
    <w:rsid w:val="00CF13C3"/>
    <w:rsid w:val="00CF1454"/>
    <w:rsid w:val="00CF17F4"/>
    <w:rsid w:val="00CF2238"/>
    <w:rsid w:val="00CF22C7"/>
    <w:rsid w:val="00CF2324"/>
    <w:rsid w:val="00CF23C2"/>
    <w:rsid w:val="00CF2475"/>
    <w:rsid w:val="00CF3678"/>
    <w:rsid w:val="00CF3972"/>
    <w:rsid w:val="00CF3A1A"/>
    <w:rsid w:val="00CF3F71"/>
    <w:rsid w:val="00CF4076"/>
    <w:rsid w:val="00CF447F"/>
    <w:rsid w:val="00CF464C"/>
    <w:rsid w:val="00CF4957"/>
    <w:rsid w:val="00CF4A12"/>
    <w:rsid w:val="00CF4D4A"/>
    <w:rsid w:val="00CF541B"/>
    <w:rsid w:val="00CF5420"/>
    <w:rsid w:val="00CF5956"/>
    <w:rsid w:val="00CF5EBC"/>
    <w:rsid w:val="00CF65F2"/>
    <w:rsid w:val="00CF686D"/>
    <w:rsid w:val="00CF69B6"/>
    <w:rsid w:val="00CF6D09"/>
    <w:rsid w:val="00CF734C"/>
    <w:rsid w:val="00CF7412"/>
    <w:rsid w:val="00CF74D7"/>
    <w:rsid w:val="00CF75A9"/>
    <w:rsid w:val="00CF7AA5"/>
    <w:rsid w:val="00CF7C5E"/>
    <w:rsid w:val="00D00637"/>
    <w:rsid w:val="00D007C3"/>
    <w:rsid w:val="00D00926"/>
    <w:rsid w:val="00D00A3D"/>
    <w:rsid w:val="00D00B89"/>
    <w:rsid w:val="00D00C47"/>
    <w:rsid w:val="00D01228"/>
    <w:rsid w:val="00D0123C"/>
    <w:rsid w:val="00D01280"/>
    <w:rsid w:val="00D0142F"/>
    <w:rsid w:val="00D018E7"/>
    <w:rsid w:val="00D01908"/>
    <w:rsid w:val="00D01CD8"/>
    <w:rsid w:val="00D01E62"/>
    <w:rsid w:val="00D02631"/>
    <w:rsid w:val="00D02AAA"/>
    <w:rsid w:val="00D02BB8"/>
    <w:rsid w:val="00D03456"/>
    <w:rsid w:val="00D0372B"/>
    <w:rsid w:val="00D038D5"/>
    <w:rsid w:val="00D03967"/>
    <w:rsid w:val="00D039EA"/>
    <w:rsid w:val="00D03AC1"/>
    <w:rsid w:val="00D04093"/>
    <w:rsid w:val="00D044E0"/>
    <w:rsid w:val="00D04ACD"/>
    <w:rsid w:val="00D04F57"/>
    <w:rsid w:val="00D05305"/>
    <w:rsid w:val="00D05576"/>
    <w:rsid w:val="00D0563C"/>
    <w:rsid w:val="00D057A1"/>
    <w:rsid w:val="00D0603A"/>
    <w:rsid w:val="00D0652E"/>
    <w:rsid w:val="00D066D4"/>
    <w:rsid w:val="00D07FC3"/>
    <w:rsid w:val="00D10632"/>
    <w:rsid w:val="00D10830"/>
    <w:rsid w:val="00D109C9"/>
    <w:rsid w:val="00D10E82"/>
    <w:rsid w:val="00D10FE2"/>
    <w:rsid w:val="00D114B5"/>
    <w:rsid w:val="00D117B3"/>
    <w:rsid w:val="00D11911"/>
    <w:rsid w:val="00D12140"/>
    <w:rsid w:val="00D12288"/>
    <w:rsid w:val="00D12EDA"/>
    <w:rsid w:val="00D12FB2"/>
    <w:rsid w:val="00D1301C"/>
    <w:rsid w:val="00D132F4"/>
    <w:rsid w:val="00D134B6"/>
    <w:rsid w:val="00D135D1"/>
    <w:rsid w:val="00D139A9"/>
    <w:rsid w:val="00D13D5E"/>
    <w:rsid w:val="00D14048"/>
    <w:rsid w:val="00D1420E"/>
    <w:rsid w:val="00D14485"/>
    <w:rsid w:val="00D1496D"/>
    <w:rsid w:val="00D15689"/>
    <w:rsid w:val="00D156E3"/>
    <w:rsid w:val="00D156FC"/>
    <w:rsid w:val="00D15A05"/>
    <w:rsid w:val="00D15C4C"/>
    <w:rsid w:val="00D15D2C"/>
    <w:rsid w:val="00D15E45"/>
    <w:rsid w:val="00D16099"/>
    <w:rsid w:val="00D16657"/>
    <w:rsid w:val="00D16E6D"/>
    <w:rsid w:val="00D16F9B"/>
    <w:rsid w:val="00D1715B"/>
    <w:rsid w:val="00D1720F"/>
    <w:rsid w:val="00D1795D"/>
    <w:rsid w:val="00D200C8"/>
    <w:rsid w:val="00D205AD"/>
    <w:rsid w:val="00D206AF"/>
    <w:rsid w:val="00D206C6"/>
    <w:rsid w:val="00D2091C"/>
    <w:rsid w:val="00D20A1F"/>
    <w:rsid w:val="00D20CE9"/>
    <w:rsid w:val="00D20F75"/>
    <w:rsid w:val="00D2110D"/>
    <w:rsid w:val="00D21147"/>
    <w:rsid w:val="00D219AB"/>
    <w:rsid w:val="00D21A58"/>
    <w:rsid w:val="00D21B52"/>
    <w:rsid w:val="00D220D0"/>
    <w:rsid w:val="00D22367"/>
    <w:rsid w:val="00D224B6"/>
    <w:rsid w:val="00D225E4"/>
    <w:rsid w:val="00D22A32"/>
    <w:rsid w:val="00D23847"/>
    <w:rsid w:val="00D241F4"/>
    <w:rsid w:val="00D24756"/>
    <w:rsid w:val="00D24830"/>
    <w:rsid w:val="00D24BCD"/>
    <w:rsid w:val="00D25136"/>
    <w:rsid w:val="00D25204"/>
    <w:rsid w:val="00D2547F"/>
    <w:rsid w:val="00D25493"/>
    <w:rsid w:val="00D25BEE"/>
    <w:rsid w:val="00D25DCA"/>
    <w:rsid w:val="00D26493"/>
    <w:rsid w:val="00D2697D"/>
    <w:rsid w:val="00D27120"/>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A4"/>
    <w:rsid w:val="00D320F6"/>
    <w:rsid w:val="00D3220C"/>
    <w:rsid w:val="00D323BB"/>
    <w:rsid w:val="00D325AB"/>
    <w:rsid w:val="00D32768"/>
    <w:rsid w:val="00D3284C"/>
    <w:rsid w:val="00D32AA1"/>
    <w:rsid w:val="00D332EB"/>
    <w:rsid w:val="00D339BE"/>
    <w:rsid w:val="00D33F20"/>
    <w:rsid w:val="00D34639"/>
    <w:rsid w:val="00D34C23"/>
    <w:rsid w:val="00D34D12"/>
    <w:rsid w:val="00D35028"/>
    <w:rsid w:val="00D3523C"/>
    <w:rsid w:val="00D3560D"/>
    <w:rsid w:val="00D35678"/>
    <w:rsid w:val="00D358CC"/>
    <w:rsid w:val="00D35F1B"/>
    <w:rsid w:val="00D35FDB"/>
    <w:rsid w:val="00D361B1"/>
    <w:rsid w:val="00D365A4"/>
    <w:rsid w:val="00D36C6D"/>
    <w:rsid w:val="00D37EDE"/>
    <w:rsid w:val="00D37FEF"/>
    <w:rsid w:val="00D40664"/>
    <w:rsid w:val="00D40674"/>
    <w:rsid w:val="00D40801"/>
    <w:rsid w:val="00D408C5"/>
    <w:rsid w:val="00D40B01"/>
    <w:rsid w:val="00D40FB3"/>
    <w:rsid w:val="00D41395"/>
    <w:rsid w:val="00D41733"/>
    <w:rsid w:val="00D41757"/>
    <w:rsid w:val="00D41828"/>
    <w:rsid w:val="00D41BC0"/>
    <w:rsid w:val="00D41E22"/>
    <w:rsid w:val="00D423C4"/>
    <w:rsid w:val="00D42453"/>
    <w:rsid w:val="00D42769"/>
    <w:rsid w:val="00D427C5"/>
    <w:rsid w:val="00D42862"/>
    <w:rsid w:val="00D42982"/>
    <w:rsid w:val="00D42DC4"/>
    <w:rsid w:val="00D43721"/>
    <w:rsid w:val="00D43759"/>
    <w:rsid w:val="00D43A9F"/>
    <w:rsid w:val="00D43AB2"/>
    <w:rsid w:val="00D43B7A"/>
    <w:rsid w:val="00D43DE4"/>
    <w:rsid w:val="00D43FA5"/>
    <w:rsid w:val="00D44293"/>
    <w:rsid w:val="00D443B1"/>
    <w:rsid w:val="00D4456B"/>
    <w:rsid w:val="00D44595"/>
    <w:rsid w:val="00D445CE"/>
    <w:rsid w:val="00D4475D"/>
    <w:rsid w:val="00D447BD"/>
    <w:rsid w:val="00D44821"/>
    <w:rsid w:val="00D44C0A"/>
    <w:rsid w:val="00D44ED5"/>
    <w:rsid w:val="00D464E1"/>
    <w:rsid w:val="00D46E93"/>
    <w:rsid w:val="00D46ED4"/>
    <w:rsid w:val="00D47144"/>
    <w:rsid w:val="00D471FA"/>
    <w:rsid w:val="00D47488"/>
    <w:rsid w:val="00D477A8"/>
    <w:rsid w:val="00D477D8"/>
    <w:rsid w:val="00D47EF3"/>
    <w:rsid w:val="00D500E4"/>
    <w:rsid w:val="00D5029A"/>
    <w:rsid w:val="00D50334"/>
    <w:rsid w:val="00D50585"/>
    <w:rsid w:val="00D50897"/>
    <w:rsid w:val="00D50AEF"/>
    <w:rsid w:val="00D50CF9"/>
    <w:rsid w:val="00D5118B"/>
    <w:rsid w:val="00D5125D"/>
    <w:rsid w:val="00D5159A"/>
    <w:rsid w:val="00D51938"/>
    <w:rsid w:val="00D51A2B"/>
    <w:rsid w:val="00D51F36"/>
    <w:rsid w:val="00D52081"/>
    <w:rsid w:val="00D520AA"/>
    <w:rsid w:val="00D52478"/>
    <w:rsid w:val="00D5249C"/>
    <w:rsid w:val="00D526A6"/>
    <w:rsid w:val="00D52E00"/>
    <w:rsid w:val="00D5338B"/>
    <w:rsid w:val="00D53545"/>
    <w:rsid w:val="00D537B0"/>
    <w:rsid w:val="00D537D4"/>
    <w:rsid w:val="00D53884"/>
    <w:rsid w:val="00D53B90"/>
    <w:rsid w:val="00D53C13"/>
    <w:rsid w:val="00D540B4"/>
    <w:rsid w:val="00D544FC"/>
    <w:rsid w:val="00D547ED"/>
    <w:rsid w:val="00D5484F"/>
    <w:rsid w:val="00D55021"/>
    <w:rsid w:val="00D550A8"/>
    <w:rsid w:val="00D5574B"/>
    <w:rsid w:val="00D55CEF"/>
    <w:rsid w:val="00D56525"/>
    <w:rsid w:val="00D5675E"/>
    <w:rsid w:val="00D56A2E"/>
    <w:rsid w:val="00D56AD9"/>
    <w:rsid w:val="00D57009"/>
    <w:rsid w:val="00D570F4"/>
    <w:rsid w:val="00D572A9"/>
    <w:rsid w:val="00D572AE"/>
    <w:rsid w:val="00D57371"/>
    <w:rsid w:val="00D573C2"/>
    <w:rsid w:val="00D573EB"/>
    <w:rsid w:val="00D5753D"/>
    <w:rsid w:val="00D60C03"/>
    <w:rsid w:val="00D60C84"/>
    <w:rsid w:val="00D60FB9"/>
    <w:rsid w:val="00D612AE"/>
    <w:rsid w:val="00D617B9"/>
    <w:rsid w:val="00D61913"/>
    <w:rsid w:val="00D61DC0"/>
    <w:rsid w:val="00D61FDE"/>
    <w:rsid w:val="00D620C6"/>
    <w:rsid w:val="00D624C5"/>
    <w:rsid w:val="00D6256F"/>
    <w:rsid w:val="00D62DDC"/>
    <w:rsid w:val="00D62EEA"/>
    <w:rsid w:val="00D630A0"/>
    <w:rsid w:val="00D631EB"/>
    <w:rsid w:val="00D634AC"/>
    <w:rsid w:val="00D635D0"/>
    <w:rsid w:val="00D63782"/>
    <w:rsid w:val="00D63A3E"/>
    <w:rsid w:val="00D63DD6"/>
    <w:rsid w:val="00D64021"/>
    <w:rsid w:val="00D6444A"/>
    <w:rsid w:val="00D64644"/>
    <w:rsid w:val="00D646CF"/>
    <w:rsid w:val="00D64830"/>
    <w:rsid w:val="00D648FF"/>
    <w:rsid w:val="00D64C59"/>
    <w:rsid w:val="00D65621"/>
    <w:rsid w:val="00D656A8"/>
    <w:rsid w:val="00D65B81"/>
    <w:rsid w:val="00D65CB7"/>
    <w:rsid w:val="00D6645C"/>
    <w:rsid w:val="00D669CF"/>
    <w:rsid w:val="00D66E2F"/>
    <w:rsid w:val="00D66E76"/>
    <w:rsid w:val="00D66F1F"/>
    <w:rsid w:val="00D67097"/>
    <w:rsid w:val="00D67787"/>
    <w:rsid w:val="00D67C1C"/>
    <w:rsid w:val="00D67F83"/>
    <w:rsid w:val="00D70CCE"/>
    <w:rsid w:val="00D70E20"/>
    <w:rsid w:val="00D71307"/>
    <w:rsid w:val="00D713E9"/>
    <w:rsid w:val="00D71410"/>
    <w:rsid w:val="00D7174F"/>
    <w:rsid w:val="00D71B46"/>
    <w:rsid w:val="00D72C26"/>
    <w:rsid w:val="00D7306B"/>
    <w:rsid w:val="00D73351"/>
    <w:rsid w:val="00D7343C"/>
    <w:rsid w:val="00D73925"/>
    <w:rsid w:val="00D73BC6"/>
    <w:rsid w:val="00D73E65"/>
    <w:rsid w:val="00D74058"/>
    <w:rsid w:val="00D741B2"/>
    <w:rsid w:val="00D7423E"/>
    <w:rsid w:val="00D74662"/>
    <w:rsid w:val="00D74AF6"/>
    <w:rsid w:val="00D74EFD"/>
    <w:rsid w:val="00D7504A"/>
    <w:rsid w:val="00D75238"/>
    <w:rsid w:val="00D756B1"/>
    <w:rsid w:val="00D7594B"/>
    <w:rsid w:val="00D759BA"/>
    <w:rsid w:val="00D75FE0"/>
    <w:rsid w:val="00D76105"/>
    <w:rsid w:val="00D76656"/>
    <w:rsid w:val="00D768C4"/>
    <w:rsid w:val="00D76B38"/>
    <w:rsid w:val="00D76CB1"/>
    <w:rsid w:val="00D76DB6"/>
    <w:rsid w:val="00D7763C"/>
    <w:rsid w:val="00D77B25"/>
    <w:rsid w:val="00D80563"/>
    <w:rsid w:val="00D80578"/>
    <w:rsid w:val="00D81322"/>
    <w:rsid w:val="00D813E3"/>
    <w:rsid w:val="00D81C62"/>
    <w:rsid w:val="00D81FB8"/>
    <w:rsid w:val="00D82308"/>
    <w:rsid w:val="00D8278D"/>
    <w:rsid w:val="00D83199"/>
    <w:rsid w:val="00D83F05"/>
    <w:rsid w:val="00D84666"/>
    <w:rsid w:val="00D846CA"/>
    <w:rsid w:val="00D850CE"/>
    <w:rsid w:val="00D852E8"/>
    <w:rsid w:val="00D85AE5"/>
    <w:rsid w:val="00D85B8E"/>
    <w:rsid w:val="00D861AF"/>
    <w:rsid w:val="00D86482"/>
    <w:rsid w:val="00D868CC"/>
    <w:rsid w:val="00D86F47"/>
    <w:rsid w:val="00D87AC7"/>
    <w:rsid w:val="00D90CF3"/>
    <w:rsid w:val="00D90F29"/>
    <w:rsid w:val="00D91731"/>
    <w:rsid w:val="00D91890"/>
    <w:rsid w:val="00D9197D"/>
    <w:rsid w:val="00D91B13"/>
    <w:rsid w:val="00D92213"/>
    <w:rsid w:val="00D9224C"/>
    <w:rsid w:val="00D92384"/>
    <w:rsid w:val="00D924B6"/>
    <w:rsid w:val="00D925E3"/>
    <w:rsid w:val="00D92A63"/>
    <w:rsid w:val="00D92C66"/>
    <w:rsid w:val="00D92DC6"/>
    <w:rsid w:val="00D93155"/>
    <w:rsid w:val="00D931F2"/>
    <w:rsid w:val="00D93728"/>
    <w:rsid w:val="00D93A59"/>
    <w:rsid w:val="00D93AE7"/>
    <w:rsid w:val="00D93EF4"/>
    <w:rsid w:val="00D9410D"/>
    <w:rsid w:val="00D942E3"/>
    <w:rsid w:val="00D945E8"/>
    <w:rsid w:val="00D946B6"/>
    <w:rsid w:val="00D94A8B"/>
    <w:rsid w:val="00D95043"/>
    <w:rsid w:val="00D95D02"/>
    <w:rsid w:val="00D960CA"/>
    <w:rsid w:val="00D967E2"/>
    <w:rsid w:val="00D96DC7"/>
    <w:rsid w:val="00D9708E"/>
    <w:rsid w:val="00D978E6"/>
    <w:rsid w:val="00D97D1B"/>
    <w:rsid w:val="00D97FCC"/>
    <w:rsid w:val="00DA0108"/>
    <w:rsid w:val="00DA091C"/>
    <w:rsid w:val="00DA18CB"/>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4C14"/>
    <w:rsid w:val="00DA512D"/>
    <w:rsid w:val="00DA59A0"/>
    <w:rsid w:val="00DA6ECD"/>
    <w:rsid w:val="00DA7578"/>
    <w:rsid w:val="00DA758F"/>
    <w:rsid w:val="00DA7D2B"/>
    <w:rsid w:val="00DA7E6D"/>
    <w:rsid w:val="00DB0F3B"/>
    <w:rsid w:val="00DB1117"/>
    <w:rsid w:val="00DB1232"/>
    <w:rsid w:val="00DB1375"/>
    <w:rsid w:val="00DB15F3"/>
    <w:rsid w:val="00DB182E"/>
    <w:rsid w:val="00DB1D2A"/>
    <w:rsid w:val="00DB1DBF"/>
    <w:rsid w:val="00DB2485"/>
    <w:rsid w:val="00DB2606"/>
    <w:rsid w:val="00DB2CB7"/>
    <w:rsid w:val="00DB2E32"/>
    <w:rsid w:val="00DB31F9"/>
    <w:rsid w:val="00DB3FE9"/>
    <w:rsid w:val="00DB419E"/>
    <w:rsid w:val="00DB4377"/>
    <w:rsid w:val="00DB5465"/>
    <w:rsid w:val="00DB5922"/>
    <w:rsid w:val="00DB5C61"/>
    <w:rsid w:val="00DB5F6A"/>
    <w:rsid w:val="00DB61E6"/>
    <w:rsid w:val="00DB6BED"/>
    <w:rsid w:val="00DB7109"/>
    <w:rsid w:val="00DB7114"/>
    <w:rsid w:val="00DB7B8F"/>
    <w:rsid w:val="00DB7DC7"/>
    <w:rsid w:val="00DC00D2"/>
    <w:rsid w:val="00DC02EE"/>
    <w:rsid w:val="00DC0D65"/>
    <w:rsid w:val="00DC108F"/>
    <w:rsid w:val="00DC123C"/>
    <w:rsid w:val="00DC1960"/>
    <w:rsid w:val="00DC246C"/>
    <w:rsid w:val="00DC2946"/>
    <w:rsid w:val="00DC29F0"/>
    <w:rsid w:val="00DC2ED5"/>
    <w:rsid w:val="00DC3074"/>
    <w:rsid w:val="00DC3727"/>
    <w:rsid w:val="00DC4295"/>
    <w:rsid w:val="00DC4317"/>
    <w:rsid w:val="00DC479D"/>
    <w:rsid w:val="00DC49D0"/>
    <w:rsid w:val="00DC50D4"/>
    <w:rsid w:val="00DC516B"/>
    <w:rsid w:val="00DC52DC"/>
    <w:rsid w:val="00DC54F0"/>
    <w:rsid w:val="00DC5812"/>
    <w:rsid w:val="00DC5BCF"/>
    <w:rsid w:val="00DC5C73"/>
    <w:rsid w:val="00DC6E9C"/>
    <w:rsid w:val="00DC70C7"/>
    <w:rsid w:val="00DC714F"/>
    <w:rsid w:val="00DC7448"/>
    <w:rsid w:val="00DC78EA"/>
    <w:rsid w:val="00DC7B68"/>
    <w:rsid w:val="00DC7DF8"/>
    <w:rsid w:val="00DC7E26"/>
    <w:rsid w:val="00DD00F8"/>
    <w:rsid w:val="00DD0386"/>
    <w:rsid w:val="00DD0423"/>
    <w:rsid w:val="00DD0464"/>
    <w:rsid w:val="00DD0663"/>
    <w:rsid w:val="00DD07C1"/>
    <w:rsid w:val="00DD0C54"/>
    <w:rsid w:val="00DD0E8B"/>
    <w:rsid w:val="00DD110C"/>
    <w:rsid w:val="00DD12D0"/>
    <w:rsid w:val="00DD1381"/>
    <w:rsid w:val="00DD17EB"/>
    <w:rsid w:val="00DD1917"/>
    <w:rsid w:val="00DD1FA3"/>
    <w:rsid w:val="00DD1FEA"/>
    <w:rsid w:val="00DD2BAE"/>
    <w:rsid w:val="00DD2C65"/>
    <w:rsid w:val="00DD332D"/>
    <w:rsid w:val="00DD3394"/>
    <w:rsid w:val="00DD356A"/>
    <w:rsid w:val="00DD3B53"/>
    <w:rsid w:val="00DD3F10"/>
    <w:rsid w:val="00DD3F4C"/>
    <w:rsid w:val="00DD4263"/>
    <w:rsid w:val="00DD4392"/>
    <w:rsid w:val="00DD4466"/>
    <w:rsid w:val="00DD4708"/>
    <w:rsid w:val="00DD4B96"/>
    <w:rsid w:val="00DD5733"/>
    <w:rsid w:val="00DD5A4C"/>
    <w:rsid w:val="00DD5BF2"/>
    <w:rsid w:val="00DD63B4"/>
    <w:rsid w:val="00DD64EB"/>
    <w:rsid w:val="00DD65A6"/>
    <w:rsid w:val="00DD67B5"/>
    <w:rsid w:val="00DD6B49"/>
    <w:rsid w:val="00DD6C4D"/>
    <w:rsid w:val="00DD7A98"/>
    <w:rsid w:val="00DD7F97"/>
    <w:rsid w:val="00DE021B"/>
    <w:rsid w:val="00DE0220"/>
    <w:rsid w:val="00DE06AB"/>
    <w:rsid w:val="00DE08A9"/>
    <w:rsid w:val="00DE0DA1"/>
    <w:rsid w:val="00DE0E07"/>
    <w:rsid w:val="00DE1203"/>
    <w:rsid w:val="00DE1809"/>
    <w:rsid w:val="00DE19D4"/>
    <w:rsid w:val="00DE1C7E"/>
    <w:rsid w:val="00DE1EB9"/>
    <w:rsid w:val="00DE2095"/>
    <w:rsid w:val="00DE20DD"/>
    <w:rsid w:val="00DE240B"/>
    <w:rsid w:val="00DE2BEB"/>
    <w:rsid w:val="00DE32DE"/>
    <w:rsid w:val="00DE390E"/>
    <w:rsid w:val="00DE3993"/>
    <w:rsid w:val="00DE3C85"/>
    <w:rsid w:val="00DE3E04"/>
    <w:rsid w:val="00DE3FBF"/>
    <w:rsid w:val="00DE5354"/>
    <w:rsid w:val="00DE5F3C"/>
    <w:rsid w:val="00DE6496"/>
    <w:rsid w:val="00DE6B1F"/>
    <w:rsid w:val="00DE6B62"/>
    <w:rsid w:val="00DE6F20"/>
    <w:rsid w:val="00DE76E6"/>
    <w:rsid w:val="00DE7810"/>
    <w:rsid w:val="00DE7C21"/>
    <w:rsid w:val="00DF08B7"/>
    <w:rsid w:val="00DF0BF6"/>
    <w:rsid w:val="00DF0FBA"/>
    <w:rsid w:val="00DF1054"/>
    <w:rsid w:val="00DF1108"/>
    <w:rsid w:val="00DF112B"/>
    <w:rsid w:val="00DF1230"/>
    <w:rsid w:val="00DF1550"/>
    <w:rsid w:val="00DF211A"/>
    <w:rsid w:val="00DF2AB4"/>
    <w:rsid w:val="00DF2B9A"/>
    <w:rsid w:val="00DF2BDE"/>
    <w:rsid w:val="00DF2C47"/>
    <w:rsid w:val="00DF2CE4"/>
    <w:rsid w:val="00DF2D95"/>
    <w:rsid w:val="00DF2E11"/>
    <w:rsid w:val="00DF2EEC"/>
    <w:rsid w:val="00DF30B7"/>
    <w:rsid w:val="00DF3614"/>
    <w:rsid w:val="00DF3748"/>
    <w:rsid w:val="00DF3F06"/>
    <w:rsid w:val="00DF3F93"/>
    <w:rsid w:val="00DF4322"/>
    <w:rsid w:val="00DF4760"/>
    <w:rsid w:val="00DF4F52"/>
    <w:rsid w:val="00DF5228"/>
    <w:rsid w:val="00DF526F"/>
    <w:rsid w:val="00DF5902"/>
    <w:rsid w:val="00DF5978"/>
    <w:rsid w:val="00DF5A4A"/>
    <w:rsid w:val="00DF5CCC"/>
    <w:rsid w:val="00DF6152"/>
    <w:rsid w:val="00DF616F"/>
    <w:rsid w:val="00DF6442"/>
    <w:rsid w:val="00DF69FF"/>
    <w:rsid w:val="00DF729E"/>
    <w:rsid w:val="00DF72CA"/>
    <w:rsid w:val="00DF77AD"/>
    <w:rsid w:val="00DF7EE0"/>
    <w:rsid w:val="00E003DC"/>
    <w:rsid w:val="00E00473"/>
    <w:rsid w:val="00E004AC"/>
    <w:rsid w:val="00E00D83"/>
    <w:rsid w:val="00E00E0C"/>
    <w:rsid w:val="00E01A13"/>
    <w:rsid w:val="00E01B5C"/>
    <w:rsid w:val="00E01CBE"/>
    <w:rsid w:val="00E01E4F"/>
    <w:rsid w:val="00E02482"/>
    <w:rsid w:val="00E02A50"/>
    <w:rsid w:val="00E02BB3"/>
    <w:rsid w:val="00E02E1A"/>
    <w:rsid w:val="00E030F0"/>
    <w:rsid w:val="00E03390"/>
    <w:rsid w:val="00E03594"/>
    <w:rsid w:val="00E035E9"/>
    <w:rsid w:val="00E037E6"/>
    <w:rsid w:val="00E03F6B"/>
    <w:rsid w:val="00E04078"/>
    <w:rsid w:val="00E0425D"/>
    <w:rsid w:val="00E0443E"/>
    <w:rsid w:val="00E04503"/>
    <w:rsid w:val="00E04725"/>
    <w:rsid w:val="00E04856"/>
    <w:rsid w:val="00E049BD"/>
    <w:rsid w:val="00E04A3C"/>
    <w:rsid w:val="00E04D33"/>
    <w:rsid w:val="00E04D4E"/>
    <w:rsid w:val="00E04E29"/>
    <w:rsid w:val="00E050AB"/>
    <w:rsid w:val="00E0526F"/>
    <w:rsid w:val="00E060F7"/>
    <w:rsid w:val="00E06248"/>
    <w:rsid w:val="00E064BE"/>
    <w:rsid w:val="00E065D9"/>
    <w:rsid w:val="00E06756"/>
    <w:rsid w:val="00E06906"/>
    <w:rsid w:val="00E06DD7"/>
    <w:rsid w:val="00E06FFF"/>
    <w:rsid w:val="00E072B0"/>
    <w:rsid w:val="00E075B5"/>
    <w:rsid w:val="00E0764E"/>
    <w:rsid w:val="00E07A05"/>
    <w:rsid w:val="00E101E6"/>
    <w:rsid w:val="00E104B2"/>
    <w:rsid w:val="00E10B95"/>
    <w:rsid w:val="00E10F08"/>
    <w:rsid w:val="00E1104B"/>
    <w:rsid w:val="00E113B2"/>
    <w:rsid w:val="00E1148A"/>
    <w:rsid w:val="00E1194F"/>
    <w:rsid w:val="00E127F9"/>
    <w:rsid w:val="00E12923"/>
    <w:rsid w:val="00E12CB3"/>
    <w:rsid w:val="00E13877"/>
    <w:rsid w:val="00E139CA"/>
    <w:rsid w:val="00E144C1"/>
    <w:rsid w:val="00E14536"/>
    <w:rsid w:val="00E14776"/>
    <w:rsid w:val="00E14986"/>
    <w:rsid w:val="00E14D54"/>
    <w:rsid w:val="00E15306"/>
    <w:rsid w:val="00E15489"/>
    <w:rsid w:val="00E15491"/>
    <w:rsid w:val="00E15784"/>
    <w:rsid w:val="00E158F6"/>
    <w:rsid w:val="00E15B76"/>
    <w:rsid w:val="00E15EEB"/>
    <w:rsid w:val="00E1670F"/>
    <w:rsid w:val="00E16790"/>
    <w:rsid w:val="00E167DC"/>
    <w:rsid w:val="00E16D68"/>
    <w:rsid w:val="00E171C0"/>
    <w:rsid w:val="00E175AF"/>
    <w:rsid w:val="00E175FE"/>
    <w:rsid w:val="00E2006A"/>
    <w:rsid w:val="00E201E9"/>
    <w:rsid w:val="00E205C0"/>
    <w:rsid w:val="00E20BE7"/>
    <w:rsid w:val="00E20DA3"/>
    <w:rsid w:val="00E21315"/>
    <w:rsid w:val="00E21AD3"/>
    <w:rsid w:val="00E21D7F"/>
    <w:rsid w:val="00E2232E"/>
    <w:rsid w:val="00E23329"/>
    <w:rsid w:val="00E235C8"/>
    <w:rsid w:val="00E23CDF"/>
    <w:rsid w:val="00E23D02"/>
    <w:rsid w:val="00E24240"/>
    <w:rsid w:val="00E24665"/>
    <w:rsid w:val="00E24920"/>
    <w:rsid w:val="00E24D2F"/>
    <w:rsid w:val="00E251FC"/>
    <w:rsid w:val="00E25235"/>
    <w:rsid w:val="00E25633"/>
    <w:rsid w:val="00E2583B"/>
    <w:rsid w:val="00E25DF0"/>
    <w:rsid w:val="00E2660A"/>
    <w:rsid w:val="00E26883"/>
    <w:rsid w:val="00E26935"/>
    <w:rsid w:val="00E26AC8"/>
    <w:rsid w:val="00E26E98"/>
    <w:rsid w:val="00E26F7C"/>
    <w:rsid w:val="00E26FFB"/>
    <w:rsid w:val="00E270A7"/>
    <w:rsid w:val="00E276BC"/>
    <w:rsid w:val="00E3010E"/>
    <w:rsid w:val="00E301DB"/>
    <w:rsid w:val="00E302BC"/>
    <w:rsid w:val="00E30311"/>
    <w:rsid w:val="00E30775"/>
    <w:rsid w:val="00E30B91"/>
    <w:rsid w:val="00E30D84"/>
    <w:rsid w:val="00E30E60"/>
    <w:rsid w:val="00E31055"/>
    <w:rsid w:val="00E31B1D"/>
    <w:rsid w:val="00E31E3C"/>
    <w:rsid w:val="00E3293F"/>
    <w:rsid w:val="00E32C3C"/>
    <w:rsid w:val="00E32EC7"/>
    <w:rsid w:val="00E33458"/>
    <w:rsid w:val="00E3356A"/>
    <w:rsid w:val="00E33CC7"/>
    <w:rsid w:val="00E3422D"/>
    <w:rsid w:val="00E342AE"/>
    <w:rsid w:val="00E3476F"/>
    <w:rsid w:val="00E35145"/>
    <w:rsid w:val="00E35500"/>
    <w:rsid w:val="00E36404"/>
    <w:rsid w:val="00E36763"/>
    <w:rsid w:val="00E36940"/>
    <w:rsid w:val="00E369EB"/>
    <w:rsid w:val="00E36F96"/>
    <w:rsid w:val="00E373BE"/>
    <w:rsid w:val="00E374E1"/>
    <w:rsid w:val="00E37B4B"/>
    <w:rsid w:val="00E37DD8"/>
    <w:rsid w:val="00E40B89"/>
    <w:rsid w:val="00E40CC5"/>
    <w:rsid w:val="00E40E9A"/>
    <w:rsid w:val="00E414F1"/>
    <w:rsid w:val="00E41700"/>
    <w:rsid w:val="00E419A3"/>
    <w:rsid w:val="00E41A3B"/>
    <w:rsid w:val="00E41AB2"/>
    <w:rsid w:val="00E41D4C"/>
    <w:rsid w:val="00E41FFF"/>
    <w:rsid w:val="00E42301"/>
    <w:rsid w:val="00E42325"/>
    <w:rsid w:val="00E4264D"/>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6FEC"/>
    <w:rsid w:val="00E47208"/>
    <w:rsid w:val="00E47839"/>
    <w:rsid w:val="00E47B20"/>
    <w:rsid w:val="00E50819"/>
    <w:rsid w:val="00E50AC6"/>
    <w:rsid w:val="00E51759"/>
    <w:rsid w:val="00E5179F"/>
    <w:rsid w:val="00E520D2"/>
    <w:rsid w:val="00E527FA"/>
    <w:rsid w:val="00E52FD0"/>
    <w:rsid w:val="00E530E0"/>
    <w:rsid w:val="00E531B3"/>
    <w:rsid w:val="00E53861"/>
    <w:rsid w:val="00E53A46"/>
    <w:rsid w:val="00E53EBE"/>
    <w:rsid w:val="00E53F09"/>
    <w:rsid w:val="00E544E3"/>
    <w:rsid w:val="00E54C70"/>
    <w:rsid w:val="00E55843"/>
    <w:rsid w:val="00E565B0"/>
    <w:rsid w:val="00E56B69"/>
    <w:rsid w:val="00E56BAF"/>
    <w:rsid w:val="00E5708C"/>
    <w:rsid w:val="00E57323"/>
    <w:rsid w:val="00E600E9"/>
    <w:rsid w:val="00E60185"/>
    <w:rsid w:val="00E608C2"/>
    <w:rsid w:val="00E60B83"/>
    <w:rsid w:val="00E611B7"/>
    <w:rsid w:val="00E6135C"/>
    <w:rsid w:val="00E61647"/>
    <w:rsid w:val="00E619F3"/>
    <w:rsid w:val="00E620B6"/>
    <w:rsid w:val="00E622DE"/>
    <w:rsid w:val="00E6277E"/>
    <w:rsid w:val="00E631F9"/>
    <w:rsid w:val="00E637A4"/>
    <w:rsid w:val="00E63861"/>
    <w:rsid w:val="00E64597"/>
    <w:rsid w:val="00E6462A"/>
    <w:rsid w:val="00E64907"/>
    <w:rsid w:val="00E64C97"/>
    <w:rsid w:val="00E65281"/>
    <w:rsid w:val="00E65497"/>
    <w:rsid w:val="00E656F0"/>
    <w:rsid w:val="00E65943"/>
    <w:rsid w:val="00E65B15"/>
    <w:rsid w:val="00E65E2D"/>
    <w:rsid w:val="00E65EB3"/>
    <w:rsid w:val="00E66517"/>
    <w:rsid w:val="00E66901"/>
    <w:rsid w:val="00E67366"/>
    <w:rsid w:val="00E6781C"/>
    <w:rsid w:val="00E67D06"/>
    <w:rsid w:val="00E7017E"/>
    <w:rsid w:val="00E7024D"/>
    <w:rsid w:val="00E7027C"/>
    <w:rsid w:val="00E7053F"/>
    <w:rsid w:val="00E70577"/>
    <w:rsid w:val="00E709DB"/>
    <w:rsid w:val="00E70C09"/>
    <w:rsid w:val="00E715C9"/>
    <w:rsid w:val="00E71705"/>
    <w:rsid w:val="00E71A4C"/>
    <w:rsid w:val="00E71AB1"/>
    <w:rsid w:val="00E71D83"/>
    <w:rsid w:val="00E71DAD"/>
    <w:rsid w:val="00E71E2C"/>
    <w:rsid w:val="00E71EC2"/>
    <w:rsid w:val="00E720C1"/>
    <w:rsid w:val="00E7258E"/>
    <w:rsid w:val="00E726B8"/>
    <w:rsid w:val="00E7271C"/>
    <w:rsid w:val="00E72721"/>
    <w:rsid w:val="00E72977"/>
    <w:rsid w:val="00E738E0"/>
    <w:rsid w:val="00E738F2"/>
    <w:rsid w:val="00E73985"/>
    <w:rsid w:val="00E73B9F"/>
    <w:rsid w:val="00E74711"/>
    <w:rsid w:val="00E74B94"/>
    <w:rsid w:val="00E74CA4"/>
    <w:rsid w:val="00E74F0A"/>
    <w:rsid w:val="00E7544A"/>
    <w:rsid w:val="00E754CC"/>
    <w:rsid w:val="00E755E2"/>
    <w:rsid w:val="00E75D13"/>
    <w:rsid w:val="00E75F2C"/>
    <w:rsid w:val="00E76B67"/>
    <w:rsid w:val="00E775CC"/>
    <w:rsid w:val="00E776D6"/>
    <w:rsid w:val="00E7789F"/>
    <w:rsid w:val="00E77FE7"/>
    <w:rsid w:val="00E804DE"/>
    <w:rsid w:val="00E80853"/>
    <w:rsid w:val="00E80902"/>
    <w:rsid w:val="00E80C8C"/>
    <w:rsid w:val="00E81007"/>
    <w:rsid w:val="00E810D4"/>
    <w:rsid w:val="00E811B2"/>
    <w:rsid w:val="00E815F3"/>
    <w:rsid w:val="00E81712"/>
    <w:rsid w:val="00E818D2"/>
    <w:rsid w:val="00E8196E"/>
    <w:rsid w:val="00E81CAD"/>
    <w:rsid w:val="00E821D2"/>
    <w:rsid w:val="00E82540"/>
    <w:rsid w:val="00E825E5"/>
    <w:rsid w:val="00E82945"/>
    <w:rsid w:val="00E82975"/>
    <w:rsid w:val="00E82ADF"/>
    <w:rsid w:val="00E82B3D"/>
    <w:rsid w:val="00E82C03"/>
    <w:rsid w:val="00E82E88"/>
    <w:rsid w:val="00E83B5D"/>
    <w:rsid w:val="00E83C84"/>
    <w:rsid w:val="00E83F2B"/>
    <w:rsid w:val="00E84256"/>
    <w:rsid w:val="00E84681"/>
    <w:rsid w:val="00E8469C"/>
    <w:rsid w:val="00E84894"/>
    <w:rsid w:val="00E84E89"/>
    <w:rsid w:val="00E85441"/>
    <w:rsid w:val="00E8555B"/>
    <w:rsid w:val="00E858AC"/>
    <w:rsid w:val="00E8663A"/>
    <w:rsid w:val="00E866A5"/>
    <w:rsid w:val="00E86CEC"/>
    <w:rsid w:val="00E86DDC"/>
    <w:rsid w:val="00E873CD"/>
    <w:rsid w:val="00E8741B"/>
    <w:rsid w:val="00E878BA"/>
    <w:rsid w:val="00E87923"/>
    <w:rsid w:val="00E87AB8"/>
    <w:rsid w:val="00E87B3F"/>
    <w:rsid w:val="00E87C98"/>
    <w:rsid w:val="00E9033D"/>
    <w:rsid w:val="00E90596"/>
    <w:rsid w:val="00E90738"/>
    <w:rsid w:val="00E907B3"/>
    <w:rsid w:val="00E90976"/>
    <w:rsid w:val="00E90D21"/>
    <w:rsid w:val="00E90F39"/>
    <w:rsid w:val="00E9164F"/>
    <w:rsid w:val="00E91AC6"/>
    <w:rsid w:val="00E91E41"/>
    <w:rsid w:val="00E920B5"/>
    <w:rsid w:val="00E922D1"/>
    <w:rsid w:val="00E9235F"/>
    <w:rsid w:val="00E927EE"/>
    <w:rsid w:val="00E92AB4"/>
    <w:rsid w:val="00E932D8"/>
    <w:rsid w:val="00E933C0"/>
    <w:rsid w:val="00E93762"/>
    <w:rsid w:val="00E93B5E"/>
    <w:rsid w:val="00E93C4B"/>
    <w:rsid w:val="00E940D2"/>
    <w:rsid w:val="00E94130"/>
    <w:rsid w:val="00E94490"/>
    <w:rsid w:val="00E94593"/>
    <w:rsid w:val="00E94872"/>
    <w:rsid w:val="00E94F6B"/>
    <w:rsid w:val="00E95A7A"/>
    <w:rsid w:val="00E96291"/>
    <w:rsid w:val="00E963AE"/>
    <w:rsid w:val="00E96703"/>
    <w:rsid w:val="00E9674E"/>
    <w:rsid w:val="00E9676C"/>
    <w:rsid w:val="00E96A0C"/>
    <w:rsid w:val="00E97054"/>
    <w:rsid w:val="00E970D3"/>
    <w:rsid w:val="00E97967"/>
    <w:rsid w:val="00E979BA"/>
    <w:rsid w:val="00E97B94"/>
    <w:rsid w:val="00E97E36"/>
    <w:rsid w:val="00E97F27"/>
    <w:rsid w:val="00EA0915"/>
    <w:rsid w:val="00EA0B27"/>
    <w:rsid w:val="00EA0B45"/>
    <w:rsid w:val="00EA0D1D"/>
    <w:rsid w:val="00EA0FE2"/>
    <w:rsid w:val="00EA121D"/>
    <w:rsid w:val="00EA13C4"/>
    <w:rsid w:val="00EA1421"/>
    <w:rsid w:val="00EA18E2"/>
    <w:rsid w:val="00EA1A67"/>
    <w:rsid w:val="00EA1A6F"/>
    <w:rsid w:val="00EA2360"/>
    <w:rsid w:val="00EA2497"/>
    <w:rsid w:val="00EA24A8"/>
    <w:rsid w:val="00EA2654"/>
    <w:rsid w:val="00EA2698"/>
    <w:rsid w:val="00EA2EF8"/>
    <w:rsid w:val="00EA33D0"/>
    <w:rsid w:val="00EA345D"/>
    <w:rsid w:val="00EA3488"/>
    <w:rsid w:val="00EA36DB"/>
    <w:rsid w:val="00EA3C90"/>
    <w:rsid w:val="00EA3F95"/>
    <w:rsid w:val="00EA4458"/>
    <w:rsid w:val="00EA4F7D"/>
    <w:rsid w:val="00EA50AE"/>
    <w:rsid w:val="00EA5146"/>
    <w:rsid w:val="00EA5223"/>
    <w:rsid w:val="00EA53FF"/>
    <w:rsid w:val="00EA5790"/>
    <w:rsid w:val="00EA5AD4"/>
    <w:rsid w:val="00EA5F38"/>
    <w:rsid w:val="00EA5FAD"/>
    <w:rsid w:val="00EA603B"/>
    <w:rsid w:val="00EA6128"/>
    <w:rsid w:val="00EA61DE"/>
    <w:rsid w:val="00EA63FA"/>
    <w:rsid w:val="00EA6699"/>
    <w:rsid w:val="00EA6992"/>
    <w:rsid w:val="00EA6BD6"/>
    <w:rsid w:val="00EA6F72"/>
    <w:rsid w:val="00EA787A"/>
    <w:rsid w:val="00EA79F7"/>
    <w:rsid w:val="00EA7F2C"/>
    <w:rsid w:val="00EB0097"/>
    <w:rsid w:val="00EB01B8"/>
    <w:rsid w:val="00EB020D"/>
    <w:rsid w:val="00EB0C59"/>
    <w:rsid w:val="00EB0D28"/>
    <w:rsid w:val="00EB0E89"/>
    <w:rsid w:val="00EB162D"/>
    <w:rsid w:val="00EB1676"/>
    <w:rsid w:val="00EB16CE"/>
    <w:rsid w:val="00EB173D"/>
    <w:rsid w:val="00EB1909"/>
    <w:rsid w:val="00EB1E13"/>
    <w:rsid w:val="00EB1FB1"/>
    <w:rsid w:val="00EB1FDA"/>
    <w:rsid w:val="00EB26E6"/>
    <w:rsid w:val="00EB290D"/>
    <w:rsid w:val="00EB2E5A"/>
    <w:rsid w:val="00EB2FA2"/>
    <w:rsid w:val="00EB3189"/>
    <w:rsid w:val="00EB389C"/>
    <w:rsid w:val="00EB393C"/>
    <w:rsid w:val="00EB3C4F"/>
    <w:rsid w:val="00EB3E39"/>
    <w:rsid w:val="00EB433B"/>
    <w:rsid w:val="00EB48FA"/>
    <w:rsid w:val="00EB49C4"/>
    <w:rsid w:val="00EB4F3B"/>
    <w:rsid w:val="00EB52E2"/>
    <w:rsid w:val="00EB539C"/>
    <w:rsid w:val="00EB5657"/>
    <w:rsid w:val="00EB7469"/>
    <w:rsid w:val="00EB7E24"/>
    <w:rsid w:val="00EC0385"/>
    <w:rsid w:val="00EC0E57"/>
    <w:rsid w:val="00EC0F24"/>
    <w:rsid w:val="00EC1070"/>
    <w:rsid w:val="00EC11A9"/>
    <w:rsid w:val="00EC12E0"/>
    <w:rsid w:val="00EC14B1"/>
    <w:rsid w:val="00EC166F"/>
    <w:rsid w:val="00EC1C82"/>
    <w:rsid w:val="00EC1DBC"/>
    <w:rsid w:val="00EC2142"/>
    <w:rsid w:val="00EC21C7"/>
    <w:rsid w:val="00EC2488"/>
    <w:rsid w:val="00EC2E58"/>
    <w:rsid w:val="00EC3933"/>
    <w:rsid w:val="00EC41C5"/>
    <w:rsid w:val="00EC437C"/>
    <w:rsid w:val="00EC4472"/>
    <w:rsid w:val="00EC4521"/>
    <w:rsid w:val="00EC4B2E"/>
    <w:rsid w:val="00EC4CF6"/>
    <w:rsid w:val="00EC4D2C"/>
    <w:rsid w:val="00EC4F2C"/>
    <w:rsid w:val="00EC4F93"/>
    <w:rsid w:val="00EC586C"/>
    <w:rsid w:val="00EC5B4C"/>
    <w:rsid w:val="00EC642F"/>
    <w:rsid w:val="00EC6439"/>
    <w:rsid w:val="00EC65FA"/>
    <w:rsid w:val="00EC667C"/>
    <w:rsid w:val="00EC6D0B"/>
    <w:rsid w:val="00EC6D19"/>
    <w:rsid w:val="00EC7A87"/>
    <w:rsid w:val="00EC7E03"/>
    <w:rsid w:val="00EC7EC8"/>
    <w:rsid w:val="00EC7FB9"/>
    <w:rsid w:val="00ED0155"/>
    <w:rsid w:val="00ED0401"/>
    <w:rsid w:val="00ED0452"/>
    <w:rsid w:val="00ED0988"/>
    <w:rsid w:val="00ED0CFD"/>
    <w:rsid w:val="00ED0E6E"/>
    <w:rsid w:val="00ED1281"/>
    <w:rsid w:val="00ED1E77"/>
    <w:rsid w:val="00ED2BA4"/>
    <w:rsid w:val="00ED2C7D"/>
    <w:rsid w:val="00ED2DAE"/>
    <w:rsid w:val="00ED317B"/>
    <w:rsid w:val="00ED3790"/>
    <w:rsid w:val="00ED3795"/>
    <w:rsid w:val="00ED3A70"/>
    <w:rsid w:val="00ED4050"/>
    <w:rsid w:val="00ED44A5"/>
    <w:rsid w:val="00ED5136"/>
    <w:rsid w:val="00ED5271"/>
    <w:rsid w:val="00ED5402"/>
    <w:rsid w:val="00ED638C"/>
    <w:rsid w:val="00ED6457"/>
    <w:rsid w:val="00ED6665"/>
    <w:rsid w:val="00ED6724"/>
    <w:rsid w:val="00ED7120"/>
    <w:rsid w:val="00ED7123"/>
    <w:rsid w:val="00ED72E0"/>
    <w:rsid w:val="00ED73D2"/>
    <w:rsid w:val="00ED7AA4"/>
    <w:rsid w:val="00EE017E"/>
    <w:rsid w:val="00EE062A"/>
    <w:rsid w:val="00EE08B1"/>
    <w:rsid w:val="00EE0B9A"/>
    <w:rsid w:val="00EE113A"/>
    <w:rsid w:val="00EE13B9"/>
    <w:rsid w:val="00EE1478"/>
    <w:rsid w:val="00EE15B8"/>
    <w:rsid w:val="00EE165B"/>
    <w:rsid w:val="00EE17E6"/>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07A"/>
    <w:rsid w:val="00EE4247"/>
    <w:rsid w:val="00EE4405"/>
    <w:rsid w:val="00EE4935"/>
    <w:rsid w:val="00EE496F"/>
    <w:rsid w:val="00EE504E"/>
    <w:rsid w:val="00EE50D1"/>
    <w:rsid w:val="00EE522F"/>
    <w:rsid w:val="00EE532B"/>
    <w:rsid w:val="00EE5D32"/>
    <w:rsid w:val="00EE6835"/>
    <w:rsid w:val="00EE6B60"/>
    <w:rsid w:val="00EE79B6"/>
    <w:rsid w:val="00EE7C11"/>
    <w:rsid w:val="00EE7E69"/>
    <w:rsid w:val="00EF14F1"/>
    <w:rsid w:val="00EF1CCC"/>
    <w:rsid w:val="00EF2135"/>
    <w:rsid w:val="00EF312F"/>
    <w:rsid w:val="00EF333D"/>
    <w:rsid w:val="00EF379D"/>
    <w:rsid w:val="00EF394C"/>
    <w:rsid w:val="00EF3978"/>
    <w:rsid w:val="00EF3D27"/>
    <w:rsid w:val="00EF3D5E"/>
    <w:rsid w:val="00EF3DC4"/>
    <w:rsid w:val="00EF3FCD"/>
    <w:rsid w:val="00EF4092"/>
    <w:rsid w:val="00EF429E"/>
    <w:rsid w:val="00EF46B2"/>
    <w:rsid w:val="00EF4BC9"/>
    <w:rsid w:val="00EF58FC"/>
    <w:rsid w:val="00EF5910"/>
    <w:rsid w:val="00EF5DC9"/>
    <w:rsid w:val="00EF5EC0"/>
    <w:rsid w:val="00EF5FA0"/>
    <w:rsid w:val="00EF61DD"/>
    <w:rsid w:val="00EF624E"/>
    <w:rsid w:val="00EF63A2"/>
    <w:rsid w:val="00EF64C5"/>
    <w:rsid w:val="00EF6D96"/>
    <w:rsid w:val="00EF7EF1"/>
    <w:rsid w:val="00F0022E"/>
    <w:rsid w:val="00F0050C"/>
    <w:rsid w:val="00F00661"/>
    <w:rsid w:val="00F00D6D"/>
    <w:rsid w:val="00F00E5B"/>
    <w:rsid w:val="00F00E63"/>
    <w:rsid w:val="00F01546"/>
    <w:rsid w:val="00F01904"/>
    <w:rsid w:val="00F01F57"/>
    <w:rsid w:val="00F02234"/>
    <w:rsid w:val="00F02362"/>
    <w:rsid w:val="00F025A7"/>
    <w:rsid w:val="00F02B4C"/>
    <w:rsid w:val="00F03061"/>
    <w:rsid w:val="00F03464"/>
    <w:rsid w:val="00F03868"/>
    <w:rsid w:val="00F03ABC"/>
    <w:rsid w:val="00F03E0D"/>
    <w:rsid w:val="00F044EE"/>
    <w:rsid w:val="00F0483D"/>
    <w:rsid w:val="00F04C8D"/>
    <w:rsid w:val="00F05007"/>
    <w:rsid w:val="00F0541C"/>
    <w:rsid w:val="00F0592B"/>
    <w:rsid w:val="00F05AC5"/>
    <w:rsid w:val="00F05B02"/>
    <w:rsid w:val="00F05C55"/>
    <w:rsid w:val="00F05C8A"/>
    <w:rsid w:val="00F06040"/>
    <w:rsid w:val="00F0665F"/>
    <w:rsid w:val="00F067C2"/>
    <w:rsid w:val="00F069E5"/>
    <w:rsid w:val="00F06D93"/>
    <w:rsid w:val="00F06ED3"/>
    <w:rsid w:val="00F06FC0"/>
    <w:rsid w:val="00F07216"/>
    <w:rsid w:val="00F0782C"/>
    <w:rsid w:val="00F0789F"/>
    <w:rsid w:val="00F07B27"/>
    <w:rsid w:val="00F07B7B"/>
    <w:rsid w:val="00F07BBF"/>
    <w:rsid w:val="00F102E7"/>
    <w:rsid w:val="00F10323"/>
    <w:rsid w:val="00F10747"/>
    <w:rsid w:val="00F10B61"/>
    <w:rsid w:val="00F10D61"/>
    <w:rsid w:val="00F11267"/>
    <w:rsid w:val="00F112E0"/>
    <w:rsid w:val="00F11986"/>
    <w:rsid w:val="00F11CAF"/>
    <w:rsid w:val="00F1260D"/>
    <w:rsid w:val="00F1286C"/>
    <w:rsid w:val="00F1292B"/>
    <w:rsid w:val="00F13C23"/>
    <w:rsid w:val="00F1440E"/>
    <w:rsid w:val="00F14658"/>
    <w:rsid w:val="00F14800"/>
    <w:rsid w:val="00F148D5"/>
    <w:rsid w:val="00F14AC6"/>
    <w:rsid w:val="00F14B92"/>
    <w:rsid w:val="00F14CD8"/>
    <w:rsid w:val="00F14D80"/>
    <w:rsid w:val="00F14F7E"/>
    <w:rsid w:val="00F15233"/>
    <w:rsid w:val="00F152EF"/>
    <w:rsid w:val="00F152F9"/>
    <w:rsid w:val="00F163A8"/>
    <w:rsid w:val="00F163D6"/>
    <w:rsid w:val="00F164AE"/>
    <w:rsid w:val="00F1696B"/>
    <w:rsid w:val="00F16987"/>
    <w:rsid w:val="00F16E3C"/>
    <w:rsid w:val="00F1719A"/>
    <w:rsid w:val="00F17397"/>
    <w:rsid w:val="00F175BE"/>
    <w:rsid w:val="00F17A72"/>
    <w:rsid w:val="00F17F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3B68"/>
    <w:rsid w:val="00F243D1"/>
    <w:rsid w:val="00F24AA4"/>
    <w:rsid w:val="00F24D07"/>
    <w:rsid w:val="00F24E2F"/>
    <w:rsid w:val="00F25165"/>
    <w:rsid w:val="00F254D1"/>
    <w:rsid w:val="00F256FB"/>
    <w:rsid w:val="00F25A03"/>
    <w:rsid w:val="00F25CEE"/>
    <w:rsid w:val="00F26C82"/>
    <w:rsid w:val="00F26DC9"/>
    <w:rsid w:val="00F27447"/>
    <w:rsid w:val="00F275BB"/>
    <w:rsid w:val="00F27747"/>
    <w:rsid w:val="00F27AEA"/>
    <w:rsid w:val="00F27BDB"/>
    <w:rsid w:val="00F27CBA"/>
    <w:rsid w:val="00F27D8D"/>
    <w:rsid w:val="00F27F0A"/>
    <w:rsid w:val="00F27FB9"/>
    <w:rsid w:val="00F3015B"/>
    <w:rsid w:val="00F303B7"/>
    <w:rsid w:val="00F30424"/>
    <w:rsid w:val="00F308C0"/>
    <w:rsid w:val="00F30CE6"/>
    <w:rsid w:val="00F30F92"/>
    <w:rsid w:val="00F312FF"/>
    <w:rsid w:val="00F3141D"/>
    <w:rsid w:val="00F3171C"/>
    <w:rsid w:val="00F31DA6"/>
    <w:rsid w:val="00F32F3D"/>
    <w:rsid w:val="00F33072"/>
    <w:rsid w:val="00F33342"/>
    <w:rsid w:val="00F335AB"/>
    <w:rsid w:val="00F33DB5"/>
    <w:rsid w:val="00F341D9"/>
    <w:rsid w:val="00F34D0D"/>
    <w:rsid w:val="00F34F22"/>
    <w:rsid w:val="00F354A2"/>
    <w:rsid w:val="00F35C11"/>
    <w:rsid w:val="00F35CE2"/>
    <w:rsid w:val="00F36238"/>
    <w:rsid w:val="00F36893"/>
    <w:rsid w:val="00F36FEE"/>
    <w:rsid w:val="00F37343"/>
    <w:rsid w:val="00F3758E"/>
    <w:rsid w:val="00F37AD2"/>
    <w:rsid w:val="00F37CD4"/>
    <w:rsid w:val="00F37D25"/>
    <w:rsid w:val="00F40017"/>
    <w:rsid w:val="00F4001C"/>
    <w:rsid w:val="00F404A2"/>
    <w:rsid w:val="00F40557"/>
    <w:rsid w:val="00F408CC"/>
    <w:rsid w:val="00F40BC6"/>
    <w:rsid w:val="00F416E9"/>
    <w:rsid w:val="00F41C10"/>
    <w:rsid w:val="00F41C82"/>
    <w:rsid w:val="00F41DFD"/>
    <w:rsid w:val="00F41EB3"/>
    <w:rsid w:val="00F41F14"/>
    <w:rsid w:val="00F41F66"/>
    <w:rsid w:val="00F42051"/>
    <w:rsid w:val="00F42148"/>
    <w:rsid w:val="00F424D5"/>
    <w:rsid w:val="00F4284A"/>
    <w:rsid w:val="00F4335E"/>
    <w:rsid w:val="00F4344F"/>
    <w:rsid w:val="00F4362A"/>
    <w:rsid w:val="00F43D92"/>
    <w:rsid w:val="00F447A9"/>
    <w:rsid w:val="00F44EEC"/>
    <w:rsid w:val="00F44F20"/>
    <w:rsid w:val="00F450BB"/>
    <w:rsid w:val="00F4527D"/>
    <w:rsid w:val="00F455F1"/>
    <w:rsid w:val="00F45979"/>
    <w:rsid w:val="00F45A20"/>
    <w:rsid w:val="00F45E5F"/>
    <w:rsid w:val="00F4617C"/>
    <w:rsid w:val="00F461F0"/>
    <w:rsid w:val="00F46524"/>
    <w:rsid w:val="00F46612"/>
    <w:rsid w:val="00F466D8"/>
    <w:rsid w:val="00F46872"/>
    <w:rsid w:val="00F46B6C"/>
    <w:rsid w:val="00F46FDA"/>
    <w:rsid w:val="00F478F9"/>
    <w:rsid w:val="00F47BE1"/>
    <w:rsid w:val="00F50373"/>
    <w:rsid w:val="00F50455"/>
    <w:rsid w:val="00F50472"/>
    <w:rsid w:val="00F508E5"/>
    <w:rsid w:val="00F50F6F"/>
    <w:rsid w:val="00F51135"/>
    <w:rsid w:val="00F51145"/>
    <w:rsid w:val="00F52510"/>
    <w:rsid w:val="00F52651"/>
    <w:rsid w:val="00F534F0"/>
    <w:rsid w:val="00F5369E"/>
    <w:rsid w:val="00F53AC7"/>
    <w:rsid w:val="00F53D69"/>
    <w:rsid w:val="00F53DA4"/>
    <w:rsid w:val="00F53E3D"/>
    <w:rsid w:val="00F5404A"/>
    <w:rsid w:val="00F543D3"/>
    <w:rsid w:val="00F54535"/>
    <w:rsid w:val="00F54605"/>
    <w:rsid w:val="00F547CC"/>
    <w:rsid w:val="00F5490A"/>
    <w:rsid w:val="00F5496E"/>
    <w:rsid w:val="00F54B61"/>
    <w:rsid w:val="00F54F28"/>
    <w:rsid w:val="00F54FF7"/>
    <w:rsid w:val="00F556E8"/>
    <w:rsid w:val="00F55AE5"/>
    <w:rsid w:val="00F56268"/>
    <w:rsid w:val="00F56646"/>
    <w:rsid w:val="00F569B0"/>
    <w:rsid w:val="00F56AE0"/>
    <w:rsid w:val="00F56CAB"/>
    <w:rsid w:val="00F56CB0"/>
    <w:rsid w:val="00F57009"/>
    <w:rsid w:val="00F57390"/>
    <w:rsid w:val="00F57AFF"/>
    <w:rsid w:val="00F60152"/>
    <w:rsid w:val="00F6016C"/>
    <w:rsid w:val="00F602A2"/>
    <w:rsid w:val="00F60757"/>
    <w:rsid w:val="00F608C1"/>
    <w:rsid w:val="00F60913"/>
    <w:rsid w:val="00F6099D"/>
    <w:rsid w:val="00F60A7A"/>
    <w:rsid w:val="00F60BBF"/>
    <w:rsid w:val="00F60BE6"/>
    <w:rsid w:val="00F60E68"/>
    <w:rsid w:val="00F61248"/>
    <w:rsid w:val="00F62182"/>
    <w:rsid w:val="00F62C59"/>
    <w:rsid w:val="00F62EC4"/>
    <w:rsid w:val="00F62FC5"/>
    <w:rsid w:val="00F63A96"/>
    <w:rsid w:val="00F63C1B"/>
    <w:rsid w:val="00F63F47"/>
    <w:rsid w:val="00F648FA"/>
    <w:rsid w:val="00F64AAF"/>
    <w:rsid w:val="00F64C9D"/>
    <w:rsid w:val="00F65358"/>
    <w:rsid w:val="00F65478"/>
    <w:rsid w:val="00F658D4"/>
    <w:rsid w:val="00F65B91"/>
    <w:rsid w:val="00F65D1E"/>
    <w:rsid w:val="00F65D75"/>
    <w:rsid w:val="00F6633F"/>
    <w:rsid w:val="00F66562"/>
    <w:rsid w:val="00F66EC0"/>
    <w:rsid w:val="00F66F77"/>
    <w:rsid w:val="00F6712C"/>
    <w:rsid w:val="00F67157"/>
    <w:rsid w:val="00F67191"/>
    <w:rsid w:val="00F67484"/>
    <w:rsid w:val="00F674F8"/>
    <w:rsid w:val="00F67703"/>
    <w:rsid w:val="00F67968"/>
    <w:rsid w:val="00F679B3"/>
    <w:rsid w:val="00F67BDD"/>
    <w:rsid w:val="00F67D88"/>
    <w:rsid w:val="00F67E65"/>
    <w:rsid w:val="00F70404"/>
    <w:rsid w:val="00F70B7D"/>
    <w:rsid w:val="00F70F2A"/>
    <w:rsid w:val="00F71223"/>
    <w:rsid w:val="00F71243"/>
    <w:rsid w:val="00F716E6"/>
    <w:rsid w:val="00F71C81"/>
    <w:rsid w:val="00F71EE0"/>
    <w:rsid w:val="00F71F8B"/>
    <w:rsid w:val="00F72079"/>
    <w:rsid w:val="00F724C2"/>
    <w:rsid w:val="00F72B08"/>
    <w:rsid w:val="00F7302C"/>
    <w:rsid w:val="00F73282"/>
    <w:rsid w:val="00F734FB"/>
    <w:rsid w:val="00F73A2E"/>
    <w:rsid w:val="00F73A8A"/>
    <w:rsid w:val="00F73EB6"/>
    <w:rsid w:val="00F74088"/>
    <w:rsid w:val="00F743E8"/>
    <w:rsid w:val="00F746E9"/>
    <w:rsid w:val="00F74982"/>
    <w:rsid w:val="00F74AF1"/>
    <w:rsid w:val="00F74F5C"/>
    <w:rsid w:val="00F750CB"/>
    <w:rsid w:val="00F75230"/>
    <w:rsid w:val="00F75615"/>
    <w:rsid w:val="00F75667"/>
    <w:rsid w:val="00F75D50"/>
    <w:rsid w:val="00F75F22"/>
    <w:rsid w:val="00F76026"/>
    <w:rsid w:val="00F76555"/>
    <w:rsid w:val="00F766C9"/>
    <w:rsid w:val="00F76777"/>
    <w:rsid w:val="00F76817"/>
    <w:rsid w:val="00F76A83"/>
    <w:rsid w:val="00F76DBC"/>
    <w:rsid w:val="00F7720B"/>
    <w:rsid w:val="00F77763"/>
    <w:rsid w:val="00F778C5"/>
    <w:rsid w:val="00F77A87"/>
    <w:rsid w:val="00F77E1A"/>
    <w:rsid w:val="00F8060E"/>
    <w:rsid w:val="00F80640"/>
    <w:rsid w:val="00F812B0"/>
    <w:rsid w:val="00F817D3"/>
    <w:rsid w:val="00F819AC"/>
    <w:rsid w:val="00F81A5B"/>
    <w:rsid w:val="00F81AFD"/>
    <w:rsid w:val="00F827BB"/>
    <w:rsid w:val="00F82DCB"/>
    <w:rsid w:val="00F82F24"/>
    <w:rsid w:val="00F83400"/>
    <w:rsid w:val="00F839EF"/>
    <w:rsid w:val="00F83E05"/>
    <w:rsid w:val="00F83E51"/>
    <w:rsid w:val="00F83F67"/>
    <w:rsid w:val="00F845D3"/>
    <w:rsid w:val="00F846E6"/>
    <w:rsid w:val="00F84CD5"/>
    <w:rsid w:val="00F84D82"/>
    <w:rsid w:val="00F85425"/>
    <w:rsid w:val="00F8543F"/>
    <w:rsid w:val="00F855B4"/>
    <w:rsid w:val="00F85AD6"/>
    <w:rsid w:val="00F85C47"/>
    <w:rsid w:val="00F86020"/>
    <w:rsid w:val="00F8617C"/>
    <w:rsid w:val="00F862B3"/>
    <w:rsid w:val="00F86643"/>
    <w:rsid w:val="00F86701"/>
    <w:rsid w:val="00F86862"/>
    <w:rsid w:val="00F86D84"/>
    <w:rsid w:val="00F86DC9"/>
    <w:rsid w:val="00F8759B"/>
    <w:rsid w:val="00F87964"/>
    <w:rsid w:val="00F901F1"/>
    <w:rsid w:val="00F90457"/>
    <w:rsid w:val="00F90868"/>
    <w:rsid w:val="00F90D5D"/>
    <w:rsid w:val="00F91383"/>
    <w:rsid w:val="00F91ACA"/>
    <w:rsid w:val="00F91CE9"/>
    <w:rsid w:val="00F91E5C"/>
    <w:rsid w:val="00F922C5"/>
    <w:rsid w:val="00F924EB"/>
    <w:rsid w:val="00F926E4"/>
    <w:rsid w:val="00F927A0"/>
    <w:rsid w:val="00F92D55"/>
    <w:rsid w:val="00F9371B"/>
    <w:rsid w:val="00F94558"/>
    <w:rsid w:val="00F94595"/>
    <w:rsid w:val="00F947A7"/>
    <w:rsid w:val="00F949FD"/>
    <w:rsid w:val="00F94A4F"/>
    <w:rsid w:val="00F94AE1"/>
    <w:rsid w:val="00F94FFA"/>
    <w:rsid w:val="00F9519E"/>
    <w:rsid w:val="00F95414"/>
    <w:rsid w:val="00F955E3"/>
    <w:rsid w:val="00F9641F"/>
    <w:rsid w:val="00F96799"/>
    <w:rsid w:val="00F96BB6"/>
    <w:rsid w:val="00F96E4E"/>
    <w:rsid w:val="00F96F7E"/>
    <w:rsid w:val="00F975C1"/>
    <w:rsid w:val="00F9794A"/>
    <w:rsid w:val="00FA018C"/>
    <w:rsid w:val="00FA03BA"/>
    <w:rsid w:val="00FA049F"/>
    <w:rsid w:val="00FA058E"/>
    <w:rsid w:val="00FA0685"/>
    <w:rsid w:val="00FA0F75"/>
    <w:rsid w:val="00FA0FF4"/>
    <w:rsid w:val="00FA14E4"/>
    <w:rsid w:val="00FA1B46"/>
    <w:rsid w:val="00FA1C45"/>
    <w:rsid w:val="00FA1CD3"/>
    <w:rsid w:val="00FA1F84"/>
    <w:rsid w:val="00FA26A9"/>
    <w:rsid w:val="00FA2F92"/>
    <w:rsid w:val="00FA31C9"/>
    <w:rsid w:val="00FA33B7"/>
    <w:rsid w:val="00FA3432"/>
    <w:rsid w:val="00FA38FA"/>
    <w:rsid w:val="00FA3996"/>
    <w:rsid w:val="00FA3A37"/>
    <w:rsid w:val="00FA444D"/>
    <w:rsid w:val="00FA4E24"/>
    <w:rsid w:val="00FA4F55"/>
    <w:rsid w:val="00FA58A4"/>
    <w:rsid w:val="00FA58ED"/>
    <w:rsid w:val="00FA5C4D"/>
    <w:rsid w:val="00FA5C50"/>
    <w:rsid w:val="00FA5E39"/>
    <w:rsid w:val="00FA60B2"/>
    <w:rsid w:val="00FA638C"/>
    <w:rsid w:val="00FA6394"/>
    <w:rsid w:val="00FA63A0"/>
    <w:rsid w:val="00FA65C5"/>
    <w:rsid w:val="00FA6691"/>
    <w:rsid w:val="00FA68C5"/>
    <w:rsid w:val="00FA6935"/>
    <w:rsid w:val="00FA6BC7"/>
    <w:rsid w:val="00FA6FA7"/>
    <w:rsid w:val="00FA7A19"/>
    <w:rsid w:val="00FA7FAA"/>
    <w:rsid w:val="00FB02B5"/>
    <w:rsid w:val="00FB0A2D"/>
    <w:rsid w:val="00FB13CF"/>
    <w:rsid w:val="00FB156D"/>
    <w:rsid w:val="00FB1A66"/>
    <w:rsid w:val="00FB1B07"/>
    <w:rsid w:val="00FB1F98"/>
    <w:rsid w:val="00FB2172"/>
    <w:rsid w:val="00FB2D95"/>
    <w:rsid w:val="00FB315F"/>
    <w:rsid w:val="00FB31A4"/>
    <w:rsid w:val="00FB3BC8"/>
    <w:rsid w:val="00FB3F43"/>
    <w:rsid w:val="00FB3FFF"/>
    <w:rsid w:val="00FB4157"/>
    <w:rsid w:val="00FB4187"/>
    <w:rsid w:val="00FB43CE"/>
    <w:rsid w:val="00FB45C2"/>
    <w:rsid w:val="00FB4859"/>
    <w:rsid w:val="00FB4CF7"/>
    <w:rsid w:val="00FB4EB8"/>
    <w:rsid w:val="00FB5F8F"/>
    <w:rsid w:val="00FB61B5"/>
    <w:rsid w:val="00FB6380"/>
    <w:rsid w:val="00FB6666"/>
    <w:rsid w:val="00FB697E"/>
    <w:rsid w:val="00FB6D94"/>
    <w:rsid w:val="00FC0623"/>
    <w:rsid w:val="00FC06EF"/>
    <w:rsid w:val="00FC0805"/>
    <w:rsid w:val="00FC0DA8"/>
    <w:rsid w:val="00FC0E01"/>
    <w:rsid w:val="00FC0FCA"/>
    <w:rsid w:val="00FC1078"/>
    <w:rsid w:val="00FC1265"/>
    <w:rsid w:val="00FC176A"/>
    <w:rsid w:val="00FC185E"/>
    <w:rsid w:val="00FC2006"/>
    <w:rsid w:val="00FC2234"/>
    <w:rsid w:val="00FC2659"/>
    <w:rsid w:val="00FC278A"/>
    <w:rsid w:val="00FC28A8"/>
    <w:rsid w:val="00FC2CC5"/>
    <w:rsid w:val="00FC2E85"/>
    <w:rsid w:val="00FC301C"/>
    <w:rsid w:val="00FC37BD"/>
    <w:rsid w:val="00FC37EF"/>
    <w:rsid w:val="00FC3DC8"/>
    <w:rsid w:val="00FC3DE4"/>
    <w:rsid w:val="00FC3EA2"/>
    <w:rsid w:val="00FC4F54"/>
    <w:rsid w:val="00FC5443"/>
    <w:rsid w:val="00FC595F"/>
    <w:rsid w:val="00FC5C8A"/>
    <w:rsid w:val="00FC5DAE"/>
    <w:rsid w:val="00FC5FA6"/>
    <w:rsid w:val="00FC6139"/>
    <w:rsid w:val="00FC63E7"/>
    <w:rsid w:val="00FC647D"/>
    <w:rsid w:val="00FC682B"/>
    <w:rsid w:val="00FC6A1D"/>
    <w:rsid w:val="00FC6FBC"/>
    <w:rsid w:val="00FC707B"/>
    <w:rsid w:val="00FC7409"/>
    <w:rsid w:val="00FC78C6"/>
    <w:rsid w:val="00FC7E0D"/>
    <w:rsid w:val="00FD03CC"/>
    <w:rsid w:val="00FD0748"/>
    <w:rsid w:val="00FD0790"/>
    <w:rsid w:val="00FD081A"/>
    <w:rsid w:val="00FD0C1A"/>
    <w:rsid w:val="00FD1272"/>
    <w:rsid w:val="00FD15DE"/>
    <w:rsid w:val="00FD1A43"/>
    <w:rsid w:val="00FD20A2"/>
    <w:rsid w:val="00FD259A"/>
    <w:rsid w:val="00FD27D5"/>
    <w:rsid w:val="00FD29ED"/>
    <w:rsid w:val="00FD2CA4"/>
    <w:rsid w:val="00FD3B27"/>
    <w:rsid w:val="00FD3E6E"/>
    <w:rsid w:val="00FD3F80"/>
    <w:rsid w:val="00FD3FD7"/>
    <w:rsid w:val="00FD402F"/>
    <w:rsid w:val="00FD4186"/>
    <w:rsid w:val="00FD42B1"/>
    <w:rsid w:val="00FD43EC"/>
    <w:rsid w:val="00FD45C3"/>
    <w:rsid w:val="00FD52F3"/>
    <w:rsid w:val="00FD5489"/>
    <w:rsid w:val="00FD57ED"/>
    <w:rsid w:val="00FD5822"/>
    <w:rsid w:val="00FD5C71"/>
    <w:rsid w:val="00FD5F34"/>
    <w:rsid w:val="00FD5F49"/>
    <w:rsid w:val="00FD5FBA"/>
    <w:rsid w:val="00FD66CE"/>
    <w:rsid w:val="00FD6787"/>
    <w:rsid w:val="00FD6AAB"/>
    <w:rsid w:val="00FD7058"/>
    <w:rsid w:val="00FD7113"/>
    <w:rsid w:val="00FD75C4"/>
    <w:rsid w:val="00FD786C"/>
    <w:rsid w:val="00FD7B99"/>
    <w:rsid w:val="00FE00F2"/>
    <w:rsid w:val="00FE0775"/>
    <w:rsid w:val="00FE0817"/>
    <w:rsid w:val="00FE154F"/>
    <w:rsid w:val="00FE17AA"/>
    <w:rsid w:val="00FE18CA"/>
    <w:rsid w:val="00FE1A12"/>
    <w:rsid w:val="00FE1A6B"/>
    <w:rsid w:val="00FE1B19"/>
    <w:rsid w:val="00FE1C4C"/>
    <w:rsid w:val="00FE20EF"/>
    <w:rsid w:val="00FE24E9"/>
    <w:rsid w:val="00FE263D"/>
    <w:rsid w:val="00FE2927"/>
    <w:rsid w:val="00FE2C45"/>
    <w:rsid w:val="00FE33C7"/>
    <w:rsid w:val="00FE3402"/>
    <w:rsid w:val="00FE383B"/>
    <w:rsid w:val="00FE38D4"/>
    <w:rsid w:val="00FE3AF6"/>
    <w:rsid w:val="00FE3D62"/>
    <w:rsid w:val="00FE3E4A"/>
    <w:rsid w:val="00FE440C"/>
    <w:rsid w:val="00FE4C5D"/>
    <w:rsid w:val="00FE4F10"/>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144"/>
    <w:rsid w:val="00FE726E"/>
    <w:rsid w:val="00FE787E"/>
    <w:rsid w:val="00FE7CC1"/>
    <w:rsid w:val="00FE7FC4"/>
    <w:rsid w:val="00FF0024"/>
    <w:rsid w:val="00FF060D"/>
    <w:rsid w:val="00FF166D"/>
    <w:rsid w:val="00FF1689"/>
    <w:rsid w:val="00FF18C7"/>
    <w:rsid w:val="00FF197B"/>
    <w:rsid w:val="00FF21E7"/>
    <w:rsid w:val="00FF2399"/>
    <w:rsid w:val="00FF2496"/>
    <w:rsid w:val="00FF2497"/>
    <w:rsid w:val="00FF249F"/>
    <w:rsid w:val="00FF274B"/>
    <w:rsid w:val="00FF309F"/>
    <w:rsid w:val="00FF3198"/>
    <w:rsid w:val="00FF32E0"/>
    <w:rsid w:val="00FF36DC"/>
    <w:rsid w:val="00FF3D94"/>
    <w:rsid w:val="00FF427A"/>
    <w:rsid w:val="00FF4A3E"/>
    <w:rsid w:val="00FF4CFC"/>
    <w:rsid w:val="00FF4E7F"/>
    <w:rsid w:val="00FF51FB"/>
    <w:rsid w:val="00FF5309"/>
    <w:rsid w:val="00FF5477"/>
    <w:rsid w:val="00FF55D7"/>
    <w:rsid w:val="00FF5756"/>
    <w:rsid w:val="00FF5802"/>
    <w:rsid w:val="00FF5958"/>
    <w:rsid w:val="00FF5B0C"/>
    <w:rsid w:val="00FF5CE9"/>
    <w:rsid w:val="00FF5EAB"/>
    <w:rsid w:val="00FF6470"/>
    <w:rsid w:val="00FF64BD"/>
    <w:rsid w:val="00FF66CC"/>
    <w:rsid w:val="00FF67B3"/>
    <w:rsid w:val="00FF694F"/>
    <w:rsid w:val="00FF6BB9"/>
    <w:rsid w:val="00FF6D82"/>
    <w:rsid w:val="00FF6FF9"/>
    <w:rsid w:val="00FF702F"/>
    <w:rsid w:val="00FF744B"/>
    <w:rsid w:val="00FF77EA"/>
    <w:rsid w:val="00FF7A05"/>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qFormat/>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 w:type="paragraph" w:styleId="Dokumentoinaostekstas">
    <w:name w:val="endnote text"/>
    <w:basedOn w:val="prastasis"/>
    <w:link w:val="DokumentoinaostekstasDiagrama"/>
    <w:uiPriority w:val="99"/>
    <w:semiHidden/>
    <w:unhideWhenUsed/>
    <w:rsid w:val="002E6DDB"/>
    <w:rPr>
      <w:sz w:val="20"/>
    </w:rPr>
  </w:style>
  <w:style w:type="character" w:customStyle="1" w:styleId="DokumentoinaostekstasDiagrama">
    <w:name w:val="Dokumento išnašos tekstas Diagrama"/>
    <w:basedOn w:val="Numatytasispastraiposriftas"/>
    <w:link w:val="Dokumentoinaostekstas"/>
    <w:uiPriority w:val="99"/>
    <w:semiHidden/>
    <w:rsid w:val="002E6DDB"/>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E6DDB"/>
    <w:rPr>
      <w:vertAlign w:val="superscript"/>
    </w:rPr>
  </w:style>
  <w:style w:type="character" w:styleId="Perirtashipersaitas">
    <w:name w:val="FollowedHyperlink"/>
    <w:basedOn w:val="Numatytasispastraiposriftas"/>
    <w:uiPriority w:val="99"/>
    <w:semiHidden/>
    <w:unhideWhenUsed/>
    <w:rsid w:val="00A82E6C"/>
    <w:rPr>
      <w:color w:val="800080" w:themeColor="followedHyperlink"/>
      <w:u w:val="single"/>
    </w:rPr>
  </w:style>
  <w:style w:type="table" w:customStyle="1" w:styleId="Lentelstinklelis7">
    <w:name w:val="Lentelės tinklelis7"/>
    <w:basedOn w:val="prastojilentel"/>
    <w:next w:val="Lentelstinklelis"/>
    <w:uiPriority w:val="59"/>
    <w:rsid w:val="00C0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2F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qFormat/>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 w:type="paragraph" w:styleId="Dokumentoinaostekstas">
    <w:name w:val="endnote text"/>
    <w:basedOn w:val="prastasis"/>
    <w:link w:val="DokumentoinaostekstasDiagrama"/>
    <w:uiPriority w:val="99"/>
    <w:semiHidden/>
    <w:unhideWhenUsed/>
    <w:rsid w:val="002E6DDB"/>
    <w:rPr>
      <w:sz w:val="20"/>
    </w:rPr>
  </w:style>
  <w:style w:type="character" w:customStyle="1" w:styleId="DokumentoinaostekstasDiagrama">
    <w:name w:val="Dokumento išnašos tekstas Diagrama"/>
    <w:basedOn w:val="Numatytasispastraiposriftas"/>
    <w:link w:val="Dokumentoinaostekstas"/>
    <w:uiPriority w:val="99"/>
    <w:semiHidden/>
    <w:rsid w:val="002E6DDB"/>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E6DDB"/>
    <w:rPr>
      <w:vertAlign w:val="superscript"/>
    </w:rPr>
  </w:style>
  <w:style w:type="character" w:styleId="Perirtashipersaitas">
    <w:name w:val="FollowedHyperlink"/>
    <w:basedOn w:val="Numatytasispastraiposriftas"/>
    <w:uiPriority w:val="99"/>
    <w:semiHidden/>
    <w:unhideWhenUsed/>
    <w:rsid w:val="00A82E6C"/>
    <w:rPr>
      <w:color w:val="800080" w:themeColor="followedHyperlink"/>
      <w:u w:val="single"/>
    </w:rPr>
  </w:style>
  <w:style w:type="table" w:customStyle="1" w:styleId="Lentelstinklelis7">
    <w:name w:val="Lentelės tinklelis7"/>
    <w:basedOn w:val="prastojilentel"/>
    <w:next w:val="Lentelstinklelis"/>
    <w:uiPriority w:val="59"/>
    <w:rsid w:val="00C0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2F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14459824">
      <w:bodyDiv w:val="1"/>
      <w:marLeft w:val="0"/>
      <w:marRight w:val="0"/>
      <w:marTop w:val="0"/>
      <w:marBottom w:val="0"/>
      <w:divBdr>
        <w:top w:val="none" w:sz="0" w:space="0" w:color="auto"/>
        <w:left w:val="none" w:sz="0" w:space="0" w:color="auto"/>
        <w:bottom w:val="none" w:sz="0" w:space="0" w:color="auto"/>
        <w:right w:val="none" w:sz="0" w:space="0" w:color="auto"/>
      </w:divBdr>
    </w:div>
    <w:div w:id="373164676">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646474119">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00604446">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72055152">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5281772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3211662">
          <w:marLeft w:val="2246"/>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783958724">
          <w:marLeft w:val="907"/>
          <w:marRight w:val="0"/>
          <w:marTop w:val="0"/>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0312332">
      <w:bodyDiv w:val="1"/>
      <w:marLeft w:val="0"/>
      <w:marRight w:val="0"/>
      <w:marTop w:val="0"/>
      <w:marBottom w:val="0"/>
      <w:divBdr>
        <w:top w:val="none" w:sz="0" w:space="0" w:color="auto"/>
        <w:left w:val="none" w:sz="0" w:space="0" w:color="auto"/>
        <w:bottom w:val="none" w:sz="0" w:space="0" w:color="auto"/>
        <w:right w:val="none" w:sz="0" w:space="0" w:color="auto"/>
      </w:divBdr>
      <w:divsChild>
        <w:div w:id="1134567362">
          <w:marLeft w:val="0"/>
          <w:marRight w:val="0"/>
          <w:marTop w:val="0"/>
          <w:marBottom w:val="0"/>
          <w:divBdr>
            <w:top w:val="none" w:sz="0" w:space="0" w:color="auto"/>
            <w:left w:val="none" w:sz="0" w:space="0" w:color="auto"/>
            <w:bottom w:val="none" w:sz="0" w:space="0" w:color="auto"/>
            <w:right w:val="none" w:sz="0" w:space="0" w:color="auto"/>
          </w:divBdr>
          <w:divsChild>
            <w:div w:id="15741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1642616531">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22912658">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78840869">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297250690">
          <w:marLeft w:val="907"/>
          <w:marRight w:val="0"/>
          <w:marTop w:val="0"/>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14931811">
      <w:bodyDiv w:val="1"/>
      <w:marLeft w:val="0"/>
      <w:marRight w:val="0"/>
      <w:marTop w:val="0"/>
      <w:marBottom w:val="0"/>
      <w:divBdr>
        <w:top w:val="none" w:sz="0" w:space="0" w:color="auto"/>
        <w:left w:val="none" w:sz="0" w:space="0" w:color="auto"/>
        <w:bottom w:val="none" w:sz="0" w:space="0" w:color="auto"/>
        <w:right w:val="none" w:sz="0" w:space="0" w:color="auto"/>
      </w:divBdr>
      <w:divsChild>
        <w:div w:id="1833791646">
          <w:marLeft w:val="0"/>
          <w:marRight w:val="0"/>
          <w:marTop w:val="0"/>
          <w:marBottom w:val="0"/>
          <w:divBdr>
            <w:top w:val="none" w:sz="0" w:space="0" w:color="auto"/>
            <w:left w:val="none" w:sz="0" w:space="0" w:color="auto"/>
            <w:bottom w:val="none" w:sz="0" w:space="0" w:color="auto"/>
            <w:right w:val="none" w:sz="0" w:space="0" w:color="auto"/>
          </w:divBdr>
          <w:divsChild>
            <w:div w:id="16607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diagramLayout" Target="diagrams/layou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chart" Target="charts/chart13.xml"/><Relationship Id="rId32" Type="http://schemas.microsoft.com/office/2007/relationships/diagramDrawing" Target="diagrams/drawing1.xml"/><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diagramData" Target="diagrams/data1.xml"/><Relationship Id="rId36"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chart" Target="charts/chart8.xml"/><Relationship Id="rId31"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image" Target="media/image4.png"/><Relationship Id="rId30" Type="http://schemas.openxmlformats.org/officeDocument/2006/relationships/diagramQuickStyle" Target="diagrams/quickStyle1.xml"/><Relationship Id="rId35"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ESIF_2014-2020_EU_payments_2021-10-0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m000549\my-doc\Morkveniene_N\My%20Documents\FP%20lentel&#279;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II%20ketv\Darb\2021%20m.%20II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3"/>
            </a:solidFill>
            <a:ln>
              <a:noFill/>
            </a:ln>
          </c:spPr>
          <c:invertIfNegative val="0"/>
          <c:dPt>
            <c:idx val="1"/>
            <c:invertIfNegative val="0"/>
            <c:bubble3D val="0"/>
          </c:dPt>
          <c:dPt>
            <c:idx val="2"/>
            <c:invertIfNegative val="0"/>
            <c:bubble3D val="0"/>
          </c:dPt>
          <c:dPt>
            <c:idx val="3"/>
            <c:invertIfNegative val="0"/>
            <c:bubble3D val="0"/>
            <c:spPr>
              <a:solidFill>
                <a:schemeClr val="accent1"/>
              </a:solidFill>
              <a:ln>
                <a:noFill/>
              </a:ln>
            </c:spPr>
          </c:dPt>
          <c:dPt>
            <c:idx val="4"/>
            <c:invertIfNegative val="0"/>
            <c:bubble3D val="0"/>
          </c:dPt>
          <c:dPt>
            <c:idx val="5"/>
            <c:invertIfNegative val="0"/>
            <c:bubble3D val="0"/>
          </c:dPt>
          <c:dPt>
            <c:idx val="12"/>
            <c:invertIfNegative val="0"/>
            <c:bubble3D val="0"/>
          </c:dPt>
          <c:dPt>
            <c:idx val="14"/>
            <c:invertIfNegative val="0"/>
            <c:bubble3D val="0"/>
          </c:dPt>
          <c:dPt>
            <c:idx val="15"/>
            <c:invertIfNegative val="0"/>
            <c:bubble3D val="0"/>
          </c:dPt>
          <c:dPt>
            <c:idx val="16"/>
            <c:invertIfNegative val="0"/>
            <c:bubble3D val="0"/>
          </c:dPt>
          <c:dLbls>
            <c:dLbl>
              <c:idx val="0"/>
              <c:layout>
                <c:manualLayout>
                  <c:x val="2.0964360587002098E-3"/>
                  <c:y val="9.7163896179644164E-3"/>
                </c:manualLayout>
              </c:layout>
              <c:dLblPos val="outEnd"/>
              <c:showLegendKey val="0"/>
              <c:showVal val="1"/>
              <c:showCatName val="0"/>
              <c:showSerName val="0"/>
              <c:showPercent val="0"/>
              <c:showBubbleSize val="0"/>
            </c:dLbl>
            <c:dLbl>
              <c:idx val="1"/>
              <c:layout>
                <c:manualLayout>
                  <c:x val="4.1928721174004195E-3"/>
                  <c:y val="1.0783756197142023E-2"/>
                </c:manualLayout>
              </c:layout>
              <c:dLblPos val="outEnd"/>
              <c:showLegendKey val="0"/>
              <c:showVal val="1"/>
              <c:showCatName val="0"/>
              <c:showSerName val="0"/>
              <c:showPercent val="0"/>
              <c:showBubbleSize val="0"/>
            </c:dLbl>
            <c:dLbl>
              <c:idx val="2"/>
              <c:layout>
                <c:manualLayout>
                  <c:x val="0"/>
                  <c:y val="2.4630723242927966E-2"/>
                </c:manualLayout>
              </c:layout>
              <c:dLblPos val="outEnd"/>
              <c:showLegendKey val="0"/>
              <c:showVal val="1"/>
              <c:showCatName val="0"/>
              <c:showSerName val="0"/>
              <c:showPercent val="0"/>
              <c:showBubbleSize val="0"/>
            </c:dLbl>
            <c:dLbl>
              <c:idx val="3"/>
              <c:layout>
                <c:manualLayout>
                  <c:x val="4.1928721174004386E-3"/>
                  <c:y val="2.9987241178186061E-2"/>
                </c:manualLayout>
              </c:layout>
              <c:dLblPos val="outEnd"/>
              <c:showLegendKey val="0"/>
              <c:showVal val="1"/>
              <c:showCatName val="0"/>
              <c:showSerName val="0"/>
              <c:showPercent val="0"/>
              <c:showBubbleSize val="0"/>
            </c:dLbl>
            <c:dLbl>
              <c:idx val="4"/>
              <c:layout>
                <c:manualLayout>
                  <c:x val="4.1928721174004195E-3"/>
                  <c:y val="-9.2701953922426361E-3"/>
                </c:manualLayout>
              </c:layout>
              <c:dLblPos val="outEnd"/>
              <c:showLegendKey val="0"/>
              <c:showVal val="1"/>
              <c:showCatName val="0"/>
              <c:showSerName val="0"/>
              <c:showPercent val="0"/>
              <c:showBubbleSize val="0"/>
            </c:dLbl>
            <c:dLbl>
              <c:idx val="5"/>
              <c:layout>
                <c:manualLayout>
                  <c:x val="-2.0964360587002098E-3"/>
                  <c:y val="2.8726305045202682E-2"/>
                </c:manualLayout>
              </c:layout>
              <c:dLblPos val="outEnd"/>
              <c:showLegendKey val="0"/>
              <c:showVal val="1"/>
              <c:showCatName val="0"/>
              <c:showSerName val="0"/>
              <c:showPercent val="0"/>
              <c:showBubbleSize val="0"/>
            </c:dLbl>
            <c:dLbl>
              <c:idx val="6"/>
              <c:layout>
                <c:manualLayout>
                  <c:x val="4.1928721174004195E-3"/>
                  <c:y val="1.0852289297171188E-3"/>
                </c:manualLayout>
              </c:layout>
              <c:dLblPos val="outEnd"/>
              <c:showLegendKey val="0"/>
              <c:showVal val="1"/>
              <c:showCatName val="0"/>
              <c:showSerName val="0"/>
              <c:showPercent val="0"/>
              <c:showBubbleSize val="0"/>
            </c:dLbl>
            <c:dLbl>
              <c:idx val="7"/>
              <c:layout>
                <c:manualLayout>
                  <c:x val="4.1928721174004195E-3"/>
                  <c:y val="3.3745261009040538E-2"/>
                </c:manualLayout>
              </c:layout>
              <c:dLblPos val="outEnd"/>
              <c:showLegendKey val="0"/>
              <c:showVal val="1"/>
              <c:showCatName val="0"/>
              <c:showSerName val="0"/>
              <c:showPercent val="0"/>
              <c:showBubbleSize val="0"/>
            </c:dLbl>
            <c:dLbl>
              <c:idx val="8"/>
              <c:layout>
                <c:manualLayout>
                  <c:x val="2.0964360587002098E-3"/>
                  <c:y val="-8.051910177894429E-3"/>
                </c:manualLayout>
              </c:layout>
              <c:dLblPos val="outEnd"/>
              <c:showLegendKey val="0"/>
              <c:showVal val="1"/>
              <c:showCatName val="0"/>
              <c:showSerName val="0"/>
              <c:showPercent val="0"/>
              <c:showBubbleSize val="0"/>
            </c:dLbl>
            <c:dLbl>
              <c:idx val="9"/>
              <c:layout>
                <c:manualLayout>
                  <c:x val="0"/>
                  <c:y val="2.5675123942840456E-2"/>
                </c:manualLayout>
              </c:layout>
              <c:dLblPos val="outEnd"/>
              <c:showLegendKey val="0"/>
              <c:showVal val="1"/>
              <c:showCatName val="0"/>
              <c:showSerName val="0"/>
              <c:showPercent val="0"/>
              <c:showBubbleSize val="0"/>
            </c:dLbl>
            <c:dLbl>
              <c:idx val="10"/>
              <c:layout>
                <c:manualLayout>
                  <c:x val="0"/>
                  <c:y val="6.236512102653835E-2"/>
                </c:manualLayout>
              </c:layout>
              <c:dLblPos val="outEnd"/>
              <c:showLegendKey val="0"/>
              <c:showVal val="1"/>
              <c:showCatName val="0"/>
              <c:showSerName val="0"/>
              <c:showPercent val="0"/>
              <c:showBubbleSize val="0"/>
            </c:dLbl>
            <c:dLbl>
              <c:idx val="11"/>
              <c:layout>
                <c:manualLayout>
                  <c:x val="0"/>
                  <c:y val="9.8813794109069694E-2"/>
                </c:manualLayout>
              </c:layout>
              <c:dLblPos val="outEnd"/>
              <c:showLegendKey val="0"/>
              <c:showVal val="1"/>
              <c:showCatName val="0"/>
              <c:showSerName val="0"/>
              <c:showPercent val="0"/>
              <c:showBubbleSize val="0"/>
            </c:dLbl>
            <c:dLbl>
              <c:idx val="12"/>
              <c:layout>
                <c:manualLayout>
                  <c:x val="-2.0964360587002098E-3"/>
                  <c:y val="6.6021799358413527E-2"/>
                </c:manualLayout>
              </c:layout>
              <c:dLblPos val="outEnd"/>
              <c:showLegendKey val="0"/>
              <c:showVal val="1"/>
              <c:showCatName val="0"/>
              <c:showSerName val="0"/>
              <c:showPercent val="0"/>
              <c:showBubbleSize val="0"/>
            </c:dLbl>
            <c:dLbl>
              <c:idx val="13"/>
              <c:layout>
                <c:manualLayout>
                  <c:x val="8.385744234800839E-3"/>
                  <c:y val="8.9832312627588215E-2"/>
                </c:manualLayout>
              </c:layout>
              <c:dLblPos val="outEnd"/>
              <c:showLegendKey val="0"/>
              <c:showVal val="1"/>
              <c:showCatName val="0"/>
              <c:showSerName val="0"/>
              <c:showPercent val="0"/>
              <c:showBubbleSize val="0"/>
            </c:dLbl>
            <c:dLbl>
              <c:idx val="14"/>
              <c:layout>
                <c:manualLayout>
                  <c:x val="2.0964360587002098E-3"/>
                  <c:y val="0.1120826042578011"/>
                </c:manualLayout>
              </c:layout>
              <c:dLblPos val="outEnd"/>
              <c:showLegendKey val="0"/>
              <c:showVal val="1"/>
              <c:showCatName val="0"/>
              <c:showSerName val="0"/>
              <c:showPercent val="0"/>
              <c:showBubbleSize val="0"/>
            </c:dLbl>
            <c:dLbl>
              <c:idx val="15"/>
              <c:layout>
                <c:manualLayout>
                  <c:x val="6.2893081761006293E-3"/>
                  <c:y val="6.5742198891805187E-2"/>
                </c:manualLayout>
              </c:layout>
              <c:dLblPos val="outEnd"/>
              <c:showLegendKey val="0"/>
              <c:showVal val="1"/>
              <c:showCatName val="0"/>
              <c:showSerName val="0"/>
              <c:showPercent val="0"/>
              <c:showBubbleSize val="0"/>
            </c:dLbl>
            <c:dLbl>
              <c:idx val="16"/>
              <c:layout>
                <c:manualLayout>
                  <c:x val="6.2893081761006293E-3"/>
                  <c:y val="0.12554644211140273"/>
                </c:manualLayout>
              </c:layout>
              <c:dLblPos val="outEnd"/>
              <c:showLegendKey val="0"/>
              <c:showVal val="1"/>
              <c:showCatName val="0"/>
              <c:showSerName val="0"/>
              <c:showPercent val="0"/>
              <c:showBubbleSize val="0"/>
            </c:dLbl>
            <c:dLbl>
              <c:idx val="17"/>
              <c:layout>
                <c:manualLayout>
                  <c:x val="4.1928721174004195E-3"/>
                  <c:y val="7.1506270049577131E-2"/>
                </c:manualLayout>
              </c:layout>
              <c:dLblPos val="outEnd"/>
              <c:showLegendKey val="0"/>
              <c:showVal val="1"/>
              <c:showCatName val="0"/>
              <c:showSerName val="0"/>
              <c:showPercent val="0"/>
              <c:showBubbleSize val="0"/>
            </c:dLbl>
            <c:dLbl>
              <c:idx val="18"/>
              <c:layout>
                <c:manualLayout>
                  <c:x val="8.3855791610954293E-3"/>
                  <c:y val="0.12207822980460775"/>
                </c:manualLayout>
              </c:layout>
              <c:dLblPos val="outEnd"/>
              <c:showLegendKey val="0"/>
              <c:showVal val="1"/>
              <c:showCatName val="0"/>
              <c:showSerName val="0"/>
              <c:showPercent val="0"/>
              <c:showBubbleSize val="0"/>
            </c:dLbl>
            <c:dLbl>
              <c:idx val="19"/>
              <c:layout>
                <c:manualLayout>
                  <c:x val="2.0964360587002098E-3"/>
                  <c:y val="7.9699620880723243E-2"/>
                </c:manualLayout>
              </c:layout>
              <c:dLblPos val="outEnd"/>
              <c:showLegendKey val="0"/>
              <c:showVal val="1"/>
              <c:showCatName val="0"/>
              <c:showSerName val="0"/>
              <c:showPercent val="0"/>
              <c:showBubbleSize val="0"/>
            </c:dLbl>
            <c:dLbl>
              <c:idx val="20"/>
              <c:layout>
                <c:manualLayout>
                  <c:x val="0"/>
                  <c:y val="0.15738225430154565"/>
                </c:manualLayout>
              </c:layout>
              <c:dLblPos val="outEnd"/>
              <c:showLegendKey val="0"/>
              <c:showVal val="1"/>
              <c:showCatName val="0"/>
              <c:showSerName val="0"/>
              <c:showPercent val="0"/>
              <c:showBubbleSize val="0"/>
            </c:dLbl>
            <c:dLbl>
              <c:idx val="21"/>
              <c:layout>
                <c:manualLayout>
                  <c:x val="0"/>
                  <c:y val="8.7553222513852433E-2"/>
                </c:manualLayout>
              </c:layout>
              <c:dLblPos val="outEnd"/>
              <c:showLegendKey val="0"/>
              <c:showVal val="1"/>
              <c:showCatName val="0"/>
              <c:showSerName val="0"/>
              <c:showPercent val="0"/>
              <c:showBubbleSize val="0"/>
            </c:dLbl>
            <c:dLbl>
              <c:idx val="22"/>
              <c:layout>
                <c:manualLayout>
                  <c:x val="0"/>
                  <c:y val="0.14775554097404492"/>
                </c:manualLayout>
              </c:layout>
              <c:dLblPos val="outEnd"/>
              <c:showLegendKey val="0"/>
              <c:showVal val="1"/>
              <c:showCatName val="0"/>
              <c:showSerName val="0"/>
              <c:showPercent val="0"/>
              <c:showBubbleSize val="0"/>
            </c:dLbl>
            <c:dLbl>
              <c:idx val="23"/>
              <c:layout>
                <c:manualLayout>
                  <c:x val="-2.0964360587002098E-3"/>
                  <c:y val="8.9148075240594968E-2"/>
                </c:manualLayout>
              </c:layout>
              <c:dLblPos val="outEnd"/>
              <c:showLegendKey val="0"/>
              <c:showVal val="1"/>
              <c:showCatName val="0"/>
              <c:showSerName val="0"/>
              <c:showPercent val="0"/>
              <c:showBubbleSize val="0"/>
            </c:dLbl>
            <c:dLbl>
              <c:idx val="24"/>
              <c:layout>
                <c:manualLayout>
                  <c:x val="2.0964360587002098E-3"/>
                  <c:y val="0.13961431904345289"/>
                </c:manualLayout>
              </c:layout>
              <c:dLblPos val="outEnd"/>
              <c:showLegendKey val="0"/>
              <c:showVal val="1"/>
              <c:showCatName val="0"/>
              <c:showSerName val="0"/>
              <c:showPercent val="0"/>
              <c:showBubbleSize val="0"/>
            </c:dLbl>
            <c:dLbl>
              <c:idx val="25"/>
              <c:layout>
                <c:manualLayout>
                  <c:x val="0"/>
                  <c:y val="8.4948235637212016E-2"/>
                </c:manualLayout>
              </c:layout>
              <c:dLblPos val="outEnd"/>
              <c:showLegendKey val="0"/>
              <c:showVal val="1"/>
              <c:showCatName val="0"/>
              <c:showSerName val="0"/>
              <c:showPercent val="0"/>
              <c:showBubbleSize val="0"/>
            </c:dLbl>
            <c:dLbl>
              <c:idx val="26"/>
              <c:layout>
                <c:manualLayout>
                  <c:x val="4.1928721174004195E-3"/>
                  <c:y val="0.11044218431029455"/>
                </c:manualLayout>
              </c:layout>
              <c:dLblPos val="outEnd"/>
              <c:showLegendKey val="0"/>
              <c:showVal val="1"/>
              <c:showCatName val="0"/>
              <c:showSerName val="0"/>
              <c:showPercent val="0"/>
              <c:showBubbleSize val="0"/>
            </c:dLbl>
            <c:dLbl>
              <c:idx val="27"/>
              <c:layout>
                <c:manualLayout>
                  <c:x val="2.0964360587002098E-3"/>
                  <c:y val="8.3431393992417613E-2"/>
                </c:manualLayout>
              </c:layout>
              <c:dLblPos val="outEnd"/>
              <c:showLegendKey val="0"/>
              <c:showVal val="1"/>
              <c:showCatName val="0"/>
              <c:showSerName val="0"/>
              <c:showPercent val="0"/>
              <c:showBubbleSize val="0"/>
            </c:dLbl>
            <c:txPr>
              <a:bodyPr/>
              <a:lstStyle/>
              <a:p>
                <a:pPr>
                  <a:defRPr>
                    <a:solidFill>
                      <a:schemeClr val="tx2"/>
                    </a:solidFill>
                  </a:defRPr>
                </a:pPr>
                <a:endParaRPr lang="lt-LT"/>
              </a:p>
            </c:txPr>
            <c:dLblPos val="ctr"/>
            <c:showLegendKey val="0"/>
            <c:showVal val="1"/>
            <c:showCatName val="0"/>
            <c:showSerName val="0"/>
            <c:showPercent val="0"/>
            <c:showBubbleSize val="0"/>
            <c:showLeaderLines val="0"/>
          </c:dLbls>
          <c:cat>
            <c:strRef>
              <c:f>'Mokėjimų grafikas'!$M$3:$M$30</c:f>
              <c:strCache>
                <c:ptCount val="28"/>
                <c:pt idx="0">
                  <c:v>Airija</c:v>
                </c:pt>
                <c:pt idx="1">
                  <c:v>Kipras</c:v>
                </c:pt>
                <c:pt idx="2">
                  <c:v>Graikija</c:v>
                </c:pt>
                <c:pt idx="3">
                  <c:v>Lietuva</c:v>
                </c:pt>
                <c:pt idx="4">
                  <c:v>Lenkija</c:v>
                </c:pt>
                <c:pt idx="5">
                  <c:v>Portugalija</c:v>
                </c:pt>
                <c:pt idx="6">
                  <c:v>Estija</c:v>
                </c:pt>
                <c:pt idx="7">
                  <c:v>Vengrija</c:v>
                </c:pt>
                <c:pt idx="8">
                  <c:v>Suomija</c:v>
                </c:pt>
                <c:pt idx="9">
                  <c:v>Čekija</c:v>
                </c:pt>
                <c:pt idx="10">
                  <c:v>Ispanija</c:v>
                </c:pt>
                <c:pt idx="11">
                  <c:v>Slovėnija</c:v>
                </c:pt>
                <c:pt idx="12">
                  <c:v>Italija</c:v>
                </c:pt>
                <c:pt idx="13">
                  <c:v>Latvija</c:v>
                </c:pt>
                <c:pt idx="14">
                  <c:v>Švedija</c:v>
                </c:pt>
                <c:pt idx="15">
                  <c:v>Bulgarija</c:v>
                </c:pt>
                <c:pt idx="16">
                  <c:v>Vokietija</c:v>
                </c:pt>
                <c:pt idx="17">
                  <c:v>Austrija</c:v>
                </c:pt>
                <c:pt idx="18">
                  <c:v>Belgija</c:v>
                </c:pt>
                <c:pt idx="19">
                  <c:v>D. Britanija</c:v>
                </c:pt>
                <c:pt idx="20">
                  <c:v>Prancūzija</c:v>
                </c:pt>
                <c:pt idx="21">
                  <c:v>Slovakija</c:v>
                </c:pt>
                <c:pt idx="22">
                  <c:v>Rumunija</c:v>
                </c:pt>
                <c:pt idx="23">
                  <c:v>Kroatija</c:v>
                </c:pt>
                <c:pt idx="24">
                  <c:v>Malta</c:v>
                </c:pt>
                <c:pt idx="25">
                  <c:v>Nyderlandai</c:v>
                </c:pt>
                <c:pt idx="26">
                  <c:v>Danija</c:v>
                </c:pt>
                <c:pt idx="27">
                  <c:v>Liuksemburgas</c:v>
                </c:pt>
              </c:strCache>
            </c:strRef>
          </c:cat>
          <c:val>
            <c:numRef>
              <c:f>'Mokėjimų grafikas'!$N$3:$N$30</c:f>
              <c:numCache>
                <c:formatCode>0%</c:formatCode>
                <c:ptCount val="28"/>
                <c:pt idx="0">
                  <c:v>0.95279440861130338</c:v>
                </c:pt>
                <c:pt idx="1">
                  <c:v>0.82056301501195539</c:v>
                </c:pt>
                <c:pt idx="2">
                  <c:v>0.74832778574595737</c:v>
                </c:pt>
                <c:pt idx="3">
                  <c:v>0.72972489564899945</c:v>
                </c:pt>
                <c:pt idx="4">
                  <c:v>0.70666664112853073</c:v>
                </c:pt>
                <c:pt idx="5">
                  <c:v>0.70753399180516718</c:v>
                </c:pt>
                <c:pt idx="6">
                  <c:v>0.70155240749804781</c:v>
                </c:pt>
                <c:pt idx="7">
                  <c:v>0.68214351713233401</c:v>
                </c:pt>
                <c:pt idx="8">
                  <c:v>0.65111947492750522</c:v>
                </c:pt>
                <c:pt idx="9">
                  <c:v>0.63633546970828347</c:v>
                </c:pt>
                <c:pt idx="10">
                  <c:v>0.62449252958386303</c:v>
                </c:pt>
                <c:pt idx="11">
                  <c:v>0.60903041555314996</c:v>
                </c:pt>
                <c:pt idx="12">
                  <c:v>0.61107287972105551</c:v>
                </c:pt>
                <c:pt idx="13">
                  <c:v>0.5992178052623276</c:v>
                </c:pt>
                <c:pt idx="14">
                  <c:v>0.57572102907059519</c:v>
                </c:pt>
                <c:pt idx="15">
                  <c:v>0.55823495349857211</c:v>
                </c:pt>
                <c:pt idx="16">
                  <c:v>0.54924724579152029</c:v>
                </c:pt>
                <c:pt idx="17">
                  <c:v>0.54305757631697926</c:v>
                </c:pt>
                <c:pt idx="18">
                  <c:v>0.54088583524063893</c:v>
                </c:pt>
                <c:pt idx="19">
                  <c:v>0.5253523927398005</c:v>
                </c:pt>
                <c:pt idx="20">
                  <c:v>0.52333395258624305</c:v>
                </c:pt>
                <c:pt idx="21">
                  <c:v>0.51483777796475305</c:v>
                </c:pt>
                <c:pt idx="22">
                  <c:v>0.51074717936808056</c:v>
                </c:pt>
                <c:pt idx="23">
                  <c:v>0.46526549248407584</c:v>
                </c:pt>
                <c:pt idx="24">
                  <c:v>0.47139644748249609</c:v>
                </c:pt>
                <c:pt idx="25">
                  <c:v>0.45794839036560753</c:v>
                </c:pt>
                <c:pt idx="26">
                  <c:v>0.46425006223984633</c:v>
                </c:pt>
                <c:pt idx="27">
                  <c:v>0.36793157855062986</c:v>
                </c:pt>
              </c:numCache>
            </c:numRef>
          </c:val>
        </c:ser>
        <c:dLbls>
          <c:showLegendKey val="0"/>
          <c:showVal val="0"/>
          <c:showCatName val="0"/>
          <c:showSerName val="0"/>
          <c:showPercent val="0"/>
          <c:showBubbleSize val="0"/>
        </c:dLbls>
        <c:gapWidth val="56"/>
        <c:axId val="39638528"/>
        <c:axId val="39640064"/>
      </c:barChart>
      <c:lineChart>
        <c:grouping val="standard"/>
        <c:varyColors val="0"/>
        <c:ser>
          <c:idx val="1"/>
          <c:order val="1"/>
          <c:spPr>
            <a:ln w="19050">
              <a:solidFill>
                <a:schemeClr val="accent6">
                  <a:lumMod val="75000"/>
                </a:schemeClr>
              </a:solidFill>
              <a:prstDash val="lgDash"/>
            </a:ln>
          </c:spPr>
          <c:marker>
            <c:symbol val="none"/>
          </c:marker>
          <c:cat>
            <c:strRef>
              <c:f>'Mokėjimų grafikas'!$M$3:$M$30</c:f>
              <c:strCache>
                <c:ptCount val="28"/>
                <c:pt idx="0">
                  <c:v>Airija</c:v>
                </c:pt>
                <c:pt idx="1">
                  <c:v>Kipras</c:v>
                </c:pt>
                <c:pt idx="2">
                  <c:v>Graikija</c:v>
                </c:pt>
                <c:pt idx="3">
                  <c:v>Lietuva</c:v>
                </c:pt>
                <c:pt idx="4">
                  <c:v>Lenkija</c:v>
                </c:pt>
                <c:pt idx="5">
                  <c:v>Portugalija</c:v>
                </c:pt>
                <c:pt idx="6">
                  <c:v>Estija</c:v>
                </c:pt>
                <c:pt idx="7">
                  <c:v>Vengrija</c:v>
                </c:pt>
                <c:pt idx="8">
                  <c:v>Suomija</c:v>
                </c:pt>
                <c:pt idx="9">
                  <c:v>Čekija</c:v>
                </c:pt>
                <c:pt idx="10">
                  <c:v>Ispanija</c:v>
                </c:pt>
                <c:pt idx="11">
                  <c:v>Slovėnija</c:v>
                </c:pt>
                <c:pt idx="12">
                  <c:v>Italija</c:v>
                </c:pt>
                <c:pt idx="13">
                  <c:v>Latvija</c:v>
                </c:pt>
                <c:pt idx="14">
                  <c:v>Švedija</c:v>
                </c:pt>
                <c:pt idx="15">
                  <c:v>Bulgarija</c:v>
                </c:pt>
                <c:pt idx="16">
                  <c:v>Vokietija</c:v>
                </c:pt>
                <c:pt idx="17">
                  <c:v>Austrija</c:v>
                </c:pt>
                <c:pt idx="18">
                  <c:v>Belgija</c:v>
                </c:pt>
                <c:pt idx="19">
                  <c:v>D. Britanija</c:v>
                </c:pt>
                <c:pt idx="20">
                  <c:v>Prancūzija</c:v>
                </c:pt>
                <c:pt idx="21">
                  <c:v>Slovakija</c:v>
                </c:pt>
                <c:pt idx="22">
                  <c:v>Rumunija</c:v>
                </c:pt>
                <c:pt idx="23">
                  <c:v>Kroatija</c:v>
                </c:pt>
                <c:pt idx="24">
                  <c:v>Malta</c:v>
                </c:pt>
                <c:pt idx="25">
                  <c:v>Nyderlandai</c:v>
                </c:pt>
                <c:pt idx="26">
                  <c:v>Danija</c:v>
                </c:pt>
                <c:pt idx="27">
                  <c:v>Liuksemburgas</c:v>
                </c:pt>
              </c:strCache>
            </c:strRef>
          </c:cat>
          <c:val>
            <c:numRef>
              <c:f>'Mokėjimų grafikas'!$O$3:$O$30</c:f>
              <c:numCache>
                <c:formatCode>0%</c:formatCode>
                <c:ptCount val="28"/>
                <c:pt idx="0">
                  <c:v>0.62768854525024975</c:v>
                </c:pt>
                <c:pt idx="1">
                  <c:v>0.62768854525024975</c:v>
                </c:pt>
                <c:pt idx="2">
                  <c:v>0.62768854525024975</c:v>
                </c:pt>
                <c:pt idx="3">
                  <c:v>0.62768854525024975</c:v>
                </c:pt>
                <c:pt idx="4">
                  <c:v>0.62768854525024975</c:v>
                </c:pt>
                <c:pt idx="5">
                  <c:v>0.62768854525024975</c:v>
                </c:pt>
                <c:pt idx="6">
                  <c:v>0.62768854525024975</c:v>
                </c:pt>
                <c:pt idx="7">
                  <c:v>0.62768854525024975</c:v>
                </c:pt>
                <c:pt idx="8">
                  <c:v>0.62768854525024975</c:v>
                </c:pt>
                <c:pt idx="9">
                  <c:v>0.62768854525024975</c:v>
                </c:pt>
                <c:pt idx="10">
                  <c:v>0.62768854525024975</c:v>
                </c:pt>
                <c:pt idx="11">
                  <c:v>0.62768854525024975</c:v>
                </c:pt>
                <c:pt idx="12">
                  <c:v>0.62768854525024975</c:v>
                </c:pt>
                <c:pt idx="13">
                  <c:v>0.62768854525024975</c:v>
                </c:pt>
                <c:pt idx="14">
                  <c:v>0.62768854525024975</c:v>
                </c:pt>
                <c:pt idx="15">
                  <c:v>0.62768854525024975</c:v>
                </c:pt>
                <c:pt idx="16">
                  <c:v>0.62768854525024975</c:v>
                </c:pt>
                <c:pt idx="17">
                  <c:v>0.62768854525024975</c:v>
                </c:pt>
                <c:pt idx="18">
                  <c:v>0.62768854525024975</c:v>
                </c:pt>
                <c:pt idx="19">
                  <c:v>0.62768854525024975</c:v>
                </c:pt>
                <c:pt idx="20">
                  <c:v>0.62768854525024975</c:v>
                </c:pt>
                <c:pt idx="21">
                  <c:v>0.62768854525024975</c:v>
                </c:pt>
                <c:pt idx="22">
                  <c:v>0.62768854525024975</c:v>
                </c:pt>
                <c:pt idx="23">
                  <c:v>0.62768854525024975</c:v>
                </c:pt>
                <c:pt idx="24">
                  <c:v>0.62768854525024975</c:v>
                </c:pt>
                <c:pt idx="25">
                  <c:v>0.62768854525024975</c:v>
                </c:pt>
                <c:pt idx="26">
                  <c:v>0.62768854525024975</c:v>
                </c:pt>
                <c:pt idx="27">
                  <c:v>0.62768854525024975</c:v>
                </c:pt>
              </c:numCache>
            </c:numRef>
          </c:val>
          <c:smooth val="0"/>
        </c:ser>
        <c:dLbls>
          <c:showLegendKey val="0"/>
          <c:showVal val="0"/>
          <c:showCatName val="0"/>
          <c:showSerName val="0"/>
          <c:showPercent val="0"/>
          <c:showBubbleSize val="0"/>
        </c:dLbls>
        <c:marker val="1"/>
        <c:smooth val="0"/>
        <c:axId val="39638528"/>
        <c:axId val="39640064"/>
      </c:lineChart>
      <c:catAx>
        <c:axId val="39638528"/>
        <c:scaling>
          <c:orientation val="minMax"/>
        </c:scaling>
        <c:delete val="0"/>
        <c:axPos val="b"/>
        <c:majorTickMark val="out"/>
        <c:minorTickMark val="none"/>
        <c:tickLblPos val="nextTo"/>
        <c:crossAx val="39640064"/>
        <c:crosses val="autoZero"/>
        <c:auto val="1"/>
        <c:lblAlgn val="ctr"/>
        <c:lblOffset val="100"/>
        <c:noMultiLvlLbl val="0"/>
      </c:catAx>
      <c:valAx>
        <c:axId val="39640064"/>
        <c:scaling>
          <c:orientation val="minMax"/>
        </c:scaling>
        <c:delete val="0"/>
        <c:axPos val="l"/>
        <c:numFmt formatCode="0%" sourceLinked="1"/>
        <c:majorTickMark val="out"/>
        <c:minorTickMark val="none"/>
        <c:tickLblPos val="nextTo"/>
        <c:crossAx val="3963852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4.0434945631796025E-2"/>
          <c:w val="0.81614847679643765"/>
          <c:h val="0.5724688269455791"/>
        </c:manualLayout>
      </c:layout>
      <c:barChart>
        <c:barDir val="bar"/>
        <c:grouping val="clustered"/>
        <c:varyColors val="0"/>
        <c:ser>
          <c:idx val="0"/>
          <c:order val="0"/>
          <c:tx>
            <c:strRef>
              <c:f>'minist pagal prior (2)'!$M$39</c:f>
              <c:strCache>
                <c:ptCount val="1"/>
                <c:pt idx="0">
                  <c:v>Nepaskirta projektams</c:v>
                </c:pt>
              </c:strCache>
            </c:strRef>
          </c:tx>
          <c:spPr>
            <a:solidFill>
              <a:schemeClr val="bg1">
                <a:lumMod val="85000"/>
              </a:schemeClr>
            </a:solidFill>
            <a:ln w="38100">
              <a:noFill/>
            </a:ln>
          </c:spPr>
          <c:invertIfNegative val="0"/>
          <c:cat>
            <c:strRef>
              <c:f>'minist pagal prior (2)'!$L$40:$L$42</c:f>
              <c:strCache>
                <c:ptCount val="3"/>
                <c:pt idx="0">
                  <c:v>SM, SaF</c:v>
                </c:pt>
                <c:pt idx="1">
                  <c:v>SM, ERPF</c:v>
                </c:pt>
                <c:pt idx="2">
                  <c:v>EM, ERPF</c:v>
                </c:pt>
              </c:strCache>
            </c:strRef>
          </c:cat>
          <c:val>
            <c:numRef>
              <c:f>'minist pagal prior (2)'!$M$40:$M$42</c:f>
              <c:numCache>
                <c:formatCode>0%</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0-5440-4A97-8841-5BEAF9142FBA}"/>
            </c:ext>
          </c:extLst>
        </c:ser>
        <c:ser>
          <c:idx val="2"/>
          <c:order val="1"/>
          <c:tx>
            <c:strRef>
              <c:f>'minist pagal prior (2)'!$N$39</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(2)'!$L$40:$L$42</c:f>
              <c:strCache>
                <c:ptCount val="3"/>
                <c:pt idx="0">
                  <c:v>SM, SaF</c:v>
                </c:pt>
                <c:pt idx="1">
                  <c:v>SM, ERPF</c:v>
                </c:pt>
                <c:pt idx="2">
                  <c:v>EM, ERPF</c:v>
                </c:pt>
              </c:strCache>
            </c:strRef>
          </c:cat>
          <c:val>
            <c:numRef>
              <c:f>'minist pagal prior (2)'!$N$40:$N$42</c:f>
              <c:numCache>
                <c:formatCode>0%</c:formatCode>
                <c:ptCount val="3"/>
                <c:pt idx="0">
                  <c:v>0.79200000000000004</c:v>
                </c:pt>
                <c:pt idx="1">
                  <c:v>1.0449999999999999</c:v>
                </c:pt>
                <c:pt idx="2">
                  <c:v>1.077</c:v>
                </c:pt>
              </c:numCache>
            </c:numRef>
          </c:val>
          <c:extLst xmlns:c16r2="http://schemas.microsoft.com/office/drawing/2015/06/chart">
            <c:ext xmlns:c16="http://schemas.microsoft.com/office/drawing/2014/chart" uri="{C3380CC4-5D6E-409C-BE32-E72D297353CC}">
              <c16:uniqueId val="{00000002-5440-4A97-8841-5BEAF9142FBA}"/>
            </c:ext>
          </c:extLst>
        </c:ser>
        <c:ser>
          <c:idx val="3"/>
          <c:order val="2"/>
          <c:tx>
            <c:strRef>
              <c:f>'minist pagal prior (2)'!$O$39</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(2)'!$L$40:$L$42</c:f>
              <c:strCache>
                <c:ptCount val="3"/>
                <c:pt idx="0">
                  <c:v>SM, SaF</c:v>
                </c:pt>
                <c:pt idx="1">
                  <c:v>SM, ERPF</c:v>
                </c:pt>
                <c:pt idx="2">
                  <c:v>EM, ERPF</c:v>
                </c:pt>
              </c:strCache>
            </c:strRef>
          </c:cat>
          <c:val>
            <c:numRef>
              <c:f>'minist pagal prior (2)'!$O$40:$O$42</c:f>
              <c:numCache>
                <c:formatCode>0%</c:formatCode>
                <c:ptCount val="3"/>
                <c:pt idx="0">
                  <c:v>0.626</c:v>
                </c:pt>
                <c:pt idx="1">
                  <c:v>0.80900000000000005</c:v>
                </c:pt>
                <c:pt idx="2">
                  <c:v>0.63200000000000001</c:v>
                </c:pt>
              </c:numCache>
            </c:numRef>
          </c:val>
          <c:extLst xmlns:c16r2="http://schemas.microsoft.com/office/drawing/2015/06/chart">
            <c:ext xmlns:c16="http://schemas.microsoft.com/office/drawing/2014/chart" uri="{C3380CC4-5D6E-409C-BE32-E72D297353CC}">
              <c16:uniqueId val="{00000003-5440-4A97-8841-5BEAF9142FBA}"/>
            </c:ext>
          </c:extLst>
        </c:ser>
        <c:dLbls>
          <c:showLegendKey val="0"/>
          <c:showVal val="0"/>
          <c:showCatName val="0"/>
          <c:showSerName val="0"/>
          <c:showPercent val="0"/>
          <c:showBubbleSize val="0"/>
        </c:dLbls>
        <c:gapWidth val="217"/>
        <c:overlap val="100"/>
        <c:axId val="65811584"/>
        <c:axId val="65813120"/>
      </c:barChart>
      <c:catAx>
        <c:axId val="65811584"/>
        <c:scaling>
          <c:orientation val="minMax"/>
        </c:scaling>
        <c:delete val="0"/>
        <c:axPos val="l"/>
        <c:numFmt formatCode="General" sourceLinked="0"/>
        <c:majorTickMark val="out"/>
        <c:minorTickMark val="none"/>
        <c:tickLblPos val="nextTo"/>
        <c:crossAx val="65813120"/>
        <c:crosses val="autoZero"/>
        <c:auto val="1"/>
        <c:lblAlgn val="ctr"/>
        <c:lblOffset val="100"/>
        <c:noMultiLvlLbl val="0"/>
      </c:catAx>
      <c:valAx>
        <c:axId val="65813120"/>
        <c:scaling>
          <c:orientation val="minMax"/>
          <c:max val="1.1000000000000001"/>
          <c:min val="0"/>
        </c:scaling>
        <c:delete val="0"/>
        <c:axPos val="b"/>
        <c:majorGridlines/>
        <c:numFmt formatCode="0%" sourceLinked="1"/>
        <c:majorTickMark val="out"/>
        <c:minorTickMark val="none"/>
        <c:tickLblPos val="nextTo"/>
        <c:crossAx val="65811584"/>
        <c:crosses val="autoZero"/>
        <c:crossBetween val="between"/>
        <c:majorUnit val="0.2"/>
      </c:valAx>
    </c:plotArea>
    <c:legend>
      <c:legendPos val="b"/>
      <c:layout>
        <c:manualLayout>
          <c:xMode val="edge"/>
          <c:yMode val="edge"/>
          <c:x val="7.8171830688346614E-2"/>
          <c:y val="0.80356848021937788"/>
          <c:w val="0.83952837164704253"/>
          <c:h val="0.18690349752792529"/>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2.160302034317782E-2"/>
          <c:w val="0.80995652633204129"/>
          <c:h val="0.67011160717961737"/>
        </c:manualLayout>
      </c:layout>
      <c:barChart>
        <c:barDir val="bar"/>
        <c:grouping val="clustered"/>
        <c:varyColors val="0"/>
        <c:ser>
          <c:idx val="0"/>
          <c:order val="0"/>
          <c:tx>
            <c:strRef>
              <c:f>'minist pagal prior (2)'!$M$47</c:f>
              <c:strCache>
                <c:ptCount val="1"/>
                <c:pt idx="0">
                  <c:v>Nepaskirta projektams</c:v>
                </c:pt>
              </c:strCache>
            </c:strRef>
          </c:tx>
          <c:spPr>
            <a:solidFill>
              <a:schemeClr val="bg1">
                <a:lumMod val="85000"/>
              </a:schemeClr>
            </a:solidFill>
          </c:spPr>
          <c:invertIfNegative val="0"/>
          <c:cat>
            <c:strRef>
              <c:f>'minist pagal prior (2)'!$L$48:$L$52</c:f>
              <c:strCache>
                <c:ptCount val="5"/>
                <c:pt idx="0">
                  <c:v>VRM, ERPF</c:v>
                </c:pt>
                <c:pt idx="1">
                  <c:v>KM, ERPF</c:v>
                </c:pt>
                <c:pt idx="2">
                  <c:v>SADM, ERPF</c:v>
                </c:pt>
                <c:pt idx="3">
                  <c:v>SADM, ESF</c:v>
                </c:pt>
                <c:pt idx="4">
                  <c:v>SADM,JUI</c:v>
                </c:pt>
              </c:strCache>
            </c:strRef>
          </c:cat>
          <c:val>
            <c:numRef>
              <c:f>'minist pagal prior (2)'!$M$48:$M$52</c:f>
              <c:numCache>
                <c:formatCode>0%</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1-D42F-4A17-A189-9994DEE664F5}"/>
            </c:ext>
          </c:extLst>
        </c:ser>
        <c:ser>
          <c:idx val="2"/>
          <c:order val="1"/>
          <c:tx>
            <c:strRef>
              <c:f>'minist pagal prior (2)'!$N$47</c:f>
              <c:strCache>
                <c:ptCount val="1"/>
                <c:pt idx="0">
                  <c:v>Sudaryta sutarčių</c:v>
                </c:pt>
              </c:strCache>
            </c:strRef>
          </c:tx>
          <c:spPr>
            <a:solidFill>
              <a:schemeClr val="accent1"/>
            </a:solidFill>
            <a:ln w="50800">
              <a:solidFill>
                <a:schemeClr val="accent1"/>
              </a:solidFill>
            </a:ln>
          </c:spPr>
          <c:invertIfNegative val="0"/>
          <c:dLbls>
            <c:dLbl>
              <c:idx val="3"/>
              <c:layout>
                <c:manualLayout>
                  <c:x val="-3.2770694684836225E-2"/>
                  <c:y val="0"/>
                </c:manualLayout>
              </c:layout>
              <c:dLblPos val="outEnd"/>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(2)'!$L$48:$L$52</c:f>
              <c:strCache>
                <c:ptCount val="5"/>
                <c:pt idx="0">
                  <c:v>VRM, ERPF</c:v>
                </c:pt>
                <c:pt idx="1">
                  <c:v>KM, ERPF</c:v>
                </c:pt>
                <c:pt idx="2">
                  <c:v>SADM, ERPF</c:v>
                </c:pt>
                <c:pt idx="3">
                  <c:v>SADM, ESF</c:v>
                </c:pt>
                <c:pt idx="4">
                  <c:v>SADM,JUI</c:v>
                </c:pt>
              </c:strCache>
            </c:strRef>
          </c:cat>
          <c:val>
            <c:numRef>
              <c:f>'minist pagal prior (2)'!$N$48:$N$52</c:f>
              <c:numCache>
                <c:formatCode>0%</c:formatCode>
                <c:ptCount val="5"/>
                <c:pt idx="0">
                  <c:v>1.0229999999999999</c:v>
                </c:pt>
                <c:pt idx="1">
                  <c:v>0.96199999999999997</c:v>
                </c:pt>
                <c:pt idx="2">
                  <c:v>0.98799999999999999</c:v>
                </c:pt>
                <c:pt idx="3">
                  <c:v>1.0489999999999999</c:v>
                </c:pt>
                <c:pt idx="4">
                  <c:v>1.004</c:v>
                </c:pt>
              </c:numCache>
            </c:numRef>
          </c:val>
          <c:extLst xmlns:c16r2="http://schemas.microsoft.com/office/drawing/2015/06/chart">
            <c:ext xmlns:c16="http://schemas.microsoft.com/office/drawing/2014/chart" uri="{C3380CC4-5D6E-409C-BE32-E72D297353CC}">
              <c16:uniqueId val="{00000003-D42F-4A17-A189-9994DEE664F5}"/>
            </c:ext>
          </c:extLst>
        </c:ser>
        <c:ser>
          <c:idx val="3"/>
          <c:order val="2"/>
          <c:tx>
            <c:strRef>
              <c:f>'minist pagal prior (2)'!$O$47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(2)'!$L$48:$L$52</c:f>
              <c:strCache>
                <c:ptCount val="5"/>
                <c:pt idx="0">
                  <c:v>VRM, ERPF</c:v>
                </c:pt>
                <c:pt idx="1">
                  <c:v>KM, ERPF</c:v>
                </c:pt>
                <c:pt idx="2">
                  <c:v>SADM, ERPF</c:v>
                </c:pt>
                <c:pt idx="3">
                  <c:v>SADM, ESF</c:v>
                </c:pt>
                <c:pt idx="4">
                  <c:v>SADM,JUI</c:v>
                </c:pt>
              </c:strCache>
            </c:strRef>
          </c:cat>
          <c:val>
            <c:numRef>
              <c:f>'minist pagal prior (2)'!$O$48:$O$52</c:f>
              <c:numCache>
                <c:formatCode>0%</c:formatCode>
                <c:ptCount val="5"/>
                <c:pt idx="0">
                  <c:v>0.68799999999999994</c:v>
                </c:pt>
                <c:pt idx="1">
                  <c:v>0.61399999999999999</c:v>
                </c:pt>
                <c:pt idx="2">
                  <c:v>1.7999999999999999E-2</c:v>
                </c:pt>
                <c:pt idx="3">
                  <c:v>0.97799999999999998</c:v>
                </c:pt>
                <c:pt idx="4">
                  <c:v>1.004</c:v>
                </c:pt>
              </c:numCache>
            </c:numRef>
          </c:val>
          <c:extLst xmlns:c16r2="http://schemas.microsoft.com/office/drawing/2015/06/chart">
            <c:ext xmlns:c16="http://schemas.microsoft.com/office/drawing/2014/chart" uri="{C3380CC4-5D6E-409C-BE32-E72D297353CC}">
              <c16:uniqueId val="{00000004-D42F-4A17-A189-9994DEE664F5}"/>
            </c:ext>
          </c:extLst>
        </c:ser>
        <c:dLbls>
          <c:showLegendKey val="0"/>
          <c:showVal val="0"/>
          <c:showCatName val="0"/>
          <c:showSerName val="0"/>
          <c:showPercent val="0"/>
          <c:showBubbleSize val="0"/>
        </c:dLbls>
        <c:gapWidth val="107"/>
        <c:overlap val="100"/>
        <c:axId val="65854080"/>
        <c:axId val="117965184"/>
      </c:barChart>
      <c:catAx>
        <c:axId val="65854080"/>
        <c:scaling>
          <c:orientation val="minMax"/>
        </c:scaling>
        <c:delete val="0"/>
        <c:axPos val="l"/>
        <c:numFmt formatCode="General" sourceLinked="0"/>
        <c:majorTickMark val="out"/>
        <c:minorTickMark val="none"/>
        <c:tickLblPos val="nextTo"/>
        <c:crossAx val="117965184"/>
        <c:crosses val="autoZero"/>
        <c:auto val="1"/>
        <c:lblAlgn val="ctr"/>
        <c:lblOffset val="100"/>
        <c:noMultiLvlLbl val="0"/>
      </c:catAx>
      <c:valAx>
        <c:axId val="117965184"/>
        <c:scaling>
          <c:orientation val="minMax"/>
          <c:max val="1.05"/>
          <c:min val="0"/>
        </c:scaling>
        <c:delete val="0"/>
        <c:axPos val="b"/>
        <c:majorGridlines/>
        <c:numFmt formatCode="0%" sourceLinked="1"/>
        <c:majorTickMark val="out"/>
        <c:minorTickMark val="none"/>
        <c:tickLblPos val="nextTo"/>
        <c:crossAx val="65854080"/>
        <c:crosses val="autoZero"/>
        <c:crossBetween val="between"/>
        <c:majorUnit val="0.2"/>
      </c:valAx>
    </c:plotArea>
    <c:legend>
      <c:legendPos val="b"/>
      <c:layout>
        <c:manualLayout>
          <c:xMode val="edge"/>
          <c:yMode val="edge"/>
          <c:x val="7.8171830688346614E-2"/>
          <c:y val="0.85486563137722393"/>
          <c:w val="0.83952837164704253"/>
          <c:h val="0.10088217962326664"/>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4.068830222656826E-2"/>
          <c:w val="0.81614847679643765"/>
          <c:h val="0.73371075074548375"/>
        </c:manualLayout>
      </c:layout>
      <c:barChart>
        <c:barDir val="bar"/>
        <c:grouping val="clustered"/>
        <c:varyColors val="0"/>
        <c:ser>
          <c:idx val="0"/>
          <c:order val="0"/>
          <c:tx>
            <c:strRef>
              <c:f>'minist pagal prior (2)'!$M$57</c:f>
              <c:strCache>
                <c:ptCount val="1"/>
                <c:pt idx="0">
                  <c:v>Nepaskirta projektams</c:v>
                </c:pt>
              </c:strCache>
            </c:strRef>
          </c:tx>
          <c:spPr>
            <a:solidFill>
              <a:schemeClr val="bg1">
                <a:lumMod val="85000"/>
              </a:schemeClr>
            </a:solidFill>
            <a:ln w="38100">
              <a:noFill/>
            </a:ln>
          </c:spPr>
          <c:invertIfNegative val="0"/>
          <c:cat>
            <c:strRef>
              <c:f>'minist pagal prior (2)'!$L$58:$L$64</c:f>
              <c:strCache>
                <c:ptCount val="7"/>
                <c:pt idx="0">
                  <c:v>VRM, ESF</c:v>
                </c:pt>
                <c:pt idx="1">
                  <c:v>VRM, ERPF</c:v>
                </c:pt>
                <c:pt idx="2">
                  <c:v>EIM, ESF</c:v>
                </c:pt>
                <c:pt idx="3">
                  <c:v>SAM, ESF</c:v>
                </c:pt>
                <c:pt idx="4">
                  <c:v>SAM, ERPF</c:v>
                </c:pt>
                <c:pt idx="5">
                  <c:v>SADM, ESF</c:v>
                </c:pt>
                <c:pt idx="6">
                  <c:v>SADM, ERPF</c:v>
                </c:pt>
              </c:strCache>
            </c:strRef>
          </c:cat>
          <c:val>
            <c:numRef>
              <c:f>'minist pagal prior (2)'!$M$58:$M$64</c:f>
              <c:numCache>
                <c:formatCode>0%</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2-79F8-4C15-A2D8-494881B73860}"/>
            </c:ext>
          </c:extLst>
        </c:ser>
        <c:ser>
          <c:idx val="2"/>
          <c:order val="1"/>
          <c:tx>
            <c:strRef>
              <c:f>'minist pagal prior (2)'!$N$57</c:f>
              <c:strCache>
                <c:ptCount val="1"/>
                <c:pt idx="0">
                  <c:v>Sudaryta sutarčių</c:v>
                </c:pt>
              </c:strCache>
            </c:strRef>
          </c:tx>
          <c:spPr>
            <a:solidFill>
              <a:schemeClr val="accent1"/>
            </a:solidFill>
            <a:ln w="50800">
              <a:solidFill>
                <a:schemeClr val="accent1"/>
              </a:solidFill>
            </a:ln>
          </c:spPr>
          <c:invertIfNegative val="0"/>
          <c:dLbls>
            <c:dLbl>
              <c:idx val="0"/>
              <c:layout>
                <c:manualLayout>
                  <c:x val="-9.3011221894476817E-2"/>
                  <c:y val="0"/>
                </c:manualLayout>
              </c:layout>
              <c:dLblPos val="outEnd"/>
              <c:showLegendKey val="0"/>
              <c:showVal val="1"/>
              <c:showCatName val="0"/>
              <c:showSerName val="0"/>
              <c:showPercent val="0"/>
              <c:showBubbleSize val="0"/>
            </c:dLbl>
            <c:dLbl>
              <c:idx val="1"/>
              <c:dLblPos val="inEnd"/>
              <c:showLegendKey val="0"/>
              <c:showVal val="1"/>
              <c:showCatName val="0"/>
              <c:showSerName val="0"/>
              <c:showPercent val="0"/>
              <c:showBubbleSize val="0"/>
            </c:dLbl>
            <c:dLbl>
              <c:idx val="2"/>
              <c:dLblPos val="inEnd"/>
              <c:showLegendKey val="0"/>
              <c:showVal val="1"/>
              <c:showCatName val="0"/>
              <c:showSerName val="0"/>
              <c:showPercent val="0"/>
              <c:showBubbleSize val="0"/>
            </c:dLbl>
            <c:dLbl>
              <c:idx val="3"/>
              <c:dLblPos val="inEnd"/>
              <c:showLegendKey val="0"/>
              <c:showVal val="1"/>
              <c:showCatName val="0"/>
              <c:showSerName val="0"/>
              <c:showPercent val="0"/>
              <c:showBubbleSize val="0"/>
            </c:dLbl>
            <c:dLbl>
              <c:idx val="4"/>
              <c:dLblPos val="inEnd"/>
              <c:showLegendKey val="0"/>
              <c:showVal val="1"/>
              <c:showCatName val="0"/>
              <c:showSerName val="0"/>
              <c:showPercent val="0"/>
              <c:showBubbleSize val="0"/>
            </c:dLbl>
            <c:dLbl>
              <c:idx val="5"/>
              <c:dLblPos val="inEnd"/>
              <c:showLegendKey val="0"/>
              <c:showVal val="1"/>
              <c:showCatName val="0"/>
              <c:showSerName val="0"/>
              <c:showPercent val="0"/>
              <c:showBubbleSize val="0"/>
            </c:dLbl>
            <c:dLbl>
              <c:idx val="6"/>
              <c:dLblPos val="inEnd"/>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(2)'!$L$58:$L$64</c:f>
              <c:strCache>
                <c:ptCount val="7"/>
                <c:pt idx="0">
                  <c:v>VRM, ESF</c:v>
                </c:pt>
                <c:pt idx="1">
                  <c:v>VRM, ERPF</c:v>
                </c:pt>
                <c:pt idx="2">
                  <c:v>EIM, ESF</c:v>
                </c:pt>
                <c:pt idx="3">
                  <c:v>SAM, ESF</c:v>
                </c:pt>
                <c:pt idx="4">
                  <c:v>SAM, ERPF</c:v>
                </c:pt>
                <c:pt idx="5">
                  <c:v>SADM, ESF</c:v>
                </c:pt>
                <c:pt idx="6">
                  <c:v>SADM, ERPF</c:v>
                </c:pt>
              </c:strCache>
            </c:strRef>
          </c:cat>
          <c:val>
            <c:numRef>
              <c:f>'minist pagal prior (2)'!$N$58:$N$64</c:f>
              <c:numCache>
                <c:formatCode>0%</c:formatCode>
                <c:ptCount val="7"/>
                <c:pt idx="0">
                  <c:v>1.2470000000000001</c:v>
                </c:pt>
                <c:pt idx="1">
                  <c:v>1.0509999999999999</c:v>
                </c:pt>
                <c:pt idx="2">
                  <c:v>0.93899999999999995</c:v>
                </c:pt>
                <c:pt idx="3">
                  <c:v>1.1259999999999999</c:v>
                </c:pt>
                <c:pt idx="4">
                  <c:v>1.0509999999999999</c:v>
                </c:pt>
                <c:pt idx="5">
                  <c:v>0.997</c:v>
                </c:pt>
                <c:pt idx="6">
                  <c:v>1.0820000000000001</c:v>
                </c:pt>
              </c:numCache>
            </c:numRef>
          </c:val>
          <c:extLst xmlns:c16r2="http://schemas.microsoft.com/office/drawing/2015/06/chart">
            <c:ext xmlns:c16="http://schemas.microsoft.com/office/drawing/2014/chart" uri="{C3380CC4-5D6E-409C-BE32-E72D297353CC}">
              <c16:uniqueId val="{00000005-79F8-4C15-A2D8-494881B73860}"/>
            </c:ext>
          </c:extLst>
        </c:ser>
        <c:ser>
          <c:idx val="3"/>
          <c:order val="2"/>
          <c:tx>
            <c:strRef>
              <c:f>'minist pagal prior (2)'!$O$57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(2)'!$L$58:$L$64</c:f>
              <c:strCache>
                <c:ptCount val="7"/>
                <c:pt idx="0">
                  <c:v>VRM, ESF</c:v>
                </c:pt>
                <c:pt idx="1">
                  <c:v>VRM, ERPF</c:v>
                </c:pt>
                <c:pt idx="2">
                  <c:v>EIM, ESF</c:v>
                </c:pt>
                <c:pt idx="3">
                  <c:v>SAM, ESF</c:v>
                </c:pt>
                <c:pt idx="4">
                  <c:v>SAM, ERPF</c:v>
                </c:pt>
                <c:pt idx="5">
                  <c:v>SADM, ESF</c:v>
                </c:pt>
                <c:pt idx="6">
                  <c:v>SADM, ERPF</c:v>
                </c:pt>
              </c:strCache>
            </c:strRef>
          </c:cat>
          <c:val>
            <c:numRef>
              <c:f>'minist pagal prior (2)'!$O$58:$O$64</c:f>
              <c:numCache>
                <c:formatCode>0%</c:formatCode>
                <c:ptCount val="7"/>
                <c:pt idx="0">
                  <c:v>0.85299999999999998</c:v>
                </c:pt>
                <c:pt idx="1">
                  <c:v>0.92600000000000005</c:v>
                </c:pt>
                <c:pt idx="2">
                  <c:v>0.46400000000000002</c:v>
                </c:pt>
                <c:pt idx="3">
                  <c:v>0.624</c:v>
                </c:pt>
                <c:pt idx="4">
                  <c:v>0.7</c:v>
                </c:pt>
                <c:pt idx="5">
                  <c:v>0.85</c:v>
                </c:pt>
                <c:pt idx="6">
                  <c:v>0.57499999999999996</c:v>
                </c:pt>
              </c:numCache>
            </c:numRef>
          </c:val>
          <c:extLst xmlns:c16r2="http://schemas.microsoft.com/office/drawing/2015/06/chart">
            <c:ext xmlns:c16="http://schemas.microsoft.com/office/drawing/2014/chart" uri="{C3380CC4-5D6E-409C-BE32-E72D297353CC}">
              <c16:uniqueId val="{00000006-79F8-4C15-A2D8-494881B73860}"/>
            </c:ext>
          </c:extLst>
        </c:ser>
        <c:dLbls>
          <c:showLegendKey val="0"/>
          <c:showVal val="0"/>
          <c:showCatName val="0"/>
          <c:showSerName val="0"/>
          <c:showPercent val="0"/>
          <c:showBubbleSize val="0"/>
        </c:dLbls>
        <c:gapWidth val="73"/>
        <c:overlap val="100"/>
        <c:axId val="118002048"/>
        <c:axId val="118003584"/>
      </c:barChart>
      <c:catAx>
        <c:axId val="118002048"/>
        <c:scaling>
          <c:orientation val="minMax"/>
        </c:scaling>
        <c:delete val="0"/>
        <c:axPos val="l"/>
        <c:numFmt formatCode="General" sourceLinked="0"/>
        <c:majorTickMark val="out"/>
        <c:minorTickMark val="none"/>
        <c:tickLblPos val="nextTo"/>
        <c:crossAx val="118003584"/>
        <c:crosses val="autoZero"/>
        <c:auto val="1"/>
        <c:lblAlgn val="ctr"/>
        <c:lblOffset val="100"/>
        <c:noMultiLvlLbl val="0"/>
      </c:catAx>
      <c:valAx>
        <c:axId val="118003584"/>
        <c:scaling>
          <c:orientation val="minMax"/>
          <c:max val="1.1500000000000001"/>
          <c:min val="0"/>
        </c:scaling>
        <c:delete val="0"/>
        <c:axPos val="b"/>
        <c:majorGridlines/>
        <c:numFmt formatCode="0%" sourceLinked="1"/>
        <c:majorTickMark val="out"/>
        <c:minorTickMark val="none"/>
        <c:tickLblPos val="nextTo"/>
        <c:crossAx val="118002048"/>
        <c:crosses val="autoZero"/>
        <c:crossBetween val="between"/>
        <c:majorUnit val="0.2"/>
      </c:valAx>
    </c:plotArea>
    <c:legend>
      <c:legendPos val="b"/>
      <c:layout>
        <c:manualLayout>
          <c:xMode val="edge"/>
          <c:yMode val="edge"/>
          <c:x val="7.8171830688346614E-2"/>
          <c:y val="0.87815021045777897"/>
          <c:w val="0.83952837164704253"/>
          <c:h val="9.0842061058170581E-2"/>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03703703705"/>
        </c:manualLayout>
      </c:layout>
      <c:barChart>
        <c:barDir val="bar"/>
        <c:grouping val="clustered"/>
        <c:varyColors val="0"/>
        <c:ser>
          <c:idx val="0"/>
          <c:order val="0"/>
          <c:tx>
            <c:strRef>
              <c:f>'minist pagal prior (2)'!$M$68</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'minist pagal prior (2)'!$L$69:$L$71</c:f>
              <c:strCache>
                <c:ptCount val="3"/>
                <c:pt idx="0">
                  <c:v>ŠMSM, ESF</c:v>
                </c:pt>
                <c:pt idx="1">
                  <c:v>ŠMSM, ERPF</c:v>
                </c:pt>
                <c:pt idx="2">
                  <c:v>EIM, ESF</c:v>
                </c:pt>
              </c:strCache>
            </c:strRef>
          </c:cat>
          <c:val>
            <c:numRef>
              <c:f>'minist pagal prior (2)'!$M$69:$M$71</c:f>
              <c:numCache>
                <c:formatCode>0%</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0-49F7-4EAB-92CB-A9520C401FCB}"/>
            </c:ext>
          </c:extLst>
        </c:ser>
        <c:ser>
          <c:idx val="2"/>
          <c:order val="1"/>
          <c:tx>
            <c:strRef>
              <c:f>'minist pagal prior (2)'!$N$68</c:f>
              <c:strCache>
                <c:ptCount val="1"/>
                <c:pt idx="0">
                  <c:v>Sudaryta sutarčių</c:v>
                </c:pt>
              </c:strCache>
            </c:strRef>
          </c:tx>
          <c:spPr>
            <a:solidFill>
              <a:schemeClr val="accent1"/>
            </a:solidFill>
            <a:ln w="50800">
              <a:solidFill>
                <a:schemeClr val="accent1"/>
              </a:solidFill>
            </a:ln>
          </c:spPr>
          <c:invertIfNegative val="0"/>
          <c:dLbls>
            <c:dLbl>
              <c:idx val="0"/>
              <c:layout>
                <c:manualLayout>
                  <c:x val="-6.8111617626744031E-2"/>
                  <c:y val="0"/>
                </c:manualLayout>
              </c:layout>
              <c:dLblPos val="outEnd"/>
              <c:showLegendKey val="0"/>
              <c:showVal val="1"/>
              <c:showCatName val="0"/>
              <c:showSerName val="0"/>
              <c:showPercent val="0"/>
              <c:showBubbleSize val="0"/>
            </c:dLbl>
            <c:dLbl>
              <c:idx val="1"/>
              <c:layout>
                <c:manualLayout>
                  <c:x val="-8.2465078862046265E-2"/>
                  <c:y val="9.7323675555051475E-3"/>
                </c:manualLayout>
              </c:layout>
              <c:dLblPos val="outEnd"/>
              <c:showLegendKey val="0"/>
              <c:showVal val="1"/>
              <c:showCatName val="0"/>
              <c:showSerName val="0"/>
              <c:showPercent val="0"/>
              <c:showBubbleSize val="0"/>
            </c:dLbl>
            <c:dLbl>
              <c:idx val="2"/>
              <c:dLblPos val="inEnd"/>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(2)'!$L$69:$L$71</c:f>
              <c:strCache>
                <c:ptCount val="3"/>
                <c:pt idx="0">
                  <c:v>ŠMSM, ESF</c:v>
                </c:pt>
                <c:pt idx="1">
                  <c:v>ŠMSM, ERPF</c:v>
                </c:pt>
                <c:pt idx="2">
                  <c:v>EIM, ESF</c:v>
                </c:pt>
              </c:strCache>
            </c:strRef>
          </c:cat>
          <c:val>
            <c:numRef>
              <c:f>'minist pagal prior (2)'!$N$69:$N$71</c:f>
              <c:numCache>
                <c:formatCode>0%</c:formatCode>
                <c:ptCount val="3"/>
                <c:pt idx="0">
                  <c:v>1.0900000000000001</c:v>
                </c:pt>
                <c:pt idx="1">
                  <c:v>1.069</c:v>
                </c:pt>
                <c:pt idx="2">
                  <c:v>0.93899999999999995</c:v>
                </c:pt>
              </c:numCache>
            </c:numRef>
          </c:val>
          <c:extLst xmlns:c16r2="http://schemas.microsoft.com/office/drawing/2015/06/chart">
            <c:ext xmlns:c16="http://schemas.microsoft.com/office/drawing/2014/chart" uri="{C3380CC4-5D6E-409C-BE32-E72D297353CC}">
              <c16:uniqueId val="{00000003-49F7-4EAB-92CB-A9520C401FCB}"/>
            </c:ext>
          </c:extLst>
        </c:ser>
        <c:ser>
          <c:idx val="3"/>
          <c:order val="2"/>
          <c:tx>
            <c:strRef>
              <c:f>'minist pagal prior (2)'!$O$68</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(2)'!$L$69:$L$71</c:f>
              <c:strCache>
                <c:ptCount val="3"/>
                <c:pt idx="0">
                  <c:v>ŠMSM, ESF</c:v>
                </c:pt>
                <c:pt idx="1">
                  <c:v>ŠMSM, ERPF</c:v>
                </c:pt>
                <c:pt idx="2">
                  <c:v>EIM, ESF</c:v>
                </c:pt>
              </c:strCache>
            </c:strRef>
          </c:cat>
          <c:val>
            <c:numRef>
              <c:f>'minist pagal prior (2)'!$O$69:$O$71</c:f>
              <c:numCache>
                <c:formatCode>0%</c:formatCode>
                <c:ptCount val="3"/>
                <c:pt idx="0">
                  <c:v>0.77</c:v>
                </c:pt>
                <c:pt idx="1">
                  <c:v>0.76500000000000001</c:v>
                </c:pt>
                <c:pt idx="2">
                  <c:v>0.56599999999999995</c:v>
                </c:pt>
              </c:numCache>
            </c:numRef>
          </c:val>
          <c:extLst xmlns:c16r2="http://schemas.microsoft.com/office/drawing/2015/06/chart">
            <c:ext xmlns:c16="http://schemas.microsoft.com/office/drawing/2014/chart" uri="{C3380CC4-5D6E-409C-BE32-E72D297353CC}">
              <c16:uniqueId val="{00000004-49F7-4EAB-92CB-A9520C401FCB}"/>
            </c:ext>
          </c:extLst>
        </c:ser>
        <c:dLbls>
          <c:showLegendKey val="0"/>
          <c:showVal val="0"/>
          <c:showCatName val="0"/>
          <c:showSerName val="0"/>
          <c:showPercent val="0"/>
          <c:showBubbleSize val="0"/>
        </c:dLbls>
        <c:gapWidth val="120"/>
        <c:overlap val="100"/>
        <c:axId val="118314496"/>
        <c:axId val="118316032"/>
      </c:barChart>
      <c:catAx>
        <c:axId val="118314496"/>
        <c:scaling>
          <c:orientation val="minMax"/>
        </c:scaling>
        <c:delete val="0"/>
        <c:axPos val="l"/>
        <c:numFmt formatCode="General" sourceLinked="0"/>
        <c:majorTickMark val="out"/>
        <c:minorTickMark val="none"/>
        <c:tickLblPos val="nextTo"/>
        <c:crossAx val="118316032"/>
        <c:crosses val="autoZero"/>
        <c:auto val="1"/>
        <c:lblAlgn val="ctr"/>
        <c:lblOffset val="100"/>
        <c:noMultiLvlLbl val="0"/>
      </c:catAx>
      <c:valAx>
        <c:axId val="118316032"/>
        <c:scaling>
          <c:orientation val="minMax"/>
          <c:max val="1.05"/>
          <c:min val="0"/>
        </c:scaling>
        <c:delete val="0"/>
        <c:axPos val="b"/>
        <c:majorGridlines/>
        <c:numFmt formatCode="0%" sourceLinked="1"/>
        <c:majorTickMark val="out"/>
        <c:minorTickMark val="none"/>
        <c:tickLblPos val="nextTo"/>
        <c:crossAx val="11831449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376457586764505"/>
          <c:h val="0.33947691597861029"/>
        </c:manualLayout>
      </c:layout>
      <c:barChart>
        <c:barDir val="bar"/>
        <c:grouping val="clustered"/>
        <c:varyColors val="0"/>
        <c:ser>
          <c:idx val="0"/>
          <c:order val="0"/>
          <c:tx>
            <c:strRef>
              <c:f>'minist pagal prior (2)'!$M$75</c:f>
              <c:strCache>
                <c:ptCount val="1"/>
                <c:pt idx="0">
                  <c:v>Nepaskirta projektams</c:v>
                </c:pt>
              </c:strCache>
            </c:strRef>
          </c:tx>
          <c:spPr>
            <a:solidFill>
              <a:schemeClr val="bg1">
                <a:lumMod val="85000"/>
              </a:schemeClr>
            </a:solidFill>
          </c:spPr>
          <c:invertIfNegative val="0"/>
          <c:cat>
            <c:strRef>
              <c:f>'minist pagal prior (2)'!$L$76</c:f>
              <c:strCache>
                <c:ptCount val="1"/>
                <c:pt idx="0">
                  <c:v>VRM, ESF</c:v>
                </c:pt>
              </c:strCache>
            </c:strRef>
          </c:cat>
          <c:val>
            <c:numRef>
              <c:f>'minist pagal prior (2)'!$M$76</c:f>
              <c:numCache>
                <c:formatCode>0%</c:formatCode>
                <c:ptCount val="1"/>
                <c:pt idx="0">
                  <c:v>1</c:v>
                </c:pt>
              </c:numCache>
            </c:numRef>
          </c:val>
          <c:extLst xmlns:c16r2="http://schemas.microsoft.com/office/drawing/2015/06/chart">
            <c:ext xmlns:c16="http://schemas.microsoft.com/office/drawing/2014/chart" uri="{C3380CC4-5D6E-409C-BE32-E72D297353CC}">
              <c16:uniqueId val="{00000001-2BE4-41B0-94FF-565662735721}"/>
            </c:ext>
          </c:extLst>
        </c:ser>
        <c:ser>
          <c:idx val="2"/>
          <c:order val="1"/>
          <c:tx>
            <c:strRef>
              <c:f>'minist pagal prior (2)'!$N$75</c:f>
              <c:strCache>
                <c:ptCount val="1"/>
                <c:pt idx="0">
                  <c:v>Sudaryta sutarčių</c:v>
                </c:pt>
              </c:strCache>
            </c:strRef>
          </c:tx>
          <c:spPr>
            <a:solidFill>
              <a:schemeClr val="accent1"/>
            </a:solidFill>
            <a:ln w="50800">
              <a:solidFill>
                <a:schemeClr val="accent1"/>
              </a:solidFill>
            </a:ln>
          </c:spPr>
          <c:invertIfNegative val="0"/>
          <c:dLbls>
            <c:dLbl>
              <c:idx val="0"/>
              <c:layout>
                <c:manualLayout>
                  <c:x val="-7.434939827568008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BE4-41B0-94FF-565662735721}"/>
                </c:ext>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(2)'!$L$76</c:f>
              <c:strCache>
                <c:ptCount val="1"/>
                <c:pt idx="0">
                  <c:v>VRM, ESF</c:v>
                </c:pt>
              </c:strCache>
            </c:strRef>
          </c:cat>
          <c:val>
            <c:numRef>
              <c:f>'minist pagal prior (2)'!$N$76</c:f>
              <c:numCache>
                <c:formatCode>0%</c:formatCode>
                <c:ptCount val="1"/>
                <c:pt idx="0">
                  <c:v>0.95799999999999996</c:v>
                </c:pt>
              </c:numCache>
            </c:numRef>
          </c:val>
          <c:extLst xmlns:c16r2="http://schemas.microsoft.com/office/drawing/2015/06/chart">
            <c:ext xmlns:c16="http://schemas.microsoft.com/office/drawing/2014/chart" uri="{C3380CC4-5D6E-409C-BE32-E72D297353CC}">
              <c16:uniqueId val="{00000003-2BE4-41B0-94FF-565662735721}"/>
            </c:ext>
          </c:extLst>
        </c:ser>
        <c:ser>
          <c:idx val="3"/>
          <c:order val="2"/>
          <c:tx>
            <c:strRef>
              <c:f>'minist pagal prior (2)'!$O$75</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(2)'!$L$76</c:f>
              <c:strCache>
                <c:ptCount val="1"/>
                <c:pt idx="0">
                  <c:v>VRM, ESF</c:v>
                </c:pt>
              </c:strCache>
            </c:strRef>
          </c:cat>
          <c:val>
            <c:numRef>
              <c:f>'minist pagal prior (2)'!$O$76</c:f>
              <c:numCache>
                <c:formatCode>0%</c:formatCode>
                <c:ptCount val="1"/>
                <c:pt idx="0">
                  <c:v>0.56200000000000006</c:v>
                </c:pt>
              </c:numCache>
            </c:numRef>
          </c:val>
          <c:extLst xmlns:c16r2="http://schemas.microsoft.com/office/drawing/2015/06/chart">
            <c:ext xmlns:c16="http://schemas.microsoft.com/office/drawing/2014/chart" uri="{C3380CC4-5D6E-409C-BE32-E72D297353CC}">
              <c16:uniqueId val="{00000004-2BE4-41B0-94FF-565662735721}"/>
            </c:ext>
          </c:extLst>
        </c:ser>
        <c:dLbls>
          <c:showLegendKey val="0"/>
          <c:showVal val="0"/>
          <c:showCatName val="0"/>
          <c:showSerName val="0"/>
          <c:showPercent val="0"/>
          <c:showBubbleSize val="0"/>
        </c:dLbls>
        <c:gapWidth val="133"/>
        <c:overlap val="100"/>
        <c:axId val="118357376"/>
        <c:axId val="118051968"/>
      </c:barChart>
      <c:catAx>
        <c:axId val="118357376"/>
        <c:scaling>
          <c:orientation val="minMax"/>
        </c:scaling>
        <c:delete val="0"/>
        <c:axPos val="l"/>
        <c:numFmt formatCode="General" sourceLinked="0"/>
        <c:majorTickMark val="out"/>
        <c:minorTickMark val="none"/>
        <c:tickLblPos val="nextTo"/>
        <c:crossAx val="118051968"/>
        <c:crosses val="autoZero"/>
        <c:auto val="1"/>
        <c:lblAlgn val="ctr"/>
        <c:lblOffset val="100"/>
        <c:noMultiLvlLbl val="0"/>
      </c:catAx>
      <c:valAx>
        <c:axId val="118051968"/>
        <c:scaling>
          <c:orientation val="minMax"/>
          <c:max val="1.1000000000000001"/>
          <c:min val="0"/>
        </c:scaling>
        <c:delete val="0"/>
        <c:axPos val="b"/>
        <c:majorGridlines/>
        <c:numFmt formatCode="0%" sourceLinked="1"/>
        <c:majorTickMark val="out"/>
        <c:minorTickMark val="none"/>
        <c:tickLblPos val="nextTo"/>
        <c:crossAx val="118357376"/>
        <c:crosses val="autoZero"/>
        <c:crossBetween val="between"/>
        <c:majorUnit val="0.2"/>
      </c:valAx>
    </c:plotArea>
    <c:legend>
      <c:legendPos val="b"/>
      <c:layout>
        <c:manualLayout>
          <c:xMode val="edge"/>
          <c:yMode val="edge"/>
          <c:x val="7.8171830688346614E-2"/>
          <c:y val="0.77890009517902359"/>
          <c:w val="0.83952837164704253"/>
          <c:h val="0.18690349752792529"/>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explosion val="25"/>
          <c:dLbls>
            <c:dLbl>
              <c:idx val="0"/>
              <c:layout>
                <c:manualLayout>
                  <c:x val="0.1319910514541387"/>
                  <c:y val="-6.7917783735478132E-2"/>
                </c:manualLayout>
              </c:layout>
              <c:showLegendKey val="0"/>
              <c:showVal val="1"/>
              <c:showCatName val="1"/>
              <c:showSerName val="0"/>
              <c:showPercent val="0"/>
              <c:showBubbleSize val="0"/>
            </c:dLbl>
            <c:dLbl>
              <c:idx val="1"/>
              <c:layout>
                <c:manualLayout>
                  <c:x val="0.1946306963307439"/>
                  <c:y val="-1.4298480786416443E-2"/>
                </c:manualLayout>
              </c:layout>
              <c:showLegendKey val="0"/>
              <c:showVal val="1"/>
              <c:showCatName val="1"/>
              <c:showSerName val="0"/>
              <c:showPercent val="0"/>
              <c:showBubbleSize val="0"/>
            </c:dLbl>
            <c:dLbl>
              <c:idx val="2"/>
              <c:layout>
                <c:manualLayout>
                  <c:x val="0.12080536912751678"/>
                  <c:y val="0.15370866845397677"/>
                </c:manualLayout>
              </c:layout>
              <c:showLegendKey val="0"/>
              <c:showVal val="1"/>
              <c:showCatName val="1"/>
              <c:showSerName val="0"/>
              <c:showPercent val="0"/>
              <c:showBubbleSize val="0"/>
            </c:dLbl>
            <c:dLbl>
              <c:idx val="3"/>
              <c:layout>
                <c:manualLayout>
                  <c:x val="-5.145413870246085E-2"/>
                  <c:y val="0.15728328865058089"/>
                </c:manualLayout>
              </c:layout>
              <c:showLegendKey val="0"/>
              <c:showVal val="1"/>
              <c:showCatName val="1"/>
              <c:showSerName val="0"/>
              <c:showPercent val="0"/>
              <c:showBubbleSize val="0"/>
            </c:dLbl>
            <c:dLbl>
              <c:idx val="4"/>
              <c:layout>
                <c:manualLayout>
                  <c:x val="-0.16778523489932887"/>
                  <c:y val="8.5790884718498661E-2"/>
                </c:manualLayout>
              </c:layout>
              <c:showLegendKey val="0"/>
              <c:showVal val="1"/>
              <c:showCatName val="1"/>
              <c:showSerName val="0"/>
              <c:showPercent val="0"/>
              <c:showBubbleSize val="0"/>
            </c:dLbl>
            <c:dLbl>
              <c:idx val="5"/>
              <c:layout>
                <c:manualLayout>
                  <c:x val="-0.12527964205816555"/>
                  <c:y val="-6.434316353887401E-2"/>
                </c:manualLayout>
              </c:layout>
              <c:showLegendKey val="0"/>
              <c:showVal val="1"/>
              <c:showCatName val="1"/>
              <c:showSerName val="0"/>
              <c:showPercent val="0"/>
              <c:showBubbleSize val="0"/>
            </c:dLbl>
            <c:dLbl>
              <c:idx val="6"/>
              <c:layout>
                <c:manualLayout>
                  <c:x val="0.10738255033557047"/>
                  <c:y val="-0.10366398570151923"/>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Lapas1!$B$5:$B$11</c:f>
              <c:strCache>
                <c:ptCount val="7"/>
                <c:pt idx="0">
                  <c:v>Daugiabučių renovacija</c:v>
                </c:pt>
                <c:pt idx="1">
                  <c:v>Centrinės valdžios ir savivaldybių pastatų renovacija</c:v>
                </c:pt>
                <c:pt idx="2">
                  <c:v>Kultūros paveldo objektų aktualizavimas</c:v>
                </c:pt>
                <c:pt idx="3">
                  <c:v>Vandentvarkos sritis</c:v>
                </c:pt>
                <c:pt idx="4">
                  <c:v>Paskolos/garantijos SVV</c:v>
                </c:pt>
                <c:pt idx="5">
                  <c:v>Rizikos kapitalo investicijos</c:v>
                </c:pt>
                <c:pt idx="6">
                  <c:v>CO2 sumažinta, tūkst. T</c:v>
                </c:pt>
              </c:strCache>
            </c:strRef>
          </c:cat>
          <c:val>
            <c:numRef>
              <c:f>Lapas1!$C$5:$C$11</c:f>
              <c:numCache>
                <c:formatCode>#,##0</c:formatCode>
                <c:ptCount val="7"/>
                <c:pt idx="0">
                  <c:v>2000</c:v>
                </c:pt>
                <c:pt idx="1">
                  <c:v>90</c:v>
                </c:pt>
                <c:pt idx="2">
                  <c:v>5</c:v>
                </c:pt>
                <c:pt idx="3">
                  <c:v>20</c:v>
                </c:pt>
                <c:pt idx="4">
                  <c:v>2659</c:v>
                </c:pt>
                <c:pt idx="5">
                  <c:v>116</c:v>
                </c:pt>
                <c:pt idx="6">
                  <c:v>144</c:v>
                </c:pt>
              </c:numCache>
            </c:numRef>
          </c:val>
        </c:ser>
        <c:dLbls>
          <c:showLegendKey val="0"/>
          <c:showVal val="1"/>
          <c:showCatName val="1"/>
          <c:showSerName val="0"/>
          <c:showPercent val="0"/>
          <c:showBubbleSize val="0"/>
          <c:showLeaderLines val="1"/>
        </c:dLbls>
        <c:firstSliceAng val="0"/>
        <c:holeSize val="50"/>
      </c:doughnut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74389573624443"/>
          <c:y val="3.0131826741996232E-2"/>
          <c:w val="0.62402846936690792"/>
          <c:h val="0.85300790889510902"/>
        </c:manualLayout>
      </c:layout>
      <c:barChart>
        <c:barDir val="bar"/>
        <c:grouping val="clustered"/>
        <c:varyColors val="0"/>
        <c:ser>
          <c:idx val="0"/>
          <c:order val="0"/>
          <c:tx>
            <c:strRef>
              <c:f>'Bendr grafik'!$B$8</c:f>
              <c:strCache>
                <c:ptCount val="1"/>
                <c:pt idx="0">
                  <c:v>Iki 2021-09-30</c:v>
                </c:pt>
              </c:strCache>
            </c:strRef>
          </c:tx>
          <c:spPr>
            <a:solidFill>
              <a:schemeClr val="accent1"/>
            </a:solidFill>
            <a:ln w="76200">
              <a:solidFill>
                <a:schemeClr val="accent1"/>
              </a:solidFill>
            </a:ln>
          </c:spPr>
          <c:invertIfNegative val="0"/>
          <c:dLbls>
            <c:dLbl>
              <c:idx val="0"/>
              <c:layout/>
              <c:tx>
                <c:rich>
                  <a:bodyPr/>
                  <a:lstStyle/>
                  <a:p>
                    <a:r>
                      <a:rPr lang="en-US"/>
                      <a:t> 4 </a:t>
                    </a:r>
                    <a:r>
                      <a:rPr lang="lt-LT"/>
                      <a:t>656</a:t>
                    </a:r>
                    <a:r>
                      <a:rPr lang="en-US"/>
                      <a:t> (6</a:t>
                    </a:r>
                    <a:r>
                      <a:rPr lang="lt-LT"/>
                      <a:t>7</a:t>
                    </a:r>
                    <a:r>
                      <a:rPr lang="en-US"/>
                      <a:t>%)    </a:t>
                    </a:r>
                  </a:p>
                </c:rich>
              </c:tx>
              <c:showLegendKey val="0"/>
              <c:showVal val="1"/>
              <c:showCatName val="0"/>
              <c:showSerName val="0"/>
              <c:showPercent val="0"/>
              <c:showBubbleSize val="0"/>
            </c:dLbl>
            <c:dLbl>
              <c:idx val="1"/>
              <c:layout/>
              <c:tx>
                <c:rich>
                  <a:bodyPr/>
                  <a:lstStyle/>
                  <a:p>
                    <a:r>
                      <a:rPr lang="en-US"/>
                      <a:t> 4 </a:t>
                    </a:r>
                    <a:r>
                      <a:rPr lang="lt-LT"/>
                      <a:t>767</a:t>
                    </a:r>
                    <a:r>
                      <a:rPr lang="en-US"/>
                      <a:t> (6</a:t>
                    </a:r>
                    <a:r>
                      <a:rPr lang="lt-LT"/>
                      <a:t>8</a:t>
                    </a:r>
                    <a:r>
                      <a:rPr lang="en-US"/>
                      <a:t>%)    </a:t>
                    </a:r>
                  </a:p>
                </c:rich>
              </c:tx>
              <c:showLegendKey val="0"/>
              <c:showVal val="1"/>
              <c:showCatName val="0"/>
              <c:showSerName val="0"/>
              <c:showPercent val="0"/>
              <c:showBubbleSize val="0"/>
            </c:dLbl>
            <c:dLbl>
              <c:idx val="2"/>
              <c:layout>
                <c:manualLayout>
                  <c:x val="7.8895451257908773E-3"/>
                  <c:y val="0"/>
                </c:manualLayout>
              </c:layout>
              <c:tx>
                <c:rich>
                  <a:bodyPr/>
                  <a:lstStyle/>
                  <a:p>
                    <a:r>
                      <a:rPr lang="en-US"/>
                      <a:t> 6 8</a:t>
                    </a:r>
                    <a:r>
                      <a:rPr lang="lt-LT"/>
                      <a:t>93</a:t>
                    </a:r>
                    <a:endParaRPr lang="en-US"/>
                  </a:p>
                  <a:p>
                    <a:r>
                      <a:rPr lang="en-US"/>
                      <a:t>(9</a:t>
                    </a:r>
                    <a:r>
                      <a:rPr lang="lt-LT"/>
                      <a:t>9</a:t>
                    </a:r>
                    <a:r>
                      <a:rPr lang="en-US"/>
                      <a:t>%)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ABB-4131-9EB4-094CDB44765F}"/>
                </c:ext>
              </c:extLst>
            </c:dLbl>
            <c:dLbl>
              <c:idx val="3"/>
              <c:layout>
                <c:manualLayout>
                  <c:x val="-7.3965914066811786E-2"/>
                  <c:y val="0"/>
                </c:manualLayout>
              </c:layout>
              <c:tx>
                <c:rich>
                  <a:bodyPr/>
                  <a:lstStyle/>
                  <a:p>
                    <a:pPr>
                      <a:defRPr b="1">
                        <a:solidFill>
                          <a:schemeClr val="bg1"/>
                        </a:solidFill>
                      </a:defRPr>
                    </a:pPr>
                    <a:r>
                      <a:rPr lang="en-US"/>
                      <a:t>6 983 (100%)</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ABB-4131-9EB4-094CDB44765F}"/>
                </c:ext>
              </c:extLst>
            </c:dLbl>
            <c:dLbl>
              <c:idx val="4"/>
              <c:layout>
                <c:manualLayout>
                  <c:x val="-7.4328693425693149E-2"/>
                  <c:y val="-4.430053719920524E-3"/>
                </c:manualLayout>
              </c:layout>
              <c:spPr/>
              <c:txPr>
                <a:bodyPr/>
                <a:lstStyle/>
                <a:p>
                  <a:pPr>
                    <a:defRPr b="1">
                      <a:solidFill>
                        <a:schemeClr val="bg1"/>
                      </a:solidFill>
                    </a:defRPr>
                  </a:pPr>
                  <a:endParaRPr lang="lt-LT"/>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ABB-4131-9EB4-094CDB44765F}"/>
                </c:ext>
              </c:extLst>
            </c:dLbl>
            <c:spPr>
              <a:noFill/>
              <a:ln>
                <a:noFill/>
              </a:ln>
              <a:effectLst/>
            </c:spPr>
            <c:txPr>
              <a:bodyPr/>
              <a:lstStyle/>
              <a:p>
                <a:pPr>
                  <a:defRPr b="1">
                    <a:solidFill>
                      <a:schemeClr val="tx1">
                        <a:lumMod val="65000"/>
                        <a:lumOff val="35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 grafik'!$A$9:$A$12</c:f>
              <c:strCache>
                <c:ptCount val="4"/>
                <c:pt idx="0">
                  <c:v>Deklaruota EK</c:v>
                </c:pt>
                <c:pt idx="1">
                  <c:v>Investuota projektuose</c:v>
                </c:pt>
                <c:pt idx="2">
                  <c:v>Sudaryta sutarčių</c:v>
                </c:pt>
                <c:pt idx="3">
                  <c:v>Numatyta investuoti ES fondų lėšų</c:v>
                </c:pt>
              </c:strCache>
            </c:strRef>
          </c:cat>
          <c:val>
            <c:numRef>
              <c:f>'Bendr grafik'!$B$9:$B$12</c:f>
              <c:numCache>
                <c:formatCode>_-* #,##0\ _L_t_-;\-* #,##0\ _L_t_-;_-* "-"??\ _L_t_-;_-@_-</c:formatCode>
                <c:ptCount val="4"/>
                <c:pt idx="0">
                  <c:v>4656.3999999999996</c:v>
                </c:pt>
                <c:pt idx="1">
                  <c:v>4767</c:v>
                </c:pt>
                <c:pt idx="2">
                  <c:v>6893</c:v>
                </c:pt>
                <c:pt idx="3" formatCode="#,##0">
                  <c:v>6983.0954809999985</c:v>
                </c:pt>
              </c:numCache>
            </c:numRef>
          </c:val>
          <c:extLst xmlns:c16r2="http://schemas.microsoft.com/office/drawing/2015/06/chart">
            <c:ext xmlns:c16="http://schemas.microsoft.com/office/drawing/2014/chart" uri="{C3380CC4-5D6E-409C-BE32-E72D297353CC}">
              <c16:uniqueId val="{00000005-3ABB-4131-9EB4-094CDB44765F}"/>
            </c:ext>
          </c:extLst>
        </c:ser>
        <c:ser>
          <c:idx val="1"/>
          <c:order val="1"/>
          <c:tx>
            <c:strRef>
              <c:f>'Bendr grafik'!$C$8</c:f>
              <c:strCache>
                <c:ptCount val="1"/>
                <c:pt idx="0">
                  <c:v>Per 2021 m. III ketv.</c:v>
                </c:pt>
              </c:strCache>
            </c:strRef>
          </c:tx>
          <c:spPr>
            <a:solidFill>
              <a:schemeClr val="accent1">
                <a:lumMod val="20000"/>
                <a:lumOff val="80000"/>
              </a:schemeClr>
            </a:solidFill>
            <a:ln w="22225">
              <a:noFill/>
            </a:ln>
          </c:spPr>
          <c:invertIfNegative val="0"/>
          <c:dLbls>
            <c:dLbl>
              <c:idx val="0"/>
              <c:layout>
                <c:manualLayout>
                  <c:x val="-9.5532817431555853E-2"/>
                  <c:y val="4.4296788482834993E-3"/>
                </c:manualLayout>
              </c:layout>
              <c:tx>
                <c:rich>
                  <a:bodyPr/>
                  <a:lstStyle/>
                  <a:p>
                    <a:r>
                      <a:rPr lang="en-US"/>
                      <a:t> </a:t>
                    </a:r>
                    <a:r>
                      <a:rPr lang="lt-LT"/>
                      <a:t>274</a:t>
                    </a:r>
                    <a:r>
                      <a:rPr lang="en-US"/>
                      <a:t> (</a:t>
                    </a:r>
                    <a:r>
                      <a:rPr lang="lt-LT"/>
                      <a:t>4</a:t>
                    </a:r>
                    <a:r>
                      <a:rPr lang="en-US"/>
                      <a:t>%)</a:t>
                    </a:r>
                  </a:p>
                </c:rich>
              </c:tx>
              <c:dLblPos val="outEnd"/>
              <c:showLegendKey val="0"/>
              <c:showVal val="1"/>
              <c:showCatName val="0"/>
              <c:showSerName val="0"/>
              <c:showPercent val="0"/>
              <c:showBubbleSize val="0"/>
            </c:dLbl>
            <c:dLbl>
              <c:idx val="1"/>
              <c:layout>
                <c:manualLayout>
                  <c:x val="-8.7610678740715681E-2"/>
                  <c:y val="0"/>
                </c:manualLayout>
              </c:layout>
              <c:tx>
                <c:rich>
                  <a:bodyPr/>
                  <a:lstStyle/>
                  <a:p>
                    <a:r>
                      <a:rPr lang="en-US"/>
                      <a:t> 2</a:t>
                    </a:r>
                    <a:r>
                      <a:rPr lang="lt-LT"/>
                      <a:t>07</a:t>
                    </a:r>
                    <a:r>
                      <a:rPr lang="en-US"/>
                      <a:t> (3%)</a:t>
                    </a:r>
                  </a:p>
                </c:rich>
              </c:tx>
              <c:dLblPos val="outEnd"/>
              <c:showLegendKey val="0"/>
              <c:showVal val="1"/>
              <c:showCatName val="0"/>
              <c:showSerName val="0"/>
              <c:showPercent val="0"/>
              <c:showBubbleSize val="0"/>
            </c:dLbl>
            <c:dLbl>
              <c:idx val="2"/>
              <c:layout/>
              <c:tx>
                <c:rich>
                  <a:bodyPr/>
                  <a:lstStyle/>
                  <a:p>
                    <a:r>
                      <a:rPr lang="lt-LT"/>
                      <a:t>55</a:t>
                    </a:r>
                    <a:r>
                      <a:rPr lang="en-US"/>
                      <a:t> (1%)</a:t>
                    </a:r>
                  </a:p>
                </c:rich>
              </c:tx>
              <c:dLblPos val="inEnd"/>
              <c:showLegendKey val="0"/>
              <c:showVal val="1"/>
              <c:showCatName val="0"/>
              <c:showSerName val="0"/>
              <c:showPercent val="0"/>
              <c:showBubbleSize val="0"/>
            </c:dLbl>
            <c:spPr>
              <a:noFill/>
              <a:ln>
                <a:noFill/>
              </a:ln>
              <a:effectLst/>
            </c:spPr>
            <c:txPr>
              <a:bodyPr/>
              <a:lstStyle/>
              <a:p>
                <a:pPr>
                  <a:defRPr>
                    <a:solidFill>
                      <a:schemeClr val="tx1">
                        <a:lumMod val="65000"/>
                        <a:lumOff val="35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 grafik'!$A$9:$A$12</c:f>
              <c:strCache>
                <c:ptCount val="4"/>
                <c:pt idx="0">
                  <c:v>Deklaruota EK</c:v>
                </c:pt>
                <c:pt idx="1">
                  <c:v>Investuota projektuose</c:v>
                </c:pt>
                <c:pt idx="2">
                  <c:v>Sudaryta sutarčių</c:v>
                </c:pt>
                <c:pt idx="3">
                  <c:v>Numatyta investuoti ES fondų lėšų</c:v>
                </c:pt>
              </c:strCache>
            </c:strRef>
          </c:cat>
          <c:val>
            <c:numRef>
              <c:f>'Bendr grafik'!$C$9:$C$12</c:f>
              <c:numCache>
                <c:formatCode>_-* #,##0\ _L_t_-;\-* #,##0\ _L_t_-;_-* "-"??\ _L_t_-;_-@_-</c:formatCode>
                <c:ptCount val="4"/>
                <c:pt idx="0">
                  <c:v>4656.3999999999996</c:v>
                </c:pt>
                <c:pt idx="1">
                  <c:v>4767</c:v>
                </c:pt>
                <c:pt idx="2">
                  <c:v>6893</c:v>
                </c:pt>
              </c:numCache>
            </c:numRef>
          </c:val>
          <c:extLst xmlns:c16r2="http://schemas.microsoft.com/office/drawing/2015/06/chart">
            <c:ext xmlns:c16="http://schemas.microsoft.com/office/drawing/2014/chart" uri="{C3380CC4-5D6E-409C-BE32-E72D297353CC}">
              <c16:uniqueId val="{00000009-3ABB-4131-9EB4-094CDB44765F}"/>
            </c:ext>
          </c:extLst>
        </c:ser>
        <c:ser>
          <c:idx val="2"/>
          <c:order val="2"/>
          <c:tx>
            <c:strRef>
              <c:f>'Bendr grafik'!$D$8</c:f>
              <c:strCache>
                <c:ptCount val="1"/>
                <c:pt idx="0">
                  <c:v>Iki 2021-06-30</c:v>
                </c:pt>
              </c:strCache>
            </c:strRef>
          </c:tx>
          <c:invertIfNegative val="0"/>
          <c:dLbls>
            <c:dLbl>
              <c:idx val="0"/>
              <c:layout/>
              <c:tx>
                <c:rich>
                  <a:bodyPr/>
                  <a:lstStyle/>
                  <a:p>
                    <a:r>
                      <a:rPr lang="lt-LT"/>
                      <a:t>4382</a:t>
                    </a:r>
                    <a:r>
                      <a:rPr lang="en-US"/>
                      <a:t> (</a:t>
                    </a:r>
                    <a:r>
                      <a:rPr lang="lt-LT"/>
                      <a:t>6</a:t>
                    </a:r>
                    <a:r>
                      <a:rPr lang="en-US"/>
                      <a:t>3%)</a:t>
                    </a:r>
                  </a:p>
                </c:rich>
              </c:tx>
              <c:dLblPos val="inBase"/>
              <c:showLegendKey val="0"/>
              <c:showVal val="1"/>
              <c:showCatName val="0"/>
              <c:showSerName val="0"/>
              <c:showPercent val="0"/>
              <c:showBubbleSize val="0"/>
            </c:dLbl>
            <c:dLbl>
              <c:idx val="1"/>
              <c:layout/>
              <c:tx>
                <c:rich>
                  <a:bodyPr/>
                  <a:lstStyle/>
                  <a:p>
                    <a:r>
                      <a:rPr lang="en-US"/>
                      <a:t>4</a:t>
                    </a:r>
                    <a:r>
                      <a:rPr lang="lt-LT"/>
                      <a:t>560</a:t>
                    </a:r>
                    <a:r>
                      <a:rPr lang="en-US"/>
                      <a:t> (6</a:t>
                    </a:r>
                    <a:r>
                      <a:rPr lang="lt-LT"/>
                      <a:t>5</a:t>
                    </a:r>
                    <a:r>
                      <a:rPr lang="en-US"/>
                      <a:t>%)</a:t>
                    </a:r>
                  </a:p>
                </c:rich>
              </c:tx>
              <c:dLblPos val="inBase"/>
              <c:showLegendKey val="0"/>
              <c:showVal val="1"/>
              <c:showCatName val="0"/>
              <c:showSerName val="0"/>
              <c:showPercent val="0"/>
              <c:showBubbleSize val="0"/>
            </c:dLbl>
            <c:dLbl>
              <c:idx val="2"/>
              <c:layout/>
              <c:tx>
                <c:rich>
                  <a:bodyPr/>
                  <a:lstStyle/>
                  <a:p>
                    <a:r>
                      <a:rPr lang="en-US"/>
                      <a:t>6</a:t>
                    </a:r>
                    <a:r>
                      <a:rPr lang="lt-LT"/>
                      <a:t>838 (</a:t>
                    </a:r>
                    <a:r>
                      <a:rPr lang="en-US"/>
                      <a:t>9</a:t>
                    </a:r>
                    <a:r>
                      <a:rPr lang="lt-LT"/>
                      <a:t>8</a:t>
                    </a:r>
                    <a:r>
                      <a:rPr lang="en-US"/>
                      <a:t>%)</a:t>
                    </a:r>
                  </a:p>
                </c:rich>
              </c:tx>
              <c:dLblPos val="inBase"/>
              <c:showLegendKey val="0"/>
              <c:showVal val="1"/>
              <c:showCatName val="0"/>
              <c:showSerName val="0"/>
              <c:showPercent val="0"/>
              <c:showBubbleSize val="0"/>
            </c:dLbl>
            <c:spPr>
              <a:noFill/>
              <a:ln>
                <a:noFill/>
              </a:ln>
              <a:effectLst/>
            </c:spPr>
            <c:txPr>
              <a:bodyPr/>
              <a:lstStyle/>
              <a:p>
                <a:pPr>
                  <a:defRPr b="1" baseline="0">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'Bendr grafik'!$A$9:$A$12</c:f>
              <c:strCache>
                <c:ptCount val="4"/>
                <c:pt idx="0">
                  <c:v>Deklaruota EK</c:v>
                </c:pt>
                <c:pt idx="1">
                  <c:v>Investuota projektuose</c:v>
                </c:pt>
                <c:pt idx="2">
                  <c:v>Sudaryta sutarčių</c:v>
                </c:pt>
                <c:pt idx="3">
                  <c:v>Numatyta investuoti ES fondų lėšų</c:v>
                </c:pt>
              </c:strCache>
            </c:strRef>
          </c:cat>
          <c:val>
            <c:numRef>
              <c:f>'Bendr grafik'!$D$9:$D$12</c:f>
              <c:numCache>
                <c:formatCode>0</c:formatCode>
                <c:ptCount val="4"/>
                <c:pt idx="0">
                  <c:v>4382</c:v>
                </c:pt>
                <c:pt idx="1">
                  <c:v>4559.7</c:v>
                </c:pt>
                <c:pt idx="2">
                  <c:v>6838</c:v>
                </c:pt>
              </c:numCache>
            </c:numRef>
          </c:val>
          <c:extLst xmlns:c16r2="http://schemas.microsoft.com/office/drawing/2015/06/chart">
            <c:ext xmlns:c16="http://schemas.microsoft.com/office/drawing/2014/chart" uri="{C3380CC4-5D6E-409C-BE32-E72D297353CC}">
              <c16:uniqueId val="{0000000A-3ABB-4131-9EB4-094CDB44765F}"/>
            </c:ext>
          </c:extLst>
        </c:ser>
        <c:dLbls>
          <c:showLegendKey val="0"/>
          <c:showVal val="0"/>
          <c:showCatName val="0"/>
          <c:showSerName val="0"/>
          <c:showPercent val="0"/>
          <c:showBubbleSize val="0"/>
        </c:dLbls>
        <c:gapWidth val="150"/>
        <c:overlap val="100"/>
        <c:axId val="41054208"/>
        <c:axId val="41055744"/>
      </c:barChart>
      <c:catAx>
        <c:axId val="41054208"/>
        <c:scaling>
          <c:orientation val="minMax"/>
        </c:scaling>
        <c:delete val="0"/>
        <c:axPos val="l"/>
        <c:numFmt formatCode="General" sourceLinked="0"/>
        <c:majorTickMark val="out"/>
        <c:minorTickMark val="none"/>
        <c:tickLblPos val="nextTo"/>
        <c:crossAx val="41055744"/>
        <c:crosses val="autoZero"/>
        <c:auto val="1"/>
        <c:lblAlgn val="ctr"/>
        <c:lblOffset val="100"/>
        <c:noMultiLvlLbl val="0"/>
      </c:catAx>
      <c:valAx>
        <c:axId val="41055744"/>
        <c:scaling>
          <c:orientation val="minMax"/>
          <c:max val="7000"/>
          <c:min val="0"/>
        </c:scaling>
        <c:delete val="1"/>
        <c:axPos val="b"/>
        <c:numFmt formatCode="_-* #,##0\ _L_t_-;\-* #,##0\ _L_t_-;_-* &quot;-&quot;??\ _L_t_-;_-@_-" sourceLinked="1"/>
        <c:majorTickMark val="out"/>
        <c:minorTickMark val="none"/>
        <c:tickLblPos val="nextTo"/>
        <c:crossAx val="41054208"/>
        <c:crosses val="autoZero"/>
        <c:crossBetween val="between"/>
      </c:valAx>
    </c:plotArea>
    <c:legend>
      <c:legendPos val="b"/>
      <c:layout>
        <c:manualLayout>
          <c:xMode val="edge"/>
          <c:yMode val="edge"/>
          <c:x val="0.34577041722078516"/>
          <c:y val="0.89581344388026263"/>
          <c:w val="0.60042972571458875"/>
          <c:h val="7.5110751342998008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45094164623179"/>
          <c:y val="2.4485248908241837E-2"/>
          <c:w val="0.8372904076963269"/>
          <c:h val="0.82456721261572885"/>
        </c:manualLayout>
      </c:layout>
      <c:barChart>
        <c:barDir val="bar"/>
        <c:grouping val="clustered"/>
        <c:varyColors val="0"/>
        <c:ser>
          <c:idx val="0"/>
          <c:order val="0"/>
          <c:tx>
            <c:strRef>
              <c:f>'Pagal minist '!$C$16</c:f>
              <c:strCache>
                <c:ptCount val="1"/>
                <c:pt idx="0">
                  <c:v> Projektams nepaskirstyta</c:v>
                </c:pt>
              </c:strCache>
            </c:strRef>
          </c:tx>
          <c:spPr>
            <a:solidFill>
              <a:schemeClr val="bg1">
                <a:lumMod val="75000"/>
              </a:schemeClr>
            </a:solidFill>
            <a:ln w="69850">
              <a:noFill/>
            </a:ln>
          </c:spPr>
          <c:invertIfNegative val="0"/>
          <c:dLbls>
            <c:dLbl>
              <c:idx val="0"/>
              <c:delete val="1"/>
            </c:dLbl>
            <c:dLbl>
              <c:idx val="1"/>
              <c:delete val="1"/>
            </c:dLbl>
            <c:dLbl>
              <c:idx val="2"/>
              <c:layout>
                <c:manualLayout>
                  <c:x val="-6.1811709081168863E-2"/>
                  <c:y val="7.801325704158572E-17"/>
                </c:manualLayout>
              </c:layout>
              <c:tx>
                <c:rich>
                  <a:bodyPr/>
                  <a:lstStyle/>
                  <a:p>
                    <a:r>
                      <a:rPr lang="en-US"/>
                      <a:t>7% (1</a:t>
                    </a:r>
                    <a:r>
                      <a:rPr lang="lt-LT"/>
                      <a:t>4</a:t>
                    </a:r>
                    <a:r>
                      <a:rPr lang="en-US"/>
                      <a:t>)</a:t>
                    </a:r>
                  </a:p>
                </c:rich>
              </c:tx>
              <c:showLegendKey val="0"/>
              <c:showVal val="1"/>
              <c:showCatName val="0"/>
              <c:showSerName val="0"/>
              <c:showPercent val="0"/>
              <c:showBubbleSize val="0"/>
            </c:dLbl>
            <c:dLbl>
              <c:idx val="3"/>
              <c:delete val="1"/>
            </c:dLbl>
            <c:dLbl>
              <c:idx val="4"/>
              <c:delete val="1"/>
            </c:dLbl>
            <c:dLbl>
              <c:idx val="5"/>
              <c:layout>
                <c:manualLayout>
                  <c:x val="-9.5914720988020646E-2"/>
                  <c:y val="0"/>
                </c:manualLayout>
              </c:layout>
              <c:tx>
                <c:rich>
                  <a:bodyPr/>
                  <a:lstStyle/>
                  <a:p>
                    <a:r>
                      <a:rPr lang="en-US">
                        <a:solidFill>
                          <a:schemeClr val="tx1">
                            <a:lumMod val="65000"/>
                            <a:lumOff val="35000"/>
                          </a:schemeClr>
                        </a:solidFill>
                      </a:rPr>
                      <a:t>1</a:t>
                    </a:r>
                    <a:r>
                      <a:rPr lang="lt-LT">
                        <a:solidFill>
                          <a:schemeClr val="tx1">
                            <a:lumMod val="65000"/>
                            <a:lumOff val="35000"/>
                          </a:schemeClr>
                        </a:solidFill>
                      </a:rPr>
                      <a:t>1</a:t>
                    </a:r>
                    <a:r>
                      <a:rPr lang="en-US">
                        <a:solidFill>
                          <a:schemeClr val="tx1">
                            <a:lumMod val="65000"/>
                            <a:lumOff val="35000"/>
                          </a:schemeClr>
                        </a:solidFill>
                      </a:rPr>
                      <a:t>% (1</a:t>
                    </a:r>
                    <a:r>
                      <a:rPr lang="lt-LT">
                        <a:solidFill>
                          <a:schemeClr val="tx1">
                            <a:lumMod val="65000"/>
                            <a:lumOff val="35000"/>
                          </a:schemeClr>
                        </a:solidFill>
                      </a:rPr>
                      <a:t>33</a:t>
                    </a:r>
                    <a:r>
                      <a:rPr lang="en-US">
                        <a:solidFill>
                          <a:schemeClr val="tx1">
                            <a:lumMod val="65000"/>
                            <a:lumOff val="35000"/>
                          </a:schemeClr>
                        </a:solidFill>
                      </a:rPr>
                      <a:t>)</a:t>
                    </a:r>
                    <a:endParaRPr lang="en-US"/>
                  </a:p>
                </c:rich>
              </c:tx>
              <c:showLegendKey val="0"/>
              <c:showVal val="1"/>
              <c:showCatName val="0"/>
              <c:showSerName val="0"/>
              <c:showPercent val="0"/>
              <c:showBubbleSize val="0"/>
            </c:dLbl>
            <c:dLbl>
              <c:idx val="6"/>
              <c:delete val="1"/>
            </c:dLbl>
            <c:dLbl>
              <c:idx val="7"/>
              <c:delete val="1"/>
            </c:dLbl>
            <c:dLbl>
              <c:idx val="8"/>
              <c:delete val="1"/>
            </c:dLbl>
            <c:txPr>
              <a:bodyPr/>
              <a:lstStyle/>
              <a:p>
                <a:pPr>
                  <a:defRPr>
                    <a:solidFill>
                      <a:schemeClr val="tx1">
                        <a:lumMod val="65000"/>
                        <a:lumOff val="35000"/>
                      </a:schemeClr>
                    </a:solidFill>
                  </a:defRPr>
                </a:pPr>
                <a:endParaRPr lang="lt-LT"/>
              </a:p>
            </c:txPr>
            <c:showLegendKey val="0"/>
            <c:showVal val="1"/>
            <c:showCatName val="0"/>
            <c:showSerName val="0"/>
            <c:showPercent val="0"/>
            <c:showBubbleSize val="0"/>
            <c:showLeaderLines val="0"/>
          </c:dLbls>
          <c:cat>
            <c:strRef>
              <c:f>'Pagal minist '!$B$17:$B$25</c:f>
              <c:strCache>
                <c:ptCount val="9"/>
                <c:pt idx="0">
                  <c:v>EM</c:v>
                </c:pt>
                <c:pt idx="1">
                  <c:v>EIM</c:v>
                </c:pt>
                <c:pt idx="2">
                  <c:v>KM</c:v>
                </c:pt>
                <c:pt idx="3">
                  <c:v>SAM</c:v>
                </c:pt>
                <c:pt idx="4">
                  <c:v>VRM</c:v>
                </c:pt>
                <c:pt idx="5">
                  <c:v>SM</c:v>
                </c:pt>
                <c:pt idx="6">
                  <c:v>ŠMSM</c:v>
                </c:pt>
                <c:pt idx="7">
                  <c:v>AM</c:v>
                </c:pt>
                <c:pt idx="8">
                  <c:v>SADM</c:v>
                </c:pt>
              </c:strCache>
            </c:strRef>
          </c:cat>
          <c:val>
            <c:numRef>
              <c:f>'Pagal minist '!$C$17:$C$25</c:f>
              <c:numCache>
                <c:formatCode>0%</c:formatCode>
                <c:ptCount val="9"/>
                <c:pt idx="0">
                  <c:v>1</c:v>
                </c:pt>
                <c:pt idx="1">
                  <c:v>1</c:v>
                </c:pt>
                <c:pt idx="2">
                  <c:v>1</c:v>
                </c:pt>
                <c:pt idx="3">
                  <c:v>1</c:v>
                </c:pt>
                <c:pt idx="4">
                  <c:v>1</c:v>
                </c:pt>
                <c:pt idx="5">
                  <c:v>1</c:v>
                </c:pt>
                <c:pt idx="6">
                  <c:v>1</c:v>
                </c:pt>
                <c:pt idx="7">
                  <c:v>1</c:v>
                </c:pt>
                <c:pt idx="8">
                  <c:v>1</c:v>
                </c:pt>
              </c:numCache>
            </c:numRef>
          </c:val>
          <c:extLst xmlns:c16r2="http://schemas.microsoft.com/office/drawing/2015/06/chart">
            <c:ext xmlns:c16="http://schemas.microsoft.com/office/drawing/2014/chart" uri="{C3380CC4-5D6E-409C-BE32-E72D297353CC}">
              <c16:uniqueId val="{0000000A-4AE5-4EBA-B18A-07839AC1EA79}"/>
            </c:ext>
          </c:extLst>
        </c:ser>
        <c:ser>
          <c:idx val="1"/>
          <c:order val="1"/>
          <c:tx>
            <c:strRef>
              <c:f>'Pagal minist '!$D$16</c:f>
              <c:strCache>
                <c:ptCount val="1"/>
                <c:pt idx="0">
                  <c:v>Sudaryta projektų sutarčių</c:v>
                </c:pt>
              </c:strCache>
            </c:strRef>
          </c:tx>
          <c:spPr>
            <a:solidFill>
              <a:schemeClr val="accent1"/>
            </a:solidFill>
            <a:ln w="63500">
              <a:solidFill>
                <a:schemeClr val="accent1"/>
              </a:solidFill>
            </a:ln>
          </c:spPr>
          <c:invertIfNegative val="0"/>
          <c:dLbls>
            <c:dLbl>
              <c:idx val="0"/>
              <c:layout>
                <c:manualLayout>
                  <c:x val="-9.3924091931784581E-2"/>
                  <c:y val="-8.510635446260531E-3"/>
                </c:manualLayout>
              </c:layout>
              <c:tx>
                <c:rich>
                  <a:bodyPr/>
                  <a:lstStyle/>
                  <a:p>
                    <a:r>
                      <a:rPr lang="en-US"/>
                      <a:t>106%</a:t>
                    </a:r>
                    <a:r>
                      <a:rPr lang="lt-LT"/>
                      <a:t> (586)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4AE5-4EBA-B18A-07839AC1EA79}"/>
                </c:ext>
              </c:extLst>
            </c:dLbl>
            <c:dLbl>
              <c:idx val="1"/>
              <c:layout>
                <c:manualLayout>
                  <c:x val="-0.12376422735027989"/>
                  <c:y val="8.510635446260531E-3"/>
                </c:manualLayout>
              </c:layout>
              <c:tx>
                <c:rich>
                  <a:bodyPr/>
                  <a:lstStyle/>
                  <a:p>
                    <a:r>
                      <a:rPr lang="en-US"/>
                      <a:t>101%</a:t>
                    </a:r>
                    <a:r>
                      <a:rPr lang="lt-LT"/>
                      <a:t> (1210)</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4AE5-4EBA-B18A-07839AC1EA79}"/>
                </c:ext>
              </c:extLst>
            </c:dLbl>
            <c:dLbl>
              <c:idx val="2"/>
              <c:layout>
                <c:manualLayout>
                  <c:x val="-0.10244984490849753"/>
                  <c:y val="7.801325704158572E-17"/>
                </c:manualLayout>
              </c:layout>
              <c:tx>
                <c:rich>
                  <a:bodyPr/>
                  <a:lstStyle/>
                  <a:p>
                    <a:r>
                      <a:rPr lang="en-US"/>
                      <a:t>93%</a:t>
                    </a:r>
                    <a:r>
                      <a:rPr lang="lt-LT"/>
                      <a:t> (191)</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4AE5-4EBA-B18A-07839AC1EA79}"/>
                </c:ext>
              </c:extLst>
            </c:dLbl>
            <c:dLbl>
              <c:idx val="3"/>
              <c:layout>
                <c:manualLayout>
                  <c:x val="-0.10990937527377233"/>
                  <c:y val="0"/>
                </c:manualLayout>
              </c:layout>
              <c:tx>
                <c:rich>
                  <a:bodyPr/>
                  <a:lstStyle/>
                  <a:p>
                    <a:r>
                      <a:rPr lang="en-US"/>
                      <a:t>103%</a:t>
                    </a:r>
                    <a:r>
                      <a:rPr lang="lt-LT"/>
                      <a:t> (278)</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4AE5-4EBA-B18A-07839AC1EA79}"/>
                </c:ext>
              </c:extLst>
            </c:dLbl>
            <c:dLbl>
              <c:idx val="4"/>
              <c:layout>
                <c:manualLayout>
                  <c:x val="-0.10458128315267576"/>
                  <c:y val="-4.2553177231302655E-3"/>
                </c:manualLayout>
              </c:layout>
              <c:tx>
                <c:rich>
                  <a:bodyPr/>
                  <a:lstStyle/>
                  <a:p>
                    <a:r>
                      <a:rPr lang="en-US"/>
                      <a:t>103%</a:t>
                    </a:r>
                    <a:r>
                      <a:rPr lang="lt-LT"/>
                      <a:t> (506)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4AE5-4EBA-B18A-07839AC1EA79}"/>
                </c:ext>
              </c:extLst>
            </c:dLbl>
            <c:dLbl>
              <c:idx val="5"/>
              <c:layout>
                <c:manualLayout>
                  <c:x val="-0.11950135086192341"/>
                  <c:y val="0"/>
                </c:manualLayout>
              </c:layout>
              <c:tx>
                <c:rich>
                  <a:bodyPr/>
                  <a:lstStyle/>
                  <a:p>
                    <a:r>
                      <a:rPr lang="en-US"/>
                      <a:t>89%</a:t>
                    </a:r>
                    <a:r>
                      <a:rPr lang="lt-LT"/>
                      <a:t> (1126)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4AE5-4EBA-B18A-07839AC1EA79}"/>
                </c:ext>
              </c:extLst>
            </c:dLbl>
            <c:dLbl>
              <c:idx val="6"/>
              <c:layout>
                <c:manualLayout>
                  <c:x val="-0.11128809694116794"/>
                  <c:y val="0"/>
                </c:manualLayout>
              </c:layout>
              <c:tx>
                <c:rich>
                  <a:bodyPr/>
                  <a:lstStyle/>
                  <a:p>
                    <a:r>
                      <a:rPr lang="en-US"/>
                      <a:t>108%</a:t>
                    </a:r>
                    <a:r>
                      <a:rPr lang="lt-LT"/>
                      <a:t> (942)</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4AE5-4EBA-B18A-07839AC1EA79}"/>
                </c:ext>
              </c:extLst>
            </c:dLbl>
            <c:dLbl>
              <c:idx val="7"/>
              <c:layout>
                <c:manualLayout>
                  <c:x val="-0.11185536160772876"/>
                  <c:y val="0"/>
                </c:manualLayout>
              </c:layout>
              <c:tx>
                <c:rich>
                  <a:bodyPr/>
                  <a:lstStyle/>
                  <a:p>
                    <a:r>
                      <a:rPr lang="en-US"/>
                      <a:t>99%</a:t>
                    </a:r>
                    <a:r>
                      <a:rPr lang="lt-LT"/>
                      <a:t> (1153)</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4AE5-4EBA-B18A-07839AC1EA79}"/>
                </c:ext>
              </c:extLst>
            </c:dLbl>
            <c:dLbl>
              <c:idx val="8"/>
              <c:layout>
                <c:manualLayout>
                  <c:x val="-0.10615535868749054"/>
                  <c:y val="-4.2553177231302655E-3"/>
                </c:manualLayout>
              </c:layout>
              <c:tx>
                <c:rich>
                  <a:bodyPr/>
                  <a:lstStyle/>
                  <a:p>
                    <a:r>
                      <a:rPr lang="en-US"/>
                      <a:t>106%</a:t>
                    </a:r>
                    <a:r>
                      <a:rPr lang="lt-LT"/>
                      <a:t> (797)</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4AE5-4EBA-B18A-07839AC1EA79}"/>
                </c:ext>
              </c:extLst>
            </c:dLbl>
            <c:dLbl>
              <c:idx val="9"/>
              <c:layout>
                <c:manualLayout>
                  <c:x val="-0.10198495640957046"/>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4AE5-4EBA-B18A-07839AC1EA79}"/>
                </c:ext>
              </c:extLst>
            </c:dLbl>
            <c:spPr>
              <a:noFill/>
              <a:ln>
                <a:noFill/>
              </a:ln>
              <a:effectLst/>
            </c:spPr>
            <c:txPr>
              <a:bodyPr/>
              <a:lstStyle/>
              <a:p>
                <a:pPr>
                  <a:defRPr b="1">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'!$B$17:$B$25</c:f>
              <c:strCache>
                <c:ptCount val="9"/>
                <c:pt idx="0">
                  <c:v>EM</c:v>
                </c:pt>
                <c:pt idx="1">
                  <c:v>EIM</c:v>
                </c:pt>
                <c:pt idx="2">
                  <c:v>KM</c:v>
                </c:pt>
                <c:pt idx="3">
                  <c:v>SAM</c:v>
                </c:pt>
                <c:pt idx="4">
                  <c:v>VRM</c:v>
                </c:pt>
                <c:pt idx="5">
                  <c:v>SM</c:v>
                </c:pt>
                <c:pt idx="6">
                  <c:v>ŠMSM</c:v>
                </c:pt>
                <c:pt idx="7">
                  <c:v>AM</c:v>
                </c:pt>
                <c:pt idx="8">
                  <c:v>SADM</c:v>
                </c:pt>
              </c:strCache>
            </c:strRef>
          </c:cat>
          <c:val>
            <c:numRef>
              <c:f>'Pagal minist '!$D$17:$D$25</c:f>
              <c:numCache>
                <c:formatCode>0%</c:formatCode>
                <c:ptCount val="9"/>
                <c:pt idx="0">
                  <c:v>1.0593714588433414</c:v>
                </c:pt>
                <c:pt idx="1">
                  <c:v>1.0064185621649622</c:v>
                </c:pt>
                <c:pt idx="2">
                  <c:v>0.93206902333515196</c:v>
                </c:pt>
                <c:pt idx="3">
                  <c:v>1.0258161445709604</c:v>
                </c:pt>
                <c:pt idx="4">
                  <c:v>1.0344146797922358</c:v>
                </c:pt>
                <c:pt idx="5">
                  <c:v>0.89466327907080934</c:v>
                </c:pt>
                <c:pt idx="6">
                  <c:v>1.0808359499448073</c:v>
                </c:pt>
                <c:pt idx="7">
                  <c:v>0.9872173119344595</c:v>
                </c:pt>
                <c:pt idx="8">
                  <c:v>1.061658966314001</c:v>
                </c:pt>
              </c:numCache>
            </c:numRef>
          </c:val>
          <c:extLst xmlns:c16r2="http://schemas.microsoft.com/office/drawing/2015/06/chart">
            <c:ext xmlns:c16="http://schemas.microsoft.com/office/drawing/2014/chart" uri="{C3380CC4-5D6E-409C-BE32-E72D297353CC}">
              <c16:uniqueId val="{00000015-4AE5-4EBA-B18A-07839AC1EA79}"/>
            </c:ext>
          </c:extLst>
        </c:ser>
        <c:ser>
          <c:idx val="2"/>
          <c:order val="2"/>
          <c:tx>
            <c:strRef>
              <c:f>'Pagal minist '!$E$16</c:f>
              <c:strCache>
                <c:ptCount val="1"/>
                <c:pt idx="0">
                  <c:v>Investuota projektuose</c:v>
                </c:pt>
              </c:strCache>
            </c:strRef>
          </c:tx>
          <c:spPr>
            <a:ln>
              <a:noFill/>
            </a:ln>
          </c:spPr>
          <c:invertIfNegative val="0"/>
          <c:dLbls>
            <c:dLbl>
              <c:idx val="0"/>
              <c:layout/>
              <c:tx>
                <c:rich>
                  <a:bodyPr/>
                  <a:lstStyle/>
                  <a:p>
                    <a:r>
                      <a:rPr lang="en-US"/>
                      <a:t>54%</a:t>
                    </a:r>
                    <a:r>
                      <a:rPr lang="lt-LT"/>
                      <a:t> (300)</a:t>
                    </a:r>
                    <a:endParaRPr lang="en-US"/>
                  </a:p>
                </c:rich>
              </c:tx>
              <c:dLblPos val="inEnd"/>
              <c:showLegendKey val="0"/>
              <c:showVal val="1"/>
              <c:showCatName val="0"/>
              <c:showSerName val="0"/>
              <c:showPercent val="0"/>
              <c:showBubbleSize val="0"/>
            </c:dLbl>
            <c:dLbl>
              <c:idx val="1"/>
              <c:layout/>
              <c:tx>
                <c:rich>
                  <a:bodyPr/>
                  <a:lstStyle/>
                  <a:p>
                    <a:r>
                      <a:rPr lang="en-US"/>
                      <a:t>60%</a:t>
                    </a:r>
                    <a:r>
                      <a:rPr lang="lt-LT"/>
                      <a:t> (725)</a:t>
                    </a:r>
                    <a:endParaRPr lang="en-US"/>
                  </a:p>
                </c:rich>
              </c:tx>
              <c:dLblPos val="inEnd"/>
              <c:showLegendKey val="0"/>
              <c:showVal val="1"/>
              <c:showCatName val="0"/>
              <c:showSerName val="0"/>
              <c:showPercent val="0"/>
              <c:showBubbleSize val="0"/>
            </c:dLbl>
            <c:dLbl>
              <c:idx val="2"/>
              <c:layout/>
              <c:tx>
                <c:rich>
                  <a:bodyPr/>
                  <a:lstStyle/>
                  <a:p>
                    <a:r>
                      <a:rPr lang="en-US"/>
                      <a:t>61%</a:t>
                    </a:r>
                    <a:r>
                      <a:rPr lang="lt-LT"/>
                      <a:t> (125)</a:t>
                    </a:r>
                    <a:endParaRPr lang="en-US"/>
                  </a:p>
                </c:rich>
              </c:tx>
              <c:dLblPos val="inEnd"/>
              <c:showLegendKey val="0"/>
              <c:showVal val="1"/>
              <c:showCatName val="0"/>
              <c:showSerName val="0"/>
              <c:showPercent val="0"/>
              <c:showBubbleSize val="0"/>
            </c:dLbl>
            <c:dLbl>
              <c:idx val="3"/>
              <c:layout/>
              <c:tx>
                <c:rich>
                  <a:bodyPr/>
                  <a:lstStyle/>
                  <a:p>
                    <a:r>
                      <a:rPr lang="en-US"/>
                      <a:t>65%</a:t>
                    </a:r>
                    <a:r>
                      <a:rPr lang="lt-LT"/>
                      <a:t> (177)</a:t>
                    </a:r>
                    <a:endParaRPr lang="en-US"/>
                  </a:p>
                </c:rich>
              </c:tx>
              <c:dLblPos val="inEnd"/>
              <c:showLegendKey val="0"/>
              <c:showVal val="1"/>
              <c:showCatName val="0"/>
              <c:showSerName val="0"/>
              <c:showPercent val="0"/>
              <c:showBubbleSize val="0"/>
            </c:dLbl>
            <c:dLbl>
              <c:idx val="4"/>
              <c:layout/>
              <c:tx>
                <c:rich>
                  <a:bodyPr/>
                  <a:lstStyle/>
                  <a:p>
                    <a:r>
                      <a:rPr lang="en-US"/>
                      <a:t>66%</a:t>
                    </a:r>
                    <a:r>
                      <a:rPr lang="lt-LT"/>
                      <a:t> (325)</a:t>
                    </a:r>
                    <a:endParaRPr lang="en-US"/>
                  </a:p>
                </c:rich>
              </c:tx>
              <c:dLblPos val="inEnd"/>
              <c:showLegendKey val="0"/>
              <c:showVal val="1"/>
              <c:showCatName val="0"/>
              <c:showSerName val="0"/>
              <c:showPercent val="0"/>
              <c:showBubbleSize val="0"/>
            </c:dLbl>
            <c:dLbl>
              <c:idx val="5"/>
              <c:layout/>
              <c:tx>
                <c:rich>
                  <a:bodyPr/>
                  <a:lstStyle/>
                  <a:p>
                    <a:r>
                      <a:rPr lang="en-US"/>
                      <a:t>66%</a:t>
                    </a:r>
                    <a:r>
                      <a:rPr lang="lt-LT"/>
                      <a:t> (837)</a:t>
                    </a:r>
                    <a:endParaRPr lang="en-US"/>
                  </a:p>
                </c:rich>
              </c:tx>
              <c:dLblPos val="inEnd"/>
              <c:showLegendKey val="0"/>
              <c:showVal val="1"/>
              <c:showCatName val="0"/>
              <c:showSerName val="0"/>
              <c:showPercent val="0"/>
              <c:showBubbleSize val="0"/>
            </c:dLbl>
            <c:dLbl>
              <c:idx val="6"/>
              <c:layout/>
              <c:tx>
                <c:rich>
                  <a:bodyPr/>
                  <a:lstStyle/>
                  <a:p>
                    <a:r>
                      <a:rPr lang="en-US"/>
                      <a:t>70%</a:t>
                    </a:r>
                    <a:r>
                      <a:rPr lang="lt-LT"/>
                      <a:t> (612)</a:t>
                    </a:r>
                    <a:endParaRPr lang="en-US"/>
                  </a:p>
                </c:rich>
              </c:tx>
              <c:dLblPos val="inEnd"/>
              <c:showLegendKey val="0"/>
              <c:showVal val="1"/>
              <c:showCatName val="0"/>
              <c:showSerName val="0"/>
              <c:showPercent val="0"/>
              <c:showBubbleSize val="0"/>
            </c:dLbl>
            <c:dLbl>
              <c:idx val="7"/>
              <c:layout/>
              <c:tx>
                <c:rich>
                  <a:bodyPr/>
                  <a:lstStyle/>
                  <a:p>
                    <a:r>
                      <a:rPr lang="en-US"/>
                      <a:t>74%</a:t>
                    </a:r>
                    <a:r>
                      <a:rPr lang="lt-LT"/>
                      <a:t> (863)</a:t>
                    </a:r>
                    <a:endParaRPr lang="en-US"/>
                  </a:p>
                </c:rich>
              </c:tx>
              <c:dLblPos val="inEnd"/>
              <c:showLegendKey val="0"/>
              <c:showVal val="1"/>
              <c:showCatName val="0"/>
              <c:showSerName val="0"/>
              <c:showPercent val="0"/>
              <c:showBubbleSize val="0"/>
            </c:dLbl>
            <c:dLbl>
              <c:idx val="8"/>
              <c:layout>
                <c:manualLayout>
                  <c:x val="-0.15224863378165143"/>
                  <c:y val="0"/>
                </c:manualLayout>
              </c:layout>
              <c:tx>
                <c:rich>
                  <a:bodyPr/>
                  <a:lstStyle/>
                  <a:p>
                    <a:r>
                      <a:rPr lang="en-US"/>
                      <a:t>84%</a:t>
                    </a:r>
                    <a:r>
                      <a:rPr lang="lt-LT"/>
                      <a:t> (632)</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4AE5-4EBA-B18A-07839AC1EA79}"/>
                </c:ext>
              </c:extLst>
            </c:dLbl>
            <c:spPr>
              <a:noFill/>
              <a:ln>
                <a:noFill/>
              </a:ln>
              <a:effectLst/>
            </c:spPr>
            <c:txPr>
              <a:bodyPr/>
              <a:lstStyle/>
              <a:p>
                <a:pPr>
                  <a:defRPr b="1">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'!$B$17:$B$25</c:f>
              <c:strCache>
                <c:ptCount val="9"/>
                <c:pt idx="0">
                  <c:v>EM</c:v>
                </c:pt>
                <c:pt idx="1">
                  <c:v>EIM</c:v>
                </c:pt>
                <c:pt idx="2">
                  <c:v>KM</c:v>
                </c:pt>
                <c:pt idx="3">
                  <c:v>SAM</c:v>
                </c:pt>
                <c:pt idx="4">
                  <c:v>VRM</c:v>
                </c:pt>
                <c:pt idx="5">
                  <c:v>SM</c:v>
                </c:pt>
                <c:pt idx="6">
                  <c:v>ŠMSM</c:v>
                </c:pt>
                <c:pt idx="7">
                  <c:v>AM</c:v>
                </c:pt>
                <c:pt idx="8">
                  <c:v>SADM</c:v>
                </c:pt>
              </c:strCache>
            </c:strRef>
          </c:cat>
          <c:val>
            <c:numRef>
              <c:f>'Pagal minist '!$E$17:$E$25</c:f>
              <c:numCache>
                <c:formatCode>0%</c:formatCode>
                <c:ptCount val="9"/>
                <c:pt idx="0">
                  <c:v>0.54300830978052872</c:v>
                </c:pt>
                <c:pt idx="1">
                  <c:v>0.60293262336945674</c:v>
                </c:pt>
                <c:pt idx="2">
                  <c:v>0.60898035488859192</c:v>
                </c:pt>
                <c:pt idx="3">
                  <c:v>0.65116948951960796</c:v>
                </c:pt>
                <c:pt idx="4">
                  <c:v>0.66429581779969193</c:v>
                </c:pt>
                <c:pt idx="5">
                  <c:v>0.66482333047875197</c:v>
                </c:pt>
                <c:pt idx="6">
                  <c:v>0.70214820234073072</c:v>
                </c:pt>
                <c:pt idx="7">
                  <c:v>0.738808675917205</c:v>
                </c:pt>
                <c:pt idx="8">
                  <c:v>0.84124951345738264</c:v>
                </c:pt>
              </c:numCache>
            </c:numRef>
          </c:val>
          <c:extLst xmlns:c16r2="http://schemas.microsoft.com/office/drawing/2015/06/chart">
            <c:ext xmlns:c16="http://schemas.microsoft.com/office/drawing/2014/chart" uri="{C3380CC4-5D6E-409C-BE32-E72D297353CC}">
              <c16:uniqueId val="{00000020-4AE5-4EBA-B18A-07839AC1EA79}"/>
            </c:ext>
          </c:extLst>
        </c:ser>
        <c:dLbls>
          <c:showLegendKey val="0"/>
          <c:showVal val="0"/>
          <c:showCatName val="0"/>
          <c:showSerName val="0"/>
          <c:showPercent val="0"/>
          <c:showBubbleSize val="0"/>
        </c:dLbls>
        <c:gapWidth val="114"/>
        <c:overlap val="100"/>
        <c:axId val="63743872"/>
        <c:axId val="63745408"/>
      </c:barChart>
      <c:catAx>
        <c:axId val="63743872"/>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63745408"/>
        <c:crosses val="autoZero"/>
        <c:auto val="1"/>
        <c:lblAlgn val="ctr"/>
        <c:lblOffset val="100"/>
        <c:noMultiLvlLbl val="0"/>
      </c:catAx>
      <c:valAx>
        <c:axId val="63745408"/>
        <c:scaling>
          <c:orientation val="minMax"/>
          <c:max val="1.1000000000000001"/>
          <c:min val="0"/>
        </c:scaling>
        <c:delete val="0"/>
        <c:axPos val="b"/>
        <c:majorGridlines/>
        <c:numFmt formatCode="0%" sourceLinked="1"/>
        <c:majorTickMark val="out"/>
        <c:minorTickMark val="none"/>
        <c:tickLblPos val="nextTo"/>
        <c:crossAx val="63743872"/>
        <c:crosses val="autoZero"/>
        <c:crossBetween val="between"/>
        <c:majorUnit val="0.2"/>
      </c:valAx>
    </c:plotArea>
    <c:legend>
      <c:legendPos val="b"/>
      <c:layout>
        <c:manualLayout>
          <c:xMode val="edge"/>
          <c:yMode val="edge"/>
          <c:x val="9.7402602382789777E-2"/>
          <c:y val="0.91914713601976228"/>
          <c:w val="0.8448836713817196"/>
          <c:h val="6.6914620966496835E-2"/>
        </c:manualLayout>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Asignavimai!$J$16</c:f>
              <c:strCache>
                <c:ptCount val="1"/>
                <c:pt idx="0">
                  <c:v>2021 m. asignavimai</c:v>
                </c:pt>
              </c:strCache>
            </c:strRef>
          </c:tx>
          <c:spPr>
            <a:ln w="38100">
              <a:solidFill>
                <a:schemeClr val="accent1"/>
              </a:solidFill>
            </a:ln>
          </c:spPr>
          <c:invertIfNegative val="0"/>
          <c:dLbls>
            <c:txPr>
              <a:bodyPr/>
              <a:lstStyle/>
              <a:p>
                <a:pPr>
                  <a:defRPr b="1">
                    <a:solidFill>
                      <a:schemeClr val="accent1"/>
                    </a:solidFill>
                  </a:defRPr>
                </a:pPr>
                <a:endParaRPr lang="lt-LT"/>
              </a:p>
            </c:txPr>
            <c:dLblPos val="outEnd"/>
            <c:showLegendKey val="0"/>
            <c:showVal val="1"/>
            <c:showCatName val="0"/>
            <c:showSerName val="0"/>
            <c:showPercent val="0"/>
            <c:showBubbleSize val="0"/>
            <c:showLeaderLines val="0"/>
          </c:dLbls>
          <c:cat>
            <c:strRef>
              <c:f>Asignavimai!$I$18:$I$26</c:f>
              <c:strCache>
                <c:ptCount val="9"/>
                <c:pt idx="0">
                  <c:v>KM</c:v>
                </c:pt>
                <c:pt idx="1">
                  <c:v>SAM</c:v>
                </c:pt>
                <c:pt idx="2">
                  <c:v>SADM</c:v>
                </c:pt>
                <c:pt idx="3">
                  <c:v>VRM</c:v>
                </c:pt>
                <c:pt idx="4">
                  <c:v>AM</c:v>
                </c:pt>
                <c:pt idx="5">
                  <c:v>EM</c:v>
                </c:pt>
                <c:pt idx="6">
                  <c:v>SM</c:v>
                </c:pt>
                <c:pt idx="7">
                  <c:v>ŠMSM</c:v>
                </c:pt>
                <c:pt idx="8">
                  <c:v>EIM</c:v>
                </c:pt>
              </c:strCache>
            </c:strRef>
          </c:cat>
          <c:val>
            <c:numRef>
              <c:f>Asignavimai!$J$18:$J$26</c:f>
              <c:numCache>
                <c:formatCode>#,##0</c:formatCode>
                <c:ptCount val="9"/>
                <c:pt idx="0">
                  <c:v>64.203000000000003</c:v>
                </c:pt>
                <c:pt idx="1">
                  <c:v>66.3</c:v>
                </c:pt>
                <c:pt idx="2">
                  <c:v>124.72499999999999</c:v>
                </c:pt>
                <c:pt idx="3">
                  <c:v>126.746</c:v>
                </c:pt>
                <c:pt idx="4">
                  <c:v>139.93299999999999</c:v>
                </c:pt>
                <c:pt idx="5">
                  <c:v>142.34100000000001</c:v>
                </c:pt>
                <c:pt idx="6">
                  <c:v>267.35199999999998</c:v>
                </c:pt>
                <c:pt idx="7">
                  <c:v>267.52100000000002</c:v>
                </c:pt>
                <c:pt idx="8">
                  <c:v>410.63299999999998</c:v>
                </c:pt>
              </c:numCache>
            </c:numRef>
          </c:val>
        </c:ser>
        <c:ser>
          <c:idx val="1"/>
          <c:order val="1"/>
          <c:tx>
            <c:strRef>
              <c:f>Asignavimai!$K$16</c:f>
              <c:strCache>
                <c:ptCount val="1"/>
                <c:pt idx="0">
                  <c:v>Investuota per 2021 m.</c:v>
                </c:pt>
              </c:strCache>
            </c:strRef>
          </c:tx>
          <c:spPr>
            <a:solidFill>
              <a:schemeClr val="accent6"/>
            </a:solidFill>
          </c:spPr>
          <c:invertIfNegative val="0"/>
          <c:dLbls>
            <c:dLbl>
              <c:idx val="0"/>
              <c:layout>
                <c:manualLayout>
                  <c:x val="-1.3661202185792349E-2"/>
                  <c:y val="0"/>
                </c:manualLayout>
              </c:layout>
              <c:tx>
                <c:rich>
                  <a:bodyPr/>
                  <a:lstStyle/>
                  <a:p>
                    <a:r>
                      <a:rPr lang="en-US"/>
                      <a:t>18 (27%)</a:t>
                    </a:r>
                  </a:p>
                </c:rich>
              </c:tx>
              <c:dLblPos val="outEnd"/>
              <c:showLegendKey val="0"/>
              <c:showVal val="1"/>
              <c:showCatName val="0"/>
              <c:showSerName val="0"/>
              <c:showPercent val="0"/>
              <c:showBubbleSize val="0"/>
            </c:dLbl>
            <c:dLbl>
              <c:idx val="1"/>
              <c:layout>
                <c:manualLayout>
                  <c:x val="-1.6393442622950821E-2"/>
                  <c:y val="7.521280634891811E-17"/>
                </c:manualLayout>
              </c:layout>
              <c:tx>
                <c:rich>
                  <a:bodyPr/>
                  <a:lstStyle/>
                  <a:p>
                    <a:r>
                      <a:rPr lang="en-US"/>
                      <a:t>28 (42%)</a:t>
                    </a:r>
                  </a:p>
                </c:rich>
              </c:tx>
              <c:dLblPos val="outEnd"/>
              <c:showLegendKey val="0"/>
              <c:showVal val="1"/>
              <c:showCatName val="0"/>
              <c:showSerName val="0"/>
              <c:showPercent val="0"/>
              <c:showBubbleSize val="0"/>
            </c:dLbl>
            <c:dLbl>
              <c:idx val="2"/>
              <c:layout/>
              <c:tx>
                <c:rich>
                  <a:bodyPr/>
                  <a:lstStyle/>
                  <a:p>
                    <a:r>
                      <a:rPr lang="en-US"/>
                      <a:t>55 (44%)</a:t>
                    </a:r>
                  </a:p>
                </c:rich>
              </c:tx>
              <c:dLblPos val="outEnd"/>
              <c:showLegendKey val="0"/>
              <c:showVal val="1"/>
              <c:showCatName val="0"/>
              <c:showSerName val="0"/>
              <c:showPercent val="0"/>
              <c:showBubbleSize val="0"/>
            </c:dLbl>
            <c:dLbl>
              <c:idx val="3"/>
              <c:layout/>
              <c:tx>
                <c:rich>
                  <a:bodyPr/>
                  <a:lstStyle/>
                  <a:p>
                    <a:r>
                      <a:rPr lang="en-US"/>
                      <a:t>52 (41%)</a:t>
                    </a:r>
                  </a:p>
                </c:rich>
              </c:tx>
              <c:dLblPos val="outEnd"/>
              <c:showLegendKey val="0"/>
              <c:showVal val="1"/>
              <c:showCatName val="0"/>
              <c:showSerName val="0"/>
              <c:showPercent val="0"/>
              <c:showBubbleSize val="0"/>
            </c:dLbl>
            <c:dLbl>
              <c:idx val="4"/>
              <c:layout/>
              <c:tx>
                <c:rich>
                  <a:bodyPr/>
                  <a:lstStyle/>
                  <a:p>
                    <a:r>
                      <a:rPr lang="en-US"/>
                      <a:t>50 (36%)</a:t>
                    </a:r>
                  </a:p>
                </c:rich>
              </c:tx>
              <c:dLblPos val="outEnd"/>
              <c:showLegendKey val="0"/>
              <c:showVal val="1"/>
              <c:showCatName val="0"/>
              <c:showSerName val="0"/>
              <c:showPercent val="0"/>
              <c:showBubbleSize val="0"/>
            </c:dLbl>
            <c:dLbl>
              <c:idx val="5"/>
              <c:layout/>
              <c:tx>
                <c:rich>
                  <a:bodyPr/>
                  <a:lstStyle/>
                  <a:p>
                    <a:r>
                      <a:rPr lang="en-US"/>
                      <a:t>43 (30%)</a:t>
                    </a:r>
                  </a:p>
                </c:rich>
              </c:tx>
              <c:dLblPos val="outEnd"/>
              <c:showLegendKey val="0"/>
              <c:showVal val="1"/>
              <c:showCatName val="0"/>
              <c:showSerName val="0"/>
              <c:showPercent val="0"/>
              <c:showBubbleSize val="0"/>
            </c:dLbl>
            <c:dLbl>
              <c:idx val="6"/>
              <c:layout/>
              <c:tx>
                <c:rich>
                  <a:bodyPr/>
                  <a:lstStyle/>
                  <a:p>
                    <a:r>
                      <a:rPr lang="en-US"/>
                      <a:t>93 (35%)</a:t>
                    </a:r>
                  </a:p>
                </c:rich>
              </c:tx>
              <c:dLblPos val="outEnd"/>
              <c:showLegendKey val="0"/>
              <c:showVal val="1"/>
              <c:showCatName val="0"/>
              <c:showSerName val="0"/>
              <c:showPercent val="0"/>
              <c:showBubbleSize val="0"/>
            </c:dLbl>
            <c:dLbl>
              <c:idx val="7"/>
              <c:layout/>
              <c:tx>
                <c:rich>
                  <a:bodyPr/>
                  <a:lstStyle/>
                  <a:p>
                    <a:r>
                      <a:rPr lang="en-US"/>
                      <a:t>108 (40%)</a:t>
                    </a:r>
                  </a:p>
                </c:rich>
              </c:tx>
              <c:dLblPos val="outEnd"/>
              <c:showLegendKey val="0"/>
              <c:showVal val="1"/>
              <c:showCatName val="0"/>
              <c:showSerName val="0"/>
              <c:showPercent val="0"/>
              <c:showBubbleSize val="0"/>
            </c:dLbl>
            <c:dLbl>
              <c:idx val="8"/>
              <c:layout/>
              <c:tx>
                <c:rich>
                  <a:bodyPr/>
                  <a:lstStyle/>
                  <a:p>
                    <a:r>
                      <a:rPr lang="en-US"/>
                      <a:t>146</a:t>
                    </a:r>
                    <a:r>
                      <a:rPr lang="lt-LT"/>
                      <a:t> (36</a:t>
                    </a:r>
                    <a:r>
                      <a:rPr lang="en-US"/>
                      <a:t>%)</a:t>
                    </a:r>
                  </a:p>
                </c:rich>
              </c:tx>
              <c:dLblPos val="outEnd"/>
              <c:showLegendKey val="0"/>
              <c:showVal val="1"/>
              <c:showCatName val="0"/>
              <c:showSerName val="0"/>
              <c:showPercent val="0"/>
              <c:showBubbleSize val="0"/>
            </c:dLbl>
            <c:txPr>
              <a:bodyPr/>
              <a:lstStyle/>
              <a:p>
                <a:pPr>
                  <a:defRPr b="1">
                    <a:solidFill>
                      <a:schemeClr val="accent6">
                        <a:lumMod val="40000"/>
                        <a:lumOff val="60000"/>
                      </a:schemeClr>
                    </a:solidFill>
                  </a:defRPr>
                </a:pPr>
                <a:endParaRPr lang="lt-LT"/>
              </a:p>
            </c:txPr>
            <c:dLblPos val="outEnd"/>
            <c:showLegendKey val="0"/>
            <c:showVal val="1"/>
            <c:showCatName val="0"/>
            <c:showSerName val="0"/>
            <c:showPercent val="0"/>
            <c:showBubbleSize val="0"/>
            <c:showLeaderLines val="0"/>
          </c:dLbls>
          <c:cat>
            <c:strRef>
              <c:f>Asignavimai!$I$18:$I$26</c:f>
              <c:strCache>
                <c:ptCount val="9"/>
                <c:pt idx="0">
                  <c:v>KM</c:v>
                </c:pt>
                <c:pt idx="1">
                  <c:v>SAM</c:v>
                </c:pt>
                <c:pt idx="2">
                  <c:v>SADM</c:v>
                </c:pt>
                <c:pt idx="3">
                  <c:v>VRM</c:v>
                </c:pt>
                <c:pt idx="4">
                  <c:v>AM</c:v>
                </c:pt>
                <c:pt idx="5">
                  <c:v>EM</c:v>
                </c:pt>
                <c:pt idx="6">
                  <c:v>SM</c:v>
                </c:pt>
                <c:pt idx="7">
                  <c:v>ŠMSM</c:v>
                </c:pt>
                <c:pt idx="8">
                  <c:v>EIM</c:v>
                </c:pt>
              </c:strCache>
            </c:strRef>
          </c:cat>
          <c:val>
            <c:numRef>
              <c:f>Asignavimai!$K$18:$K$26</c:f>
              <c:numCache>
                <c:formatCode>#,##0</c:formatCode>
                <c:ptCount val="9"/>
                <c:pt idx="0">
                  <c:v>17.5</c:v>
                </c:pt>
                <c:pt idx="1">
                  <c:v>27.699999999999989</c:v>
                </c:pt>
                <c:pt idx="2">
                  <c:v>55</c:v>
                </c:pt>
                <c:pt idx="3">
                  <c:v>51.600000000000023</c:v>
                </c:pt>
                <c:pt idx="4">
                  <c:v>49.900000000000091</c:v>
                </c:pt>
                <c:pt idx="5">
                  <c:v>43.099999999999966</c:v>
                </c:pt>
                <c:pt idx="6">
                  <c:v>92.700000000000045</c:v>
                </c:pt>
                <c:pt idx="7">
                  <c:v>107.59999999999997</c:v>
                </c:pt>
                <c:pt idx="8">
                  <c:v>146.30000000000007</c:v>
                </c:pt>
              </c:numCache>
            </c:numRef>
          </c:val>
        </c:ser>
        <c:dLbls>
          <c:showLegendKey val="0"/>
          <c:showVal val="0"/>
          <c:showCatName val="0"/>
          <c:showSerName val="0"/>
          <c:showPercent val="0"/>
          <c:showBubbleSize val="0"/>
        </c:dLbls>
        <c:gapWidth val="78"/>
        <c:overlap val="100"/>
        <c:axId val="63823232"/>
        <c:axId val="63829120"/>
      </c:barChart>
      <c:catAx>
        <c:axId val="63823232"/>
        <c:scaling>
          <c:orientation val="minMax"/>
        </c:scaling>
        <c:delete val="0"/>
        <c:axPos val="l"/>
        <c:majorTickMark val="out"/>
        <c:minorTickMark val="none"/>
        <c:tickLblPos val="nextTo"/>
        <c:crossAx val="63829120"/>
        <c:crosses val="autoZero"/>
        <c:auto val="1"/>
        <c:lblAlgn val="ctr"/>
        <c:lblOffset val="100"/>
        <c:noMultiLvlLbl val="0"/>
      </c:catAx>
      <c:valAx>
        <c:axId val="63829120"/>
        <c:scaling>
          <c:orientation val="minMax"/>
          <c:max val="420"/>
          <c:min val="0"/>
        </c:scaling>
        <c:delete val="0"/>
        <c:axPos val="b"/>
        <c:majorGridlines/>
        <c:numFmt formatCode="#,##0" sourceLinked="1"/>
        <c:majorTickMark val="out"/>
        <c:minorTickMark val="none"/>
        <c:tickLblPos val="nextTo"/>
        <c:crossAx val="63823232"/>
        <c:crosses val="autoZero"/>
        <c:crossBetween val="between"/>
        <c:majorUnit val="100"/>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4354999863060518"/>
        </c:manualLayout>
      </c:layout>
      <c:barChart>
        <c:barDir val="bar"/>
        <c:grouping val="clustered"/>
        <c:varyColors val="0"/>
        <c:ser>
          <c:idx val="0"/>
          <c:order val="0"/>
          <c:tx>
            <c:strRef>
              <c:f>'minist pagal prior (2)'!$M$2</c:f>
              <c:strCache>
                <c:ptCount val="1"/>
                <c:pt idx="0">
                  <c:v>Nepaskirta projektams</c:v>
                </c:pt>
              </c:strCache>
            </c:strRef>
          </c:tx>
          <c:spPr>
            <a:solidFill>
              <a:schemeClr val="bg1">
                <a:lumMod val="85000"/>
              </a:schemeClr>
            </a:solidFill>
          </c:spPr>
          <c:invertIfNegative val="0"/>
          <c:cat>
            <c:strRef>
              <c:f>'minist pagal prior (2)'!$L$3:$L$4</c:f>
              <c:strCache>
                <c:ptCount val="2"/>
                <c:pt idx="0">
                  <c:v>ŠMSM, ERPF</c:v>
                </c:pt>
                <c:pt idx="1">
                  <c:v>EIM, ERPF</c:v>
                </c:pt>
              </c:strCache>
            </c:strRef>
          </c:cat>
          <c:val>
            <c:numRef>
              <c:f>'minist pagal prior (2)'!$M$3:$M$4</c:f>
              <c:numCache>
                <c:formatCode>0%</c:formatCode>
                <c:ptCount val="2"/>
                <c:pt idx="0">
                  <c:v>1</c:v>
                </c:pt>
                <c:pt idx="1">
                  <c:v>1</c:v>
                </c:pt>
              </c:numCache>
            </c:numRef>
          </c:val>
          <c:extLst xmlns:c16r2="http://schemas.microsoft.com/office/drawing/2015/06/chart">
            <c:ext xmlns:c16="http://schemas.microsoft.com/office/drawing/2014/chart" uri="{C3380CC4-5D6E-409C-BE32-E72D297353CC}">
              <c16:uniqueId val="{00000000-4EFA-44A0-83DC-AE8DB008E741}"/>
            </c:ext>
          </c:extLst>
        </c:ser>
        <c:ser>
          <c:idx val="2"/>
          <c:order val="1"/>
          <c:tx>
            <c:strRef>
              <c:f>'minist pagal prior (2)'!$N$2</c:f>
              <c:strCache>
                <c:ptCount val="1"/>
                <c:pt idx="0">
                  <c:v>Sudaryta sutarčių</c:v>
                </c:pt>
              </c:strCache>
            </c:strRef>
          </c:tx>
          <c:spPr>
            <a:solidFill>
              <a:schemeClr val="accent1"/>
            </a:solidFill>
            <a:ln w="50800">
              <a:solidFill>
                <a:schemeClr val="accent1"/>
              </a:solidFill>
            </a:ln>
          </c:spPr>
          <c:invertIfNegative val="0"/>
          <c:dLbls>
            <c:dLbl>
              <c:idx val="0"/>
              <c:layout>
                <c:manualLayout>
                  <c:x val="-5.792350259623119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EFA-44A0-83DC-AE8DB008E741}"/>
                </c:ext>
              </c:extLst>
            </c:dLbl>
            <c:dLbl>
              <c:idx val="1"/>
              <c:layout>
                <c:manualLayout>
                  <c:x val="-5.7923502596231198E-2"/>
                  <c:y val="0"/>
                </c:manualLayout>
              </c:layout>
              <c:dLblPos val="outEnd"/>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(2)'!$L$3:$L$4</c:f>
              <c:strCache>
                <c:ptCount val="2"/>
                <c:pt idx="0">
                  <c:v>ŠMSM, ERPF</c:v>
                </c:pt>
                <c:pt idx="1">
                  <c:v>EIM, ERPF</c:v>
                </c:pt>
              </c:strCache>
            </c:strRef>
          </c:cat>
          <c:val>
            <c:numRef>
              <c:f>'minist pagal prior (2)'!$N$3:$N$4</c:f>
              <c:numCache>
                <c:formatCode>0%</c:formatCode>
                <c:ptCount val="2"/>
                <c:pt idx="0">
                  <c:v>1.1519999999999999</c:v>
                </c:pt>
                <c:pt idx="1">
                  <c:v>1.1910000000000001</c:v>
                </c:pt>
              </c:numCache>
            </c:numRef>
          </c:val>
          <c:extLst xmlns:c16r2="http://schemas.microsoft.com/office/drawing/2015/06/chart">
            <c:ext xmlns:c16="http://schemas.microsoft.com/office/drawing/2014/chart" uri="{C3380CC4-5D6E-409C-BE32-E72D297353CC}">
              <c16:uniqueId val="{00000002-4EFA-44A0-83DC-AE8DB008E741}"/>
            </c:ext>
          </c:extLst>
        </c:ser>
        <c:ser>
          <c:idx val="3"/>
          <c:order val="2"/>
          <c:tx>
            <c:strRef>
              <c:f>'minist pagal prior (2)'!$O$2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(2)'!$L$3:$L$4</c:f>
              <c:strCache>
                <c:ptCount val="2"/>
                <c:pt idx="0">
                  <c:v>ŠMSM, ERPF</c:v>
                </c:pt>
                <c:pt idx="1">
                  <c:v>EIM, ERPF</c:v>
                </c:pt>
              </c:strCache>
            </c:strRef>
          </c:cat>
          <c:val>
            <c:numRef>
              <c:f>'minist pagal prior (2)'!$O$3:$O$4</c:f>
              <c:numCache>
                <c:formatCode>0%</c:formatCode>
                <c:ptCount val="2"/>
                <c:pt idx="0">
                  <c:v>0.60599999999999998</c:v>
                </c:pt>
                <c:pt idx="1">
                  <c:v>0.66</c:v>
                </c:pt>
              </c:numCache>
            </c:numRef>
          </c:val>
          <c:extLst xmlns:c16r2="http://schemas.microsoft.com/office/drawing/2015/06/chart">
            <c:ext xmlns:c16="http://schemas.microsoft.com/office/drawing/2014/chart" uri="{C3380CC4-5D6E-409C-BE32-E72D297353CC}">
              <c16:uniqueId val="{00000003-4EFA-44A0-83DC-AE8DB008E741}"/>
            </c:ext>
          </c:extLst>
        </c:ser>
        <c:dLbls>
          <c:showLegendKey val="0"/>
          <c:showVal val="0"/>
          <c:showCatName val="0"/>
          <c:showSerName val="0"/>
          <c:showPercent val="0"/>
          <c:showBubbleSize val="0"/>
        </c:dLbls>
        <c:gapWidth val="130"/>
        <c:overlap val="100"/>
        <c:axId val="63879808"/>
        <c:axId val="63893888"/>
      </c:barChart>
      <c:catAx>
        <c:axId val="63879808"/>
        <c:scaling>
          <c:orientation val="minMax"/>
        </c:scaling>
        <c:delete val="0"/>
        <c:axPos val="l"/>
        <c:numFmt formatCode="General" sourceLinked="0"/>
        <c:majorTickMark val="out"/>
        <c:minorTickMark val="none"/>
        <c:tickLblPos val="nextTo"/>
        <c:crossAx val="63893888"/>
        <c:crosses val="autoZero"/>
        <c:auto val="1"/>
        <c:lblAlgn val="ctr"/>
        <c:lblOffset val="100"/>
        <c:noMultiLvlLbl val="0"/>
      </c:catAx>
      <c:valAx>
        <c:axId val="63893888"/>
        <c:scaling>
          <c:orientation val="minMax"/>
          <c:max val="1.1000000000000001"/>
          <c:min val="0"/>
        </c:scaling>
        <c:delete val="0"/>
        <c:axPos val="b"/>
        <c:majorGridlines/>
        <c:numFmt formatCode="0%" sourceLinked="1"/>
        <c:majorTickMark val="out"/>
        <c:minorTickMark val="none"/>
        <c:tickLblPos val="nextTo"/>
        <c:crossAx val="63879808"/>
        <c:crosses val="autoZero"/>
        <c:crossBetween val="between"/>
        <c:majorUnit val="0.2"/>
      </c:valAx>
    </c:plotArea>
    <c:legend>
      <c:legendPos val="b"/>
      <c:layout>
        <c:manualLayout>
          <c:xMode val="edge"/>
          <c:yMode val="edge"/>
          <c:x val="8.43637811527429E-2"/>
          <c:y val="0.76594326886034469"/>
          <c:w val="0.83952837164704253"/>
          <c:h val="0.2299478387986311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32332943034329298"/>
        </c:manualLayout>
      </c:layout>
      <c:barChart>
        <c:barDir val="bar"/>
        <c:grouping val="clustered"/>
        <c:varyColors val="0"/>
        <c:ser>
          <c:idx val="0"/>
          <c:order val="0"/>
          <c:tx>
            <c:strRef>
              <c:f>'minist pagal prior (2)'!$M$8</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'minist pagal prior (2)'!$L$9</c:f>
              <c:strCache>
                <c:ptCount val="1"/>
                <c:pt idx="0">
                  <c:v>SM, ERPF</c:v>
                </c:pt>
              </c:strCache>
            </c:strRef>
          </c:cat>
          <c:val>
            <c:numRef>
              <c:f>'minist pagal prior (2)'!$M$9</c:f>
              <c:numCache>
                <c:formatCode>0%</c:formatCode>
                <c:ptCount val="1"/>
                <c:pt idx="0">
                  <c:v>1</c:v>
                </c:pt>
              </c:numCache>
            </c:numRef>
          </c:val>
          <c:extLst xmlns:c16r2="http://schemas.microsoft.com/office/drawing/2015/06/chart">
            <c:ext xmlns:c16="http://schemas.microsoft.com/office/drawing/2014/chart" uri="{C3380CC4-5D6E-409C-BE32-E72D297353CC}">
              <c16:uniqueId val="{00000000-1876-4B3E-BBD9-469EDFBFB922}"/>
            </c:ext>
          </c:extLst>
        </c:ser>
        <c:ser>
          <c:idx val="2"/>
          <c:order val="1"/>
          <c:tx>
            <c:strRef>
              <c:f>'minist pagal prior (2)'!$N$8</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(2)'!$L$9</c:f>
              <c:strCache>
                <c:ptCount val="1"/>
                <c:pt idx="0">
                  <c:v>SM, ERPF</c:v>
                </c:pt>
              </c:strCache>
            </c:strRef>
          </c:cat>
          <c:val>
            <c:numRef>
              <c:f>'minist pagal prior (2)'!$N$9</c:f>
              <c:numCache>
                <c:formatCode>0%</c:formatCode>
                <c:ptCount val="1"/>
                <c:pt idx="0">
                  <c:v>0.98399999999999999</c:v>
                </c:pt>
              </c:numCache>
            </c:numRef>
          </c:val>
          <c:extLst xmlns:c16r2="http://schemas.microsoft.com/office/drawing/2015/06/chart">
            <c:ext xmlns:c16="http://schemas.microsoft.com/office/drawing/2014/chart" uri="{C3380CC4-5D6E-409C-BE32-E72D297353CC}">
              <c16:uniqueId val="{00000001-1876-4B3E-BBD9-469EDFBFB922}"/>
            </c:ext>
          </c:extLst>
        </c:ser>
        <c:ser>
          <c:idx val="3"/>
          <c:order val="2"/>
          <c:tx>
            <c:strRef>
              <c:f>'minist pagal prior (2)'!$O$8</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(2)'!$L$9</c:f>
              <c:strCache>
                <c:ptCount val="1"/>
                <c:pt idx="0">
                  <c:v>SM, ERPF</c:v>
                </c:pt>
              </c:strCache>
            </c:strRef>
          </c:cat>
          <c:val>
            <c:numRef>
              <c:f>'minist pagal prior (2)'!$O$9</c:f>
              <c:numCache>
                <c:formatCode>0%</c:formatCode>
                <c:ptCount val="1"/>
                <c:pt idx="0">
                  <c:v>0.67800000000000005</c:v>
                </c:pt>
              </c:numCache>
            </c:numRef>
          </c:val>
          <c:extLst xmlns:c16r2="http://schemas.microsoft.com/office/drawing/2015/06/chart">
            <c:ext xmlns:c16="http://schemas.microsoft.com/office/drawing/2014/chart" uri="{C3380CC4-5D6E-409C-BE32-E72D297353CC}">
              <c16:uniqueId val="{00000002-1876-4B3E-BBD9-469EDFBFB922}"/>
            </c:ext>
          </c:extLst>
        </c:ser>
        <c:dLbls>
          <c:showLegendKey val="0"/>
          <c:showVal val="0"/>
          <c:showCatName val="0"/>
          <c:showSerName val="0"/>
          <c:showPercent val="0"/>
          <c:showBubbleSize val="0"/>
        </c:dLbls>
        <c:gapWidth val="132"/>
        <c:overlap val="100"/>
        <c:axId val="63922176"/>
        <c:axId val="63923712"/>
      </c:barChart>
      <c:catAx>
        <c:axId val="63922176"/>
        <c:scaling>
          <c:orientation val="minMax"/>
        </c:scaling>
        <c:delete val="0"/>
        <c:axPos val="l"/>
        <c:numFmt formatCode="General" sourceLinked="0"/>
        <c:majorTickMark val="out"/>
        <c:minorTickMark val="none"/>
        <c:tickLblPos val="nextTo"/>
        <c:crossAx val="63923712"/>
        <c:crosses val="autoZero"/>
        <c:auto val="1"/>
        <c:lblAlgn val="ctr"/>
        <c:lblOffset val="100"/>
        <c:noMultiLvlLbl val="0"/>
      </c:catAx>
      <c:valAx>
        <c:axId val="63923712"/>
        <c:scaling>
          <c:orientation val="minMax"/>
          <c:max val="1"/>
        </c:scaling>
        <c:delete val="0"/>
        <c:axPos val="b"/>
        <c:majorGridlines/>
        <c:numFmt formatCode="0%" sourceLinked="1"/>
        <c:majorTickMark val="out"/>
        <c:minorTickMark val="none"/>
        <c:tickLblPos val="nextTo"/>
        <c:crossAx val="63922176"/>
        <c:crosses val="autoZero"/>
        <c:crossBetween val="between"/>
        <c:majorUnit val="0.2"/>
      </c:valAx>
    </c:plotArea>
    <c:legend>
      <c:legendPos val="b"/>
      <c:layout>
        <c:manualLayout>
          <c:xMode val="edge"/>
          <c:yMode val="edge"/>
          <c:x val="7.8171830688346614E-2"/>
          <c:y val="0.724145121238147"/>
          <c:w val="0.83952837164704253"/>
          <c:h val="0.2448487093157033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995652633204129"/>
          <c:h val="0.23891868268166108"/>
        </c:manualLayout>
      </c:layout>
      <c:barChart>
        <c:barDir val="bar"/>
        <c:grouping val="clustered"/>
        <c:varyColors val="0"/>
        <c:ser>
          <c:idx val="0"/>
          <c:order val="0"/>
          <c:tx>
            <c:strRef>
              <c:f>'minist pagal prior (2)'!$M$13</c:f>
              <c:strCache>
                <c:ptCount val="1"/>
                <c:pt idx="0">
                  <c:v>Nepaskirta projektams</c:v>
                </c:pt>
              </c:strCache>
            </c:strRef>
          </c:tx>
          <c:spPr>
            <a:solidFill>
              <a:schemeClr val="bg1">
                <a:lumMod val="85000"/>
              </a:schemeClr>
            </a:solidFill>
            <a:ln w="38100">
              <a:noFill/>
            </a:ln>
          </c:spPr>
          <c:invertIfNegative val="0"/>
          <c:cat>
            <c:strRef>
              <c:f>'minist pagal prior (2)'!$L$14</c:f>
              <c:strCache>
                <c:ptCount val="1"/>
                <c:pt idx="0">
                  <c:v>EIM, ERPF</c:v>
                </c:pt>
              </c:strCache>
            </c:strRef>
          </c:cat>
          <c:val>
            <c:numRef>
              <c:f>'minist pagal prior (2)'!$M$14</c:f>
              <c:numCache>
                <c:formatCode>0%</c:formatCode>
                <c:ptCount val="1"/>
                <c:pt idx="0">
                  <c:v>1</c:v>
                </c:pt>
              </c:numCache>
            </c:numRef>
          </c:val>
          <c:extLst xmlns:c16r2="http://schemas.microsoft.com/office/drawing/2015/06/chart">
            <c:ext xmlns:c16="http://schemas.microsoft.com/office/drawing/2014/chart" uri="{C3380CC4-5D6E-409C-BE32-E72D297353CC}">
              <c16:uniqueId val="{00000000-0CC1-4D6A-A99B-6BE571ABA746}"/>
            </c:ext>
          </c:extLst>
        </c:ser>
        <c:ser>
          <c:idx val="2"/>
          <c:order val="1"/>
          <c:tx>
            <c:strRef>
              <c:f>'minist pagal prior (2)'!$N$13</c:f>
              <c:strCache>
                <c:ptCount val="1"/>
                <c:pt idx="0">
                  <c:v>Sudaryta sutarčių</c:v>
                </c:pt>
              </c:strCache>
            </c:strRef>
          </c:tx>
          <c:spPr>
            <a:solidFill>
              <a:schemeClr val="accent1"/>
            </a:solidFill>
            <a:ln w="50800">
              <a:solidFill>
                <a:schemeClr val="accent1"/>
              </a:solidFill>
            </a:ln>
          </c:spPr>
          <c:invertIfNegative val="0"/>
          <c:dLbls>
            <c:dLbl>
              <c:idx val="0"/>
              <c:layout>
                <c:manualLayout>
                  <c:x val="-4.966756864370281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0CC1-4D6A-A99B-6BE571ABA746}"/>
                </c:ext>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(2)'!$L$14</c:f>
              <c:strCache>
                <c:ptCount val="1"/>
                <c:pt idx="0">
                  <c:v>EIM, ERPF</c:v>
                </c:pt>
              </c:strCache>
            </c:strRef>
          </c:cat>
          <c:val>
            <c:numRef>
              <c:f>'minist pagal prior (2)'!$N$14</c:f>
              <c:numCache>
                <c:formatCode>0%</c:formatCode>
                <c:ptCount val="1"/>
                <c:pt idx="0">
                  <c:v>1.0529999999999999</c:v>
                </c:pt>
              </c:numCache>
            </c:numRef>
          </c:val>
          <c:extLst xmlns:c16r2="http://schemas.microsoft.com/office/drawing/2015/06/chart">
            <c:ext xmlns:c16="http://schemas.microsoft.com/office/drawing/2014/chart" uri="{C3380CC4-5D6E-409C-BE32-E72D297353CC}">
              <c16:uniqueId val="{00000002-0CC1-4D6A-A99B-6BE571ABA746}"/>
            </c:ext>
          </c:extLst>
        </c:ser>
        <c:ser>
          <c:idx val="3"/>
          <c:order val="2"/>
          <c:tx>
            <c:strRef>
              <c:f>'minist pagal prior (2)'!$O$13</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(2)'!$L$14</c:f>
              <c:strCache>
                <c:ptCount val="1"/>
                <c:pt idx="0">
                  <c:v>EIM, ERPF</c:v>
                </c:pt>
              </c:strCache>
            </c:strRef>
          </c:cat>
          <c:val>
            <c:numRef>
              <c:f>'minist pagal prior (2)'!$O$14</c:f>
              <c:numCache>
                <c:formatCode>0%</c:formatCode>
                <c:ptCount val="1"/>
                <c:pt idx="0">
                  <c:v>0.68100000000000005</c:v>
                </c:pt>
              </c:numCache>
            </c:numRef>
          </c:val>
          <c:extLst xmlns:c16r2="http://schemas.microsoft.com/office/drawing/2015/06/chart">
            <c:ext xmlns:c16="http://schemas.microsoft.com/office/drawing/2014/chart" uri="{C3380CC4-5D6E-409C-BE32-E72D297353CC}">
              <c16:uniqueId val="{00000003-0CC1-4D6A-A99B-6BE571ABA746}"/>
            </c:ext>
          </c:extLst>
        </c:ser>
        <c:dLbls>
          <c:showLegendKey val="0"/>
          <c:showVal val="0"/>
          <c:showCatName val="0"/>
          <c:showSerName val="0"/>
          <c:showPercent val="0"/>
          <c:showBubbleSize val="0"/>
        </c:dLbls>
        <c:gapWidth val="107"/>
        <c:overlap val="100"/>
        <c:axId val="65668608"/>
        <c:axId val="65670144"/>
      </c:barChart>
      <c:catAx>
        <c:axId val="65668608"/>
        <c:scaling>
          <c:orientation val="minMax"/>
        </c:scaling>
        <c:delete val="0"/>
        <c:axPos val="l"/>
        <c:numFmt formatCode="General" sourceLinked="0"/>
        <c:majorTickMark val="out"/>
        <c:minorTickMark val="none"/>
        <c:tickLblPos val="nextTo"/>
        <c:crossAx val="65670144"/>
        <c:crosses val="autoZero"/>
        <c:auto val="1"/>
        <c:lblAlgn val="ctr"/>
        <c:lblOffset val="100"/>
        <c:noMultiLvlLbl val="0"/>
      </c:catAx>
      <c:valAx>
        <c:axId val="65670144"/>
        <c:scaling>
          <c:orientation val="minMax"/>
          <c:max val="1.05"/>
          <c:min val="0"/>
        </c:scaling>
        <c:delete val="0"/>
        <c:axPos val="b"/>
        <c:majorGridlines/>
        <c:numFmt formatCode="0%" sourceLinked="1"/>
        <c:majorTickMark val="out"/>
        <c:minorTickMark val="none"/>
        <c:tickLblPos val="nextTo"/>
        <c:crossAx val="65668608"/>
        <c:crosses val="autoZero"/>
        <c:crossBetween val="between"/>
        <c:majorUnit val="0.2"/>
      </c:valAx>
    </c:plotArea>
    <c:legend>
      <c:legendPos val="b"/>
      <c:layout>
        <c:manualLayout>
          <c:xMode val="edge"/>
          <c:yMode val="edge"/>
          <c:x val="7.8171830688346614E-2"/>
          <c:y val="0.69040520619854018"/>
          <c:w val="0.83952837164704253"/>
          <c:h val="0.2237920085356876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2.9230531703899006E-2"/>
          <c:w val="0.81202050982017338"/>
          <c:h val="0.74031377299557011"/>
        </c:manualLayout>
      </c:layout>
      <c:barChart>
        <c:barDir val="bar"/>
        <c:grouping val="clustered"/>
        <c:varyColors val="0"/>
        <c:ser>
          <c:idx val="0"/>
          <c:order val="0"/>
          <c:tx>
            <c:strRef>
              <c:f>'minist pagal prior (2)'!$M$18</c:f>
              <c:strCache>
                <c:ptCount val="1"/>
                <c:pt idx="0">
                  <c:v>Nepaskirta projektams</c:v>
                </c:pt>
              </c:strCache>
            </c:strRef>
          </c:tx>
          <c:spPr>
            <a:solidFill>
              <a:schemeClr val="bg1">
                <a:lumMod val="85000"/>
              </a:schemeClr>
            </a:solidFill>
            <a:ln>
              <a:noFill/>
            </a:ln>
          </c:spPr>
          <c:invertIfNegative val="0"/>
          <c:cat>
            <c:strRef>
              <c:f>'minist pagal prior (2)'!$L$19:$L$25</c:f>
              <c:strCache>
                <c:ptCount val="7"/>
                <c:pt idx="0">
                  <c:v>VRM, ERPF</c:v>
                </c:pt>
                <c:pt idx="1">
                  <c:v>EIM, ERPF</c:v>
                </c:pt>
                <c:pt idx="2">
                  <c:v>SM, ERPF</c:v>
                </c:pt>
                <c:pt idx="3">
                  <c:v>SM, SaF</c:v>
                </c:pt>
                <c:pt idx="4">
                  <c:v>EM, SaF</c:v>
                </c:pt>
                <c:pt idx="5">
                  <c:v>EM, ERPF</c:v>
                </c:pt>
                <c:pt idx="6">
                  <c:v>AM, ERPF</c:v>
                </c:pt>
              </c:strCache>
            </c:strRef>
          </c:cat>
          <c:val>
            <c:numRef>
              <c:f>'minist pagal prior (2)'!$M$19:$M$25</c:f>
              <c:numCache>
                <c:formatCode>0%</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0-883A-4DF7-93B4-550CB67FD20A}"/>
            </c:ext>
          </c:extLst>
        </c:ser>
        <c:ser>
          <c:idx val="2"/>
          <c:order val="1"/>
          <c:tx>
            <c:strRef>
              <c:f>'minist pagal prior (2)'!$N$18</c:f>
              <c:strCache>
                <c:ptCount val="1"/>
                <c:pt idx="0">
                  <c:v>Sudaryta sutarčių</c:v>
                </c:pt>
              </c:strCache>
            </c:strRef>
          </c:tx>
          <c:spPr>
            <a:solidFill>
              <a:schemeClr val="accent1"/>
            </a:solidFill>
            <a:ln w="50800">
              <a:solidFill>
                <a:schemeClr val="accent1"/>
              </a:solidFill>
            </a:ln>
          </c:spPr>
          <c:invertIfNegative val="0"/>
          <c:dLbls>
            <c:dLbl>
              <c:idx val="1"/>
              <c:layout>
                <c:manualLayout>
                  <c:x val="-0.10349950838188571"/>
                  <c:y val="0"/>
                </c:manualLayout>
              </c:layout>
              <c:dLblPos val="outEnd"/>
              <c:showLegendKey val="0"/>
              <c:showVal val="1"/>
              <c:showCatName val="0"/>
              <c:showSerName val="0"/>
              <c:showPercent val="0"/>
              <c:showBubbleSize val="0"/>
            </c:dLbl>
            <c:dLbl>
              <c:idx val="2"/>
              <c:layout>
                <c:manualLayout>
                  <c:x val="-6.8317528420402562E-2"/>
                  <c:y val="0"/>
                </c:manualLayout>
              </c:layout>
              <c:dLblPos val="outEnd"/>
              <c:showLegendKey val="0"/>
              <c:showVal val="1"/>
              <c:showCatName val="0"/>
              <c:showSerName val="0"/>
              <c:showPercent val="0"/>
              <c:showBubbleSize val="0"/>
            </c:dLbl>
            <c:dLbl>
              <c:idx val="5"/>
              <c:layout/>
              <c:dLblPos val="ctr"/>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(2)'!$L$19:$L$25</c:f>
              <c:strCache>
                <c:ptCount val="7"/>
                <c:pt idx="0">
                  <c:v>VRM, ERPF</c:v>
                </c:pt>
                <c:pt idx="1">
                  <c:v>EIM, ERPF</c:v>
                </c:pt>
                <c:pt idx="2">
                  <c:v>SM, ERPF</c:v>
                </c:pt>
                <c:pt idx="3">
                  <c:v>SM, SaF</c:v>
                </c:pt>
                <c:pt idx="4">
                  <c:v>EM, SaF</c:v>
                </c:pt>
                <c:pt idx="5">
                  <c:v>EM, ERPF</c:v>
                </c:pt>
                <c:pt idx="6">
                  <c:v>AM, ERPF</c:v>
                </c:pt>
              </c:strCache>
            </c:strRef>
          </c:cat>
          <c:val>
            <c:numRef>
              <c:f>'minist pagal prior (2)'!$N$19:$N$25</c:f>
              <c:numCache>
                <c:formatCode>0%</c:formatCode>
                <c:ptCount val="7"/>
                <c:pt idx="0">
                  <c:v>1</c:v>
                </c:pt>
                <c:pt idx="1">
                  <c:v>1.214</c:v>
                </c:pt>
                <c:pt idx="2">
                  <c:v>0.94799999999999995</c:v>
                </c:pt>
                <c:pt idx="3">
                  <c:v>0.86399999999999999</c:v>
                </c:pt>
                <c:pt idx="4">
                  <c:v>1.083</c:v>
                </c:pt>
                <c:pt idx="5">
                  <c:v>1.921</c:v>
                </c:pt>
                <c:pt idx="6">
                  <c:v>1</c:v>
                </c:pt>
              </c:numCache>
            </c:numRef>
          </c:val>
          <c:extLst xmlns:c16r2="http://schemas.microsoft.com/office/drawing/2015/06/chart">
            <c:ext xmlns:c16="http://schemas.microsoft.com/office/drawing/2014/chart" uri="{C3380CC4-5D6E-409C-BE32-E72D297353CC}">
              <c16:uniqueId val="{00000001-883A-4DF7-93B4-550CB67FD20A}"/>
            </c:ext>
          </c:extLst>
        </c:ser>
        <c:ser>
          <c:idx val="3"/>
          <c:order val="2"/>
          <c:tx>
            <c:strRef>
              <c:f>'minist pagal prior (2)'!$O$18</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(2)'!$L$19:$L$25</c:f>
              <c:strCache>
                <c:ptCount val="7"/>
                <c:pt idx="0">
                  <c:v>VRM, ERPF</c:v>
                </c:pt>
                <c:pt idx="1">
                  <c:v>EIM, ERPF</c:v>
                </c:pt>
                <c:pt idx="2">
                  <c:v>SM, ERPF</c:v>
                </c:pt>
                <c:pt idx="3">
                  <c:v>SM, SaF</c:v>
                </c:pt>
                <c:pt idx="4">
                  <c:v>EM, SaF</c:v>
                </c:pt>
                <c:pt idx="5">
                  <c:v>EM, ERPF</c:v>
                </c:pt>
                <c:pt idx="6">
                  <c:v>AM, ERPF</c:v>
                </c:pt>
              </c:strCache>
            </c:strRef>
          </c:cat>
          <c:val>
            <c:numRef>
              <c:f>'minist pagal prior (2)'!$O$19:$O$25</c:f>
              <c:numCache>
                <c:formatCode>0%</c:formatCode>
                <c:ptCount val="7"/>
                <c:pt idx="0">
                  <c:v>4.0000000000000001E-3</c:v>
                </c:pt>
                <c:pt idx="1">
                  <c:v>0.83</c:v>
                </c:pt>
                <c:pt idx="2">
                  <c:v>0.44900000000000001</c:v>
                </c:pt>
                <c:pt idx="3">
                  <c:v>0.72399999999999998</c:v>
                </c:pt>
                <c:pt idx="4">
                  <c:v>0.68799999999999994</c:v>
                </c:pt>
                <c:pt idx="5">
                  <c:v>0.32600000000000001</c:v>
                </c:pt>
                <c:pt idx="6">
                  <c:v>0.89600000000000002</c:v>
                </c:pt>
              </c:numCache>
            </c:numRef>
          </c:val>
          <c:extLst xmlns:c16r2="http://schemas.microsoft.com/office/drawing/2015/06/chart">
            <c:ext xmlns:c16="http://schemas.microsoft.com/office/drawing/2014/chart" uri="{C3380CC4-5D6E-409C-BE32-E72D297353CC}">
              <c16:uniqueId val="{00000002-883A-4DF7-93B4-550CB67FD20A}"/>
            </c:ext>
          </c:extLst>
        </c:ser>
        <c:dLbls>
          <c:showLegendKey val="0"/>
          <c:showVal val="0"/>
          <c:showCatName val="0"/>
          <c:showSerName val="0"/>
          <c:showPercent val="0"/>
          <c:showBubbleSize val="0"/>
        </c:dLbls>
        <c:gapWidth val="115"/>
        <c:overlap val="100"/>
        <c:axId val="65711104"/>
        <c:axId val="65716992"/>
      </c:barChart>
      <c:catAx>
        <c:axId val="65711104"/>
        <c:scaling>
          <c:orientation val="minMax"/>
        </c:scaling>
        <c:delete val="0"/>
        <c:axPos val="l"/>
        <c:numFmt formatCode="General" sourceLinked="0"/>
        <c:majorTickMark val="out"/>
        <c:minorTickMark val="none"/>
        <c:tickLblPos val="nextTo"/>
        <c:crossAx val="65716992"/>
        <c:crosses val="autoZero"/>
        <c:auto val="1"/>
        <c:lblAlgn val="ctr"/>
        <c:lblOffset val="100"/>
        <c:noMultiLvlLbl val="0"/>
      </c:catAx>
      <c:valAx>
        <c:axId val="65716992"/>
        <c:scaling>
          <c:orientation val="minMax"/>
          <c:max val="1.1000000000000001"/>
          <c:min val="0"/>
        </c:scaling>
        <c:delete val="0"/>
        <c:axPos val="b"/>
        <c:majorGridlines/>
        <c:numFmt formatCode="0%" sourceLinked="1"/>
        <c:majorTickMark val="out"/>
        <c:minorTickMark val="none"/>
        <c:tickLblPos val="nextTo"/>
        <c:crossAx val="65711104"/>
        <c:crosses val="autoZero"/>
        <c:crossBetween val="between"/>
        <c:majorUnit val="0.2"/>
      </c:valAx>
    </c:plotArea>
    <c:legend>
      <c:legendPos val="b"/>
      <c:layout>
        <c:manualLayout>
          <c:xMode val="edge"/>
          <c:yMode val="edge"/>
          <c:x val="7.8171830688346614E-2"/>
          <c:y val="0.84161002900953175"/>
          <c:w val="0.83952837164704253"/>
          <c:h val="0.1537000966984390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44125669757"/>
          <c:y val="2.0777608500494243E-2"/>
          <c:w val="0.81614847679643765"/>
          <c:h val="0.71102318460192471"/>
        </c:manualLayout>
      </c:layout>
      <c:barChart>
        <c:barDir val="bar"/>
        <c:grouping val="clustered"/>
        <c:varyColors val="0"/>
        <c:ser>
          <c:idx val="0"/>
          <c:order val="0"/>
          <c:tx>
            <c:strRef>
              <c:f>'minist pagal prior (2)'!$M$29</c:f>
              <c:strCache>
                <c:ptCount val="1"/>
                <c:pt idx="0">
                  <c:v>Nepaskirta projektams</c:v>
                </c:pt>
              </c:strCache>
            </c:strRef>
          </c:tx>
          <c:spPr>
            <a:solidFill>
              <a:schemeClr val="bg1">
                <a:lumMod val="85000"/>
              </a:schemeClr>
            </a:solidFill>
            <a:ln w="38100">
              <a:noFill/>
            </a:ln>
          </c:spPr>
          <c:invertIfNegative val="0"/>
          <c:cat>
            <c:strRef>
              <c:f>'minist pagal prior (2)'!$L$30:$L$34</c:f>
              <c:strCache>
                <c:ptCount val="5"/>
                <c:pt idx="0">
                  <c:v>VRM, ERPF</c:v>
                </c:pt>
                <c:pt idx="1">
                  <c:v>EIM, ERPF</c:v>
                </c:pt>
                <c:pt idx="2">
                  <c:v>KM, ERPF</c:v>
                </c:pt>
                <c:pt idx="3">
                  <c:v>AM, SaF</c:v>
                </c:pt>
                <c:pt idx="4">
                  <c:v>AM, ERPF</c:v>
                </c:pt>
              </c:strCache>
            </c:strRef>
          </c:cat>
          <c:val>
            <c:numRef>
              <c:f>'minist pagal prior (2)'!$M$30:$M$34</c:f>
              <c:numCache>
                <c:formatCode>0%</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2-7069-4C8E-8DC8-75076EF3703D}"/>
            </c:ext>
          </c:extLst>
        </c:ser>
        <c:ser>
          <c:idx val="2"/>
          <c:order val="1"/>
          <c:tx>
            <c:strRef>
              <c:f>'minist pagal prior (2)'!$N$29</c:f>
              <c:strCache>
                <c:ptCount val="1"/>
                <c:pt idx="0">
                  <c:v>Sudaryta sutarčių</c:v>
                </c:pt>
              </c:strCache>
            </c:strRef>
          </c:tx>
          <c:spPr>
            <a:solidFill>
              <a:schemeClr val="accent1"/>
            </a:solidFill>
            <a:ln w="50800">
              <a:solidFill>
                <a:schemeClr val="accent1"/>
              </a:solidFill>
            </a:ln>
          </c:spPr>
          <c:invertIfNegative val="0"/>
          <c:dLbls>
            <c:dLbl>
              <c:idx val="0"/>
              <c:layout/>
              <c:dLblPos val="ctr"/>
              <c:showLegendKey val="0"/>
              <c:showVal val="1"/>
              <c:showCatName val="0"/>
              <c:showSerName val="0"/>
              <c:showPercent val="0"/>
              <c:showBubbleSize val="0"/>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'minist pagal prior (2)'!$L$30:$L$34</c:f>
              <c:strCache>
                <c:ptCount val="5"/>
                <c:pt idx="0">
                  <c:v>VRM, ERPF</c:v>
                </c:pt>
                <c:pt idx="1">
                  <c:v>EIM, ERPF</c:v>
                </c:pt>
                <c:pt idx="2">
                  <c:v>KM, ERPF</c:v>
                </c:pt>
                <c:pt idx="3">
                  <c:v>AM, SaF</c:v>
                </c:pt>
                <c:pt idx="4">
                  <c:v>AM, ERPF</c:v>
                </c:pt>
              </c:strCache>
            </c:strRef>
          </c:cat>
          <c:val>
            <c:numRef>
              <c:f>'minist pagal prior (2)'!$N$30:$N$34</c:f>
              <c:numCache>
                <c:formatCode>0%</c:formatCode>
                <c:ptCount val="5"/>
                <c:pt idx="0">
                  <c:v>1.1839999999999999</c:v>
                </c:pt>
                <c:pt idx="1">
                  <c:v>0.95599999999999996</c:v>
                </c:pt>
                <c:pt idx="2">
                  <c:v>1.0149999999999999</c:v>
                </c:pt>
                <c:pt idx="3">
                  <c:v>0.97499999999999998</c:v>
                </c:pt>
                <c:pt idx="4">
                  <c:v>1.01</c:v>
                </c:pt>
              </c:numCache>
            </c:numRef>
          </c:val>
          <c:extLst xmlns:c16r2="http://schemas.microsoft.com/office/drawing/2015/06/chart">
            <c:ext xmlns:c16="http://schemas.microsoft.com/office/drawing/2014/chart" uri="{C3380CC4-5D6E-409C-BE32-E72D297353CC}">
              <c16:uniqueId val="{00000005-7069-4C8E-8DC8-75076EF3703D}"/>
            </c:ext>
          </c:extLst>
        </c:ser>
        <c:ser>
          <c:idx val="3"/>
          <c:order val="2"/>
          <c:tx>
            <c:strRef>
              <c:f>'minist pagal prior (2)'!$O$29</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'minist pagal prior (2)'!$L$30:$L$34</c:f>
              <c:strCache>
                <c:ptCount val="5"/>
                <c:pt idx="0">
                  <c:v>VRM, ERPF</c:v>
                </c:pt>
                <c:pt idx="1">
                  <c:v>EIM, ERPF</c:v>
                </c:pt>
                <c:pt idx="2">
                  <c:v>KM, ERPF</c:v>
                </c:pt>
                <c:pt idx="3">
                  <c:v>AM, SaF</c:v>
                </c:pt>
                <c:pt idx="4">
                  <c:v>AM, ERPF</c:v>
                </c:pt>
              </c:strCache>
            </c:strRef>
          </c:cat>
          <c:val>
            <c:numRef>
              <c:f>'minist pagal prior (2)'!$O$30:$O$34</c:f>
              <c:numCache>
                <c:formatCode>0%</c:formatCode>
                <c:ptCount val="5"/>
                <c:pt idx="0">
                  <c:v>0.214</c:v>
                </c:pt>
                <c:pt idx="1">
                  <c:v>0.70099999999999996</c:v>
                </c:pt>
                <c:pt idx="2">
                  <c:v>0.68600000000000005</c:v>
                </c:pt>
                <c:pt idx="3">
                  <c:v>0.67</c:v>
                </c:pt>
                <c:pt idx="4">
                  <c:v>0.55600000000000005</c:v>
                </c:pt>
              </c:numCache>
            </c:numRef>
          </c:val>
          <c:extLst xmlns:c16r2="http://schemas.microsoft.com/office/drawing/2015/06/chart">
            <c:ext xmlns:c16="http://schemas.microsoft.com/office/drawing/2014/chart" uri="{C3380CC4-5D6E-409C-BE32-E72D297353CC}">
              <c16:uniqueId val="{00000006-7069-4C8E-8DC8-75076EF3703D}"/>
            </c:ext>
          </c:extLst>
        </c:ser>
        <c:dLbls>
          <c:showLegendKey val="0"/>
          <c:showVal val="0"/>
          <c:showCatName val="0"/>
          <c:showSerName val="0"/>
          <c:showPercent val="0"/>
          <c:showBubbleSize val="0"/>
        </c:dLbls>
        <c:gapWidth val="120"/>
        <c:overlap val="100"/>
        <c:axId val="65761280"/>
        <c:axId val="65762816"/>
      </c:barChart>
      <c:catAx>
        <c:axId val="65761280"/>
        <c:scaling>
          <c:orientation val="minMax"/>
        </c:scaling>
        <c:delete val="0"/>
        <c:axPos val="l"/>
        <c:numFmt formatCode="General" sourceLinked="0"/>
        <c:majorTickMark val="out"/>
        <c:minorTickMark val="none"/>
        <c:tickLblPos val="nextTo"/>
        <c:crossAx val="65762816"/>
        <c:crosses val="autoZero"/>
        <c:auto val="1"/>
        <c:lblAlgn val="ctr"/>
        <c:lblOffset val="100"/>
        <c:noMultiLvlLbl val="0"/>
      </c:catAx>
      <c:valAx>
        <c:axId val="65762816"/>
        <c:scaling>
          <c:orientation val="minMax"/>
          <c:max val="1.02"/>
          <c:min val="0"/>
        </c:scaling>
        <c:delete val="0"/>
        <c:axPos val="b"/>
        <c:majorGridlines/>
        <c:numFmt formatCode="0%" sourceLinked="1"/>
        <c:majorTickMark val="none"/>
        <c:minorTickMark val="none"/>
        <c:tickLblPos val="low"/>
        <c:crossAx val="65761280"/>
        <c:crosses val="autoZero"/>
        <c:crossBetween val="between"/>
        <c:majorUnit val="0.2"/>
      </c:valAx>
    </c:plotArea>
    <c:legend>
      <c:legendPos val="t"/>
      <c:layout>
        <c:manualLayout>
          <c:xMode val="edge"/>
          <c:yMode val="edge"/>
          <c:x val="0.15683435338285781"/>
          <c:y val="0.89017224409448814"/>
          <c:w val="0.71509348683523011"/>
          <c:h val="9.3332786526684169E-2"/>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A2E1B4-0582-42D3-87FF-AB7E9AB7B62C}" type="doc">
      <dgm:prSet loTypeId="urn:microsoft.com/office/officeart/2005/8/layout/vList6" loCatId="list" qsTypeId="urn:microsoft.com/office/officeart/2005/8/quickstyle/simple1" qsCatId="simple" csTypeId="urn:microsoft.com/office/officeart/2005/8/colors/accent1_2" csCatId="accent1" phldr="1"/>
      <dgm:spPr/>
    </dgm:pt>
    <dgm:pt modelId="{E80C3609-2B00-478A-B2A4-3F09E4E4EC92}">
      <dgm:prSet phldrT="[Text]" custT="1"/>
      <dgm:spPr>
        <a:solidFill>
          <a:schemeClr val="accent4">
            <a:lumMod val="40000"/>
            <a:lumOff val="60000"/>
          </a:schemeClr>
        </a:solidFill>
      </dgm:spPr>
      <dgm:t>
        <a:bodyPr/>
        <a:lstStyle/>
        <a:p>
          <a:r>
            <a:rPr lang="lt-LT" sz="1100" b="1" dirty="0" smtClean="0">
              <a:solidFill>
                <a:schemeClr val="bg2">
                  <a:lumMod val="10000"/>
                </a:schemeClr>
              </a:solidFill>
              <a:latin typeface="+mj-lt"/>
            </a:rPr>
            <a:t>Jessica I </a:t>
          </a:r>
        </a:p>
        <a:p>
          <a:r>
            <a:rPr lang="lt-LT" sz="1100" dirty="0" smtClean="0">
              <a:solidFill>
                <a:schemeClr val="bg2">
                  <a:lumMod val="10000"/>
                </a:schemeClr>
              </a:solidFill>
              <a:latin typeface="+mj-lt"/>
            </a:rPr>
            <a:t>Europos investicijų bankas</a:t>
          </a:r>
        </a:p>
        <a:p>
          <a:r>
            <a:rPr lang="lt-LT" sz="1100" dirty="0" smtClean="0">
              <a:solidFill>
                <a:schemeClr val="bg2">
                  <a:lumMod val="10000"/>
                </a:schemeClr>
              </a:solidFill>
              <a:latin typeface="+mj-lt"/>
            </a:rPr>
            <a:t>173 mln. EUR </a:t>
          </a:r>
          <a:endParaRPr lang="en-US" sz="1100" dirty="0">
            <a:solidFill>
              <a:schemeClr val="bg2">
                <a:lumMod val="10000"/>
              </a:schemeClr>
            </a:solidFill>
            <a:latin typeface="+mj-lt"/>
          </a:endParaRPr>
        </a:p>
      </dgm:t>
    </dgm:pt>
    <dgm:pt modelId="{3ACC4323-7DA8-47DE-92AD-02960A48539D}" type="parTrans" cxnId="{8D0589B3-2734-4827-8E6A-BA91286543E7}">
      <dgm:prSet/>
      <dgm:spPr/>
      <dgm:t>
        <a:bodyPr/>
        <a:lstStyle/>
        <a:p>
          <a:endParaRPr lang="en-US" sz="2400">
            <a:latin typeface="+mj-lt"/>
          </a:endParaRPr>
        </a:p>
      </dgm:t>
    </dgm:pt>
    <dgm:pt modelId="{9ACB4469-CC33-49A7-BF8B-077DB1854261}" type="sibTrans" cxnId="{8D0589B3-2734-4827-8E6A-BA91286543E7}">
      <dgm:prSet/>
      <dgm:spPr/>
      <dgm:t>
        <a:bodyPr/>
        <a:lstStyle/>
        <a:p>
          <a:endParaRPr lang="en-US" sz="2400">
            <a:latin typeface="+mj-lt"/>
          </a:endParaRPr>
        </a:p>
      </dgm:t>
    </dgm:pt>
    <dgm:pt modelId="{E11D2BEC-75E7-407E-B5FE-D7214E404349}">
      <dgm:prSet phldrT="[Text]" custT="1">
        <dgm:style>
          <a:lnRef idx="1">
            <a:schemeClr val="accent6"/>
          </a:lnRef>
          <a:fillRef idx="2">
            <a:schemeClr val="accent6"/>
          </a:fillRef>
          <a:effectRef idx="1">
            <a:schemeClr val="accent6"/>
          </a:effectRef>
          <a:fontRef idx="minor">
            <a:schemeClr val="dk1"/>
          </a:fontRef>
        </dgm:style>
      </dgm:prSet>
      <dgm:spPr>
        <a:solidFill>
          <a:schemeClr val="accent1">
            <a:lumMod val="20000"/>
            <a:lumOff val="80000"/>
          </a:schemeClr>
        </a:solidFill>
      </dgm:spPr>
      <dgm:t>
        <a:bodyPr/>
        <a:lstStyle/>
        <a:p>
          <a:r>
            <a:rPr lang="lt-LT" sz="1100" b="1" dirty="0" smtClean="0">
              <a:solidFill>
                <a:schemeClr val="bg2">
                  <a:lumMod val="10000"/>
                </a:schemeClr>
              </a:solidFill>
              <a:latin typeface="+mj-lt"/>
            </a:rPr>
            <a:t>Jeremie kontroliuojantysis fondas</a:t>
          </a:r>
        </a:p>
        <a:p>
          <a:r>
            <a:rPr lang="lt-LT" sz="1100" b="0" dirty="0" smtClean="0">
              <a:solidFill>
                <a:schemeClr val="bg2">
                  <a:lumMod val="10000"/>
                </a:schemeClr>
              </a:solidFill>
              <a:latin typeface="+mj-lt"/>
            </a:rPr>
            <a:t>Europos investicijų fondas</a:t>
          </a:r>
        </a:p>
        <a:p>
          <a:r>
            <a:rPr lang="lt-LT" sz="1100" b="0" dirty="0" smtClean="0">
              <a:solidFill>
                <a:schemeClr val="bg2">
                  <a:lumMod val="10000"/>
                </a:schemeClr>
              </a:solidFill>
              <a:latin typeface="+mj-lt"/>
            </a:rPr>
            <a:t> </a:t>
          </a:r>
          <a:r>
            <a:rPr lang="lt-LT" sz="1100" dirty="0" smtClean="0">
              <a:solidFill>
                <a:schemeClr val="bg2">
                  <a:lumMod val="10000"/>
                </a:schemeClr>
              </a:solidFill>
              <a:latin typeface="+mj-lt"/>
            </a:rPr>
            <a:t>42 mln. EUR</a:t>
          </a:r>
          <a:endParaRPr lang="en-US" sz="1100" b="0" dirty="0">
            <a:solidFill>
              <a:schemeClr val="bg2">
                <a:lumMod val="10000"/>
              </a:schemeClr>
            </a:solidFill>
            <a:latin typeface="+mj-lt"/>
          </a:endParaRPr>
        </a:p>
      </dgm:t>
    </dgm:pt>
    <dgm:pt modelId="{D5D99E36-90B3-4E3B-96B5-22EC6681C793}" type="parTrans" cxnId="{204A0D41-DD2E-4EDC-BBBC-2E45E147CE9B}">
      <dgm:prSet/>
      <dgm:spPr/>
      <dgm:t>
        <a:bodyPr/>
        <a:lstStyle/>
        <a:p>
          <a:endParaRPr lang="en-US" sz="2400">
            <a:latin typeface="+mj-lt"/>
          </a:endParaRPr>
        </a:p>
      </dgm:t>
    </dgm:pt>
    <dgm:pt modelId="{4C12717B-2587-40EF-BE4A-0E5A7C226382}" type="sibTrans" cxnId="{204A0D41-DD2E-4EDC-BBBC-2E45E147CE9B}">
      <dgm:prSet/>
      <dgm:spPr/>
      <dgm:t>
        <a:bodyPr/>
        <a:lstStyle/>
        <a:p>
          <a:endParaRPr lang="en-US" sz="2400">
            <a:latin typeface="+mj-lt"/>
          </a:endParaRPr>
        </a:p>
      </dgm:t>
    </dgm:pt>
    <dgm:pt modelId="{B936CD95-1B49-4A42-AA62-B6E1806F609E}">
      <dgm:prSet phldrT="[Text]" custT="1">
        <dgm:style>
          <a:lnRef idx="1">
            <a:schemeClr val="accent6"/>
          </a:lnRef>
          <a:fillRef idx="2">
            <a:schemeClr val="accent6"/>
          </a:fillRef>
          <a:effectRef idx="1">
            <a:schemeClr val="accent6"/>
          </a:effectRef>
          <a:fontRef idx="minor">
            <a:schemeClr val="dk1"/>
          </a:fontRef>
        </dgm:style>
      </dgm:prSet>
      <dgm:spPr>
        <a:solidFill>
          <a:schemeClr val="accent1">
            <a:lumMod val="20000"/>
            <a:lumOff val="80000"/>
          </a:schemeClr>
        </a:solidFill>
      </dgm:spPr>
      <dgm:t>
        <a:bodyPr/>
        <a:lstStyle/>
        <a:p>
          <a:r>
            <a:rPr lang="lt-LT" sz="1300" b="1" dirty="0" smtClean="0">
              <a:solidFill>
                <a:schemeClr val="bg2">
                  <a:lumMod val="10000"/>
                </a:schemeClr>
              </a:solidFill>
              <a:latin typeface="+mj-lt"/>
            </a:rPr>
            <a:t>Invegos fondas</a:t>
          </a:r>
        </a:p>
        <a:p>
          <a:r>
            <a:rPr lang="lt-LT" sz="1300" b="0" dirty="0" smtClean="0">
              <a:solidFill>
                <a:schemeClr val="bg2">
                  <a:lumMod val="10000"/>
                </a:schemeClr>
              </a:solidFill>
              <a:latin typeface="+mj-lt"/>
            </a:rPr>
            <a:t>Invega, </a:t>
          </a:r>
          <a:r>
            <a:rPr lang="lt-LT" sz="1300" dirty="0" smtClean="0">
              <a:solidFill>
                <a:schemeClr val="bg2">
                  <a:lumMod val="10000"/>
                </a:schemeClr>
              </a:solidFill>
              <a:latin typeface="+mj-lt"/>
            </a:rPr>
            <a:t>186 mln. EUR</a:t>
          </a:r>
          <a:endParaRPr lang="en-US" sz="1300" b="0" dirty="0">
            <a:solidFill>
              <a:schemeClr val="bg2">
                <a:lumMod val="10000"/>
              </a:schemeClr>
            </a:solidFill>
            <a:latin typeface="+mj-lt"/>
          </a:endParaRPr>
        </a:p>
      </dgm:t>
    </dgm:pt>
    <dgm:pt modelId="{A182583A-F51A-4248-ACD4-666C1F360961}" type="parTrans" cxnId="{0C88DA38-B792-4230-84F4-EA4E5FECAE3C}">
      <dgm:prSet/>
      <dgm:spPr/>
      <dgm:t>
        <a:bodyPr/>
        <a:lstStyle/>
        <a:p>
          <a:endParaRPr lang="en-US" sz="2400">
            <a:latin typeface="+mj-lt"/>
          </a:endParaRPr>
        </a:p>
      </dgm:t>
    </dgm:pt>
    <dgm:pt modelId="{E1F9FF44-B960-4CEB-80D4-9D536D14CCED}" type="sibTrans" cxnId="{0C88DA38-B792-4230-84F4-EA4E5FECAE3C}">
      <dgm:prSet/>
      <dgm:spPr/>
      <dgm:t>
        <a:bodyPr/>
        <a:lstStyle/>
        <a:p>
          <a:endParaRPr lang="en-US" sz="2400">
            <a:latin typeface="+mj-lt"/>
          </a:endParaRPr>
        </a:p>
      </dgm:t>
    </dgm:pt>
    <dgm:pt modelId="{55ADE905-B614-467B-8CED-EA6C17C77057}">
      <dgm:prSet phldrT="[Text]" custT="1">
        <dgm:style>
          <a:lnRef idx="1">
            <a:schemeClr val="accent6"/>
          </a:lnRef>
          <a:fillRef idx="2">
            <a:schemeClr val="accent6"/>
          </a:fillRef>
          <a:effectRef idx="1">
            <a:schemeClr val="accent6"/>
          </a:effectRef>
          <a:fontRef idx="minor">
            <a:schemeClr val="dk1"/>
          </a:fontRef>
        </dgm:style>
      </dgm:prSet>
      <dgm:spPr>
        <a:solidFill>
          <a:schemeClr val="accent1">
            <a:lumMod val="20000"/>
            <a:lumOff val="80000"/>
          </a:schemeClr>
        </a:solidFill>
      </dgm:spPr>
      <dgm:t>
        <a:bodyPr/>
        <a:lstStyle/>
        <a:p>
          <a:r>
            <a:rPr lang="lt-LT" sz="1300" b="1" dirty="0" smtClean="0">
              <a:solidFill>
                <a:schemeClr val="bg2">
                  <a:lumMod val="10000"/>
                </a:schemeClr>
              </a:solidFill>
              <a:latin typeface="+mj-lt"/>
            </a:rPr>
            <a:t>Verslumo skatinimo fondas </a:t>
          </a:r>
        </a:p>
        <a:p>
          <a:r>
            <a:rPr lang="lt-LT" sz="1300" b="0" dirty="0" smtClean="0">
              <a:solidFill>
                <a:schemeClr val="bg2">
                  <a:lumMod val="10000"/>
                </a:schemeClr>
              </a:solidFill>
              <a:latin typeface="+mj-lt"/>
            </a:rPr>
            <a:t>Invega, </a:t>
          </a:r>
          <a:r>
            <a:rPr lang="lt-LT" sz="1300" dirty="0" smtClean="0">
              <a:solidFill>
                <a:schemeClr val="bg2">
                  <a:lumMod val="10000"/>
                </a:schemeClr>
              </a:solidFill>
              <a:latin typeface="+mj-lt"/>
            </a:rPr>
            <a:t>14,5 mln. EUR</a:t>
          </a:r>
          <a:endParaRPr lang="en-US" sz="1300" b="0" dirty="0">
            <a:solidFill>
              <a:schemeClr val="bg2">
                <a:lumMod val="10000"/>
              </a:schemeClr>
            </a:solidFill>
            <a:latin typeface="+mj-lt"/>
          </a:endParaRPr>
        </a:p>
      </dgm:t>
    </dgm:pt>
    <dgm:pt modelId="{A09AB560-9139-4E5E-B0DA-741EB954F74C}" type="parTrans" cxnId="{F854E4C4-E634-44D7-8495-8662F1A4EA68}">
      <dgm:prSet/>
      <dgm:spPr/>
      <dgm:t>
        <a:bodyPr/>
        <a:lstStyle/>
        <a:p>
          <a:endParaRPr lang="en-US" sz="2400">
            <a:latin typeface="+mj-lt"/>
          </a:endParaRPr>
        </a:p>
      </dgm:t>
    </dgm:pt>
    <dgm:pt modelId="{FDE3399E-33F5-40F1-AC43-904029C5F5E5}" type="sibTrans" cxnId="{F854E4C4-E634-44D7-8495-8662F1A4EA68}">
      <dgm:prSet/>
      <dgm:spPr/>
      <dgm:t>
        <a:bodyPr/>
        <a:lstStyle/>
        <a:p>
          <a:endParaRPr lang="en-US" sz="2400">
            <a:latin typeface="+mj-lt"/>
          </a:endParaRPr>
        </a:p>
      </dgm:t>
    </dgm:pt>
    <dgm:pt modelId="{4DCC64BF-796B-4714-A2C4-BA99987B1C40}">
      <dgm:prSet phldrT="[Text]" custT="1">
        <dgm:style>
          <a:lnRef idx="1">
            <a:schemeClr val="accent6"/>
          </a:lnRef>
          <a:fillRef idx="2">
            <a:schemeClr val="accent6"/>
          </a:fillRef>
          <a:effectRef idx="1">
            <a:schemeClr val="accent6"/>
          </a:effectRef>
          <a:fontRef idx="minor">
            <a:schemeClr val="dk1"/>
          </a:fontRef>
        </dgm:style>
      </dgm:prSet>
      <dgm:spPr>
        <a:solidFill>
          <a:schemeClr val="accent1">
            <a:lumMod val="20000"/>
            <a:lumOff val="80000"/>
          </a:schemeClr>
        </a:solidFill>
      </dgm:spPr>
      <dgm:t>
        <a:bodyPr/>
        <a:lstStyle/>
        <a:p>
          <a:r>
            <a:rPr lang="lt-LT" sz="1300" b="1" dirty="0" smtClean="0">
              <a:solidFill>
                <a:schemeClr val="bg2">
                  <a:lumMod val="10000"/>
                </a:schemeClr>
              </a:solidFill>
              <a:latin typeface="+mj-lt"/>
            </a:rPr>
            <a:t>Garantijų fondas</a:t>
          </a:r>
        </a:p>
        <a:p>
          <a:r>
            <a:rPr lang="lt-LT" sz="1300" b="0" dirty="0" smtClean="0">
              <a:solidFill>
                <a:schemeClr val="bg2">
                  <a:lumMod val="10000"/>
                </a:schemeClr>
              </a:solidFill>
              <a:latin typeface="+mj-lt"/>
            </a:rPr>
            <a:t>Invega,</a:t>
          </a:r>
          <a:r>
            <a:rPr lang="lt-LT" sz="1300" dirty="0" smtClean="0">
              <a:solidFill>
                <a:schemeClr val="bg2">
                  <a:lumMod val="10000"/>
                </a:schemeClr>
              </a:solidFill>
              <a:latin typeface="+mj-lt"/>
            </a:rPr>
            <a:t> </a:t>
          </a:r>
          <a:r>
            <a:rPr lang="lt-LT" sz="1300" dirty="0" smtClean="0">
              <a:solidFill>
                <a:srgbClr val="000000"/>
              </a:solidFill>
              <a:latin typeface="+mj-lt"/>
            </a:rPr>
            <a:t>37,4 </a:t>
          </a:r>
          <a:r>
            <a:rPr lang="lt-LT" sz="1300" dirty="0" smtClean="0">
              <a:solidFill>
                <a:schemeClr val="bg2">
                  <a:lumMod val="10000"/>
                </a:schemeClr>
              </a:solidFill>
              <a:latin typeface="+mj-lt"/>
            </a:rPr>
            <a:t>mln. EUR</a:t>
          </a:r>
          <a:endParaRPr lang="en-US" sz="1300" b="0" dirty="0">
            <a:solidFill>
              <a:schemeClr val="bg2">
                <a:lumMod val="10000"/>
              </a:schemeClr>
            </a:solidFill>
            <a:latin typeface="+mj-lt"/>
          </a:endParaRPr>
        </a:p>
      </dgm:t>
    </dgm:pt>
    <dgm:pt modelId="{ECF37BF6-9A74-494B-BD7A-8CC03791F5B8}" type="parTrans" cxnId="{F789BD49-DB4B-4923-B56A-A52FCF8DA0F6}">
      <dgm:prSet/>
      <dgm:spPr/>
      <dgm:t>
        <a:bodyPr/>
        <a:lstStyle/>
        <a:p>
          <a:endParaRPr lang="en-US" sz="2400">
            <a:latin typeface="+mj-lt"/>
          </a:endParaRPr>
        </a:p>
      </dgm:t>
    </dgm:pt>
    <dgm:pt modelId="{DA008C32-C7D4-40EC-951A-70A0D5A0F394}" type="sibTrans" cxnId="{F789BD49-DB4B-4923-B56A-A52FCF8DA0F6}">
      <dgm:prSet/>
      <dgm:spPr/>
      <dgm:t>
        <a:bodyPr/>
        <a:lstStyle/>
        <a:p>
          <a:endParaRPr lang="en-US" sz="2400">
            <a:latin typeface="+mj-lt"/>
          </a:endParaRPr>
        </a:p>
      </dgm:t>
    </dgm:pt>
    <dgm:pt modelId="{1D4C9219-41BC-429C-9874-A787BFAA9BAB}">
      <dgm:prSet custT="1"/>
      <dgm:spPr>
        <a:ln w="38100">
          <a:solidFill>
            <a:schemeClr val="accent3">
              <a:lumMod val="75000"/>
              <a:alpha val="90000"/>
            </a:schemeClr>
          </a:solidFill>
        </a:ln>
      </dgm:spPr>
      <dgm:t>
        <a:bodyPr/>
        <a:lstStyle/>
        <a:p>
          <a:r>
            <a:rPr lang="lt-LT" sz="1200" dirty="0" smtClean="0">
              <a:solidFill>
                <a:schemeClr val="accent2">
                  <a:lumMod val="10000"/>
                </a:schemeClr>
              </a:solidFill>
              <a:latin typeface="+mj-lt"/>
            </a:rPr>
            <a:t>Paskolos daugiabučiams ir studentų bendrabučiams</a:t>
          </a:r>
          <a:endParaRPr lang="en-US" sz="1200" dirty="0">
            <a:solidFill>
              <a:schemeClr val="accent2">
                <a:lumMod val="10000"/>
              </a:schemeClr>
            </a:solidFill>
            <a:latin typeface="+mj-lt"/>
          </a:endParaRPr>
        </a:p>
      </dgm:t>
    </dgm:pt>
    <dgm:pt modelId="{4FC9835E-4646-4F83-BEE5-230A9C14917D}" type="parTrans" cxnId="{F0615936-EFDB-4D11-B5BD-1786D0D06C2F}">
      <dgm:prSet/>
      <dgm:spPr/>
      <dgm:t>
        <a:bodyPr/>
        <a:lstStyle/>
        <a:p>
          <a:endParaRPr lang="en-US" sz="2400">
            <a:latin typeface="+mj-lt"/>
          </a:endParaRPr>
        </a:p>
      </dgm:t>
    </dgm:pt>
    <dgm:pt modelId="{8EFA086B-FDBD-48E3-9829-0C04587D8791}" type="sibTrans" cxnId="{F0615936-EFDB-4D11-B5BD-1786D0D06C2F}">
      <dgm:prSet/>
      <dgm:spPr/>
      <dgm:t>
        <a:bodyPr/>
        <a:lstStyle/>
        <a:p>
          <a:endParaRPr lang="en-US" sz="2400">
            <a:latin typeface="+mj-lt"/>
          </a:endParaRPr>
        </a:p>
      </dgm:t>
    </dgm:pt>
    <dgm:pt modelId="{89683E85-489E-49B4-A6E3-27839D29206C}">
      <dgm:prSet custT="1"/>
      <dgm:spPr>
        <a:ln w="38100">
          <a:solidFill>
            <a:schemeClr val="accent3">
              <a:lumMod val="75000"/>
              <a:alpha val="90000"/>
            </a:schemeClr>
          </a:solidFill>
        </a:ln>
      </dgm:spPr>
      <dgm:t>
        <a:bodyPr/>
        <a:lstStyle/>
        <a:p>
          <a:pPr marL="0" indent="0"/>
          <a:r>
            <a:rPr lang="lt-LT" sz="1200" dirty="0" smtClean="0">
              <a:solidFill>
                <a:schemeClr val="accent2">
                  <a:lumMod val="10000"/>
                </a:schemeClr>
              </a:solidFill>
              <a:latin typeface="+mj-lt"/>
            </a:rPr>
            <a:t>Rizikos kapitalo investicijos SVV</a:t>
          </a:r>
          <a:endParaRPr lang="en-US" sz="1200" dirty="0">
            <a:solidFill>
              <a:schemeClr val="accent2">
                <a:lumMod val="10000"/>
              </a:schemeClr>
            </a:solidFill>
            <a:latin typeface="+mj-lt"/>
          </a:endParaRPr>
        </a:p>
      </dgm:t>
    </dgm:pt>
    <dgm:pt modelId="{5A4BCD8C-68C1-46F6-89EC-BB30B0F216A3}" type="parTrans" cxnId="{5B821595-0D70-45E7-B604-BF3CFC119DEC}">
      <dgm:prSet/>
      <dgm:spPr/>
      <dgm:t>
        <a:bodyPr/>
        <a:lstStyle/>
        <a:p>
          <a:endParaRPr lang="en-US" sz="2400">
            <a:latin typeface="+mj-lt"/>
          </a:endParaRPr>
        </a:p>
      </dgm:t>
    </dgm:pt>
    <dgm:pt modelId="{CCD9A466-0C6B-4CAB-80E9-1590F911458E}" type="sibTrans" cxnId="{5B821595-0D70-45E7-B604-BF3CFC119DEC}">
      <dgm:prSet/>
      <dgm:spPr/>
      <dgm:t>
        <a:bodyPr/>
        <a:lstStyle/>
        <a:p>
          <a:endParaRPr lang="en-US" sz="2400">
            <a:latin typeface="+mj-lt"/>
          </a:endParaRPr>
        </a:p>
      </dgm:t>
    </dgm:pt>
    <dgm:pt modelId="{0915E684-F706-49F3-A2C4-AFBDC393CE8E}">
      <dgm:prSet custT="1"/>
      <dgm:spPr>
        <a:ln w="38100">
          <a:solidFill>
            <a:schemeClr val="accent3">
              <a:lumMod val="75000"/>
              <a:alpha val="90000"/>
            </a:schemeClr>
          </a:solidFill>
        </a:ln>
      </dgm:spPr>
      <dgm:t>
        <a:bodyPr/>
        <a:lstStyle/>
        <a:p>
          <a:r>
            <a:rPr lang="lt-LT" sz="1200" dirty="0" smtClean="0">
              <a:solidFill>
                <a:schemeClr val="accent2">
                  <a:lumMod val="10000"/>
                </a:schemeClr>
              </a:solidFill>
              <a:latin typeface="+mj-lt"/>
            </a:rPr>
            <a:t>Paskolinės priemonės SVV (paskolos ir portfelinės garantijos)</a:t>
          </a:r>
          <a:endParaRPr lang="en-US" sz="1200" dirty="0">
            <a:solidFill>
              <a:schemeClr val="accent2">
                <a:lumMod val="10000"/>
              </a:schemeClr>
            </a:solidFill>
            <a:latin typeface="+mj-lt"/>
          </a:endParaRPr>
        </a:p>
      </dgm:t>
    </dgm:pt>
    <dgm:pt modelId="{A57410B5-B2DE-4BFC-A690-94BA9A21ED3B}" type="parTrans" cxnId="{EC0697FD-9D70-4BAD-A1D7-E349263CA8DE}">
      <dgm:prSet/>
      <dgm:spPr/>
      <dgm:t>
        <a:bodyPr/>
        <a:lstStyle/>
        <a:p>
          <a:endParaRPr lang="en-US" sz="2400">
            <a:latin typeface="+mj-lt"/>
          </a:endParaRPr>
        </a:p>
      </dgm:t>
    </dgm:pt>
    <dgm:pt modelId="{E0F7EA91-E9F7-4E48-A539-048246528BD5}" type="sibTrans" cxnId="{EC0697FD-9D70-4BAD-A1D7-E349263CA8DE}">
      <dgm:prSet/>
      <dgm:spPr/>
      <dgm:t>
        <a:bodyPr/>
        <a:lstStyle/>
        <a:p>
          <a:endParaRPr lang="en-US" sz="2400">
            <a:latin typeface="+mj-lt"/>
          </a:endParaRPr>
        </a:p>
      </dgm:t>
    </dgm:pt>
    <dgm:pt modelId="{73B13BFE-47E3-4A22-AEF5-2A85DDCF62CC}">
      <dgm:prSet custT="1"/>
      <dgm:spPr>
        <a:solidFill>
          <a:schemeClr val="tx1">
            <a:lumMod val="20000"/>
            <a:lumOff val="80000"/>
            <a:alpha val="90000"/>
          </a:schemeClr>
        </a:solidFill>
        <a:ln w="38100">
          <a:solidFill>
            <a:schemeClr val="accent3">
              <a:lumMod val="75000"/>
              <a:alpha val="90000"/>
            </a:schemeClr>
          </a:solidFill>
        </a:ln>
      </dgm:spPr>
      <dgm:t>
        <a:bodyPr/>
        <a:lstStyle/>
        <a:p>
          <a:r>
            <a:rPr lang="lt-LT" sz="1200" dirty="0" smtClean="0">
              <a:solidFill>
                <a:schemeClr val="accent2">
                  <a:lumMod val="10000"/>
                </a:schemeClr>
              </a:solidFill>
              <a:latin typeface="+mj-lt"/>
            </a:rPr>
            <a:t>Individualios garantijos</a:t>
          </a:r>
          <a:endParaRPr lang="en-US" sz="1200" dirty="0">
            <a:solidFill>
              <a:schemeClr val="accent2">
                <a:lumMod val="10000"/>
              </a:schemeClr>
            </a:solidFill>
            <a:latin typeface="+mj-lt"/>
          </a:endParaRPr>
        </a:p>
      </dgm:t>
    </dgm:pt>
    <dgm:pt modelId="{3A3BDE04-4051-499D-AE9C-330D8A890BC6}" type="parTrans" cxnId="{B3B735B8-BAEA-4DF0-A783-3C9074278D7E}">
      <dgm:prSet/>
      <dgm:spPr/>
      <dgm:t>
        <a:bodyPr/>
        <a:lstStyle/>
        <a:p>
          <a:endParaRPr lang="en-US" sz="2400">
            <a:latin typeface="+mj-lt"/>
          </a:endParaRPr>
        </a:p>
      </dgm:t>
    </dgm:pt>
    <dgm:pt modelId="{A3234A93-2A57-45BA-8EAD-719683AE6E44}" type="sibTrans" cxnId="{B3B735B8-BAEA-4DF0-A783-3C9074278D7E}">
      <dgm:prSet/>
      <dgm:spPr/>
      <dgm:t>
        <a:bodyPr/>
        <a:lstStyle/>
        <a:p>
          <a:endParaRPr lang="en-US" sz="2400">
            <a:latin typeface="+mj-lt"/>
          </a:endParaRPr>
        </a:p>
      </dgm:t>
    </dgm:pt>
    <dgm:pt modelId="{DC9DD69D-8496-4AAB-9AA0-0AD55B10800E}">
      <dgm:prSet custT="1"/>
      <dgm:spPr>
        <a:ln w="38100">
          <a:solidFill>
            <a:schemeClr val="accent3">
              <a:lumMod val="75000"/>
              <a:alpha val="90000"/>
            </a:schemeClr>
          </a:solidFill>
        </a:ln>
      </dgm:spPr>
      <dgm:t>
        <a:bodyPr/>
        <a:lstStyle/>
        <a:p>
          <a:r>
            <a:rPr lang="lt-LT" sz="1200" dirty="0" smtClean="0">
              <a:solidFill>
                <a:schemeClr val="accent2">
                  <a:lumMod val="10000"/>
                </a:schemeClr>
              </a:solidFill>
              <a:latin typeface="+mj-lt"/>
            </a:rPr>
            <a:t>Paskolos SVV </a:t>
          </a:r>
          <a:r>
            <a:rPr lang="lt-LT" sz="1200" dirty="0" err="1" smtClean="0">
              <a:solidFill>
                <a:schemeClr val="accent2">
                  <a:lumMod val="10000"/>
                </a:schemeClr>
              </a:solidFill>
              <a:latin typeface="+mj-lt"/>
            </a:rPr>
            <a:t>verslumo</a:t>
          </a:r>
          <a:r>
            <a:rPr lang="lt-LT" sz="1200" dirty="0" smtClean="0">
              <a:solidFill>
                <a:schemeClr val="accent2">
                  <a:lumMod val="10000"/>
                </a:schemeClr>
              </a:solidFill>
              <a:latin typeface="+mj-lt"/>
            </a:rPr>
            <a:t> skatinimui</a:t>
          </a:r>
          <a:endParaRPr lang="en-US" sz="1200" dirty="0">
            <a:solidFill>
              <a:schemeClr val="accent2">
                <a:lumMod val="10000"/>
              </a:schemeClr>
            </a:solidFill>
            <a:latin typeface="+mj-lt"/>
          </a:endParaRPr>
        </a:p>
      </dgm:t>
    </dgm:pt>
    <dgm:pt modelId="{E5CEEC52-469E-445F-881C-EF267BCFB9AE}" type="parTrans" cxnId="{409936B2-C495-422D-B802-19277BC6741D}">
      <dgm:prSet/>
      <dgm:spPr/>
      <dgm:t>
        <a:bodyPr/>
        <a:lstStyle/>
        <a:p>
          <a:endParaRPr lang="en-US" sz="2400">
            <a:latin typeface="+mj-lt"/>
          </a:endParaRPr>
        </a:p>
      </dgm:t>
    </dgm:pt>
    <dgm:pt modelId="{24F3F849-37B9-4F3A-8762-27DD7C4D4D55}" type="sibTrans" cxnId="{409936B2-C495-422D-B802-19277BC6741D}">
      <dgm:prSet/>
      <dgm:spPr/>
      <dgm:t>
        <a:bodyPr/>
        <a:lstStyle/>
        <a:p>
          <a:endParaRPr lang="en-US" sz="2400">
            <a:latin typeface="+mj-lt"/>
          </a:endParaRPr>
        </a:p>
      </dgm:t>
    </dgm:pt>
    <dgm:pt modelId="{F609F0D8-50F7-453B-958A-56D083482D2F}" type="pres">
      <dgm:prSet presAssocID="{AEA2E1B4-0582-42D3-87FF-AB7E9AB7B62C}" presName="Name0" presStyleCnt="0">
        <dgm:presLayoutVars>
          <dgm:dir/>
          <dgm:animLvl val="lvl"/>
          <dgm:resizeHandles/>
        </dgm:presLayoutVars>
      </dgm:prSet>
      <dgm:spPr/>
    </dgm:pt>
    <dgm:pt modelId="{72B87505-64A1-4C3A-ABF4-5E8EC38757E8}" type="pres">
      <dgm:prSet presAssocID="{E80C3609-2B00-478A-B2A4-3F09E4E4EC92}" presName="linNode" presStyleCnt="0"/>
      <dgm:spPr/>
    </dgm:pt>
    <dgm:pt modelId="{11C7E33E-2A66-402C-B3EC-B5EAB71C305A}" type="pres">
      <dgm:prSet presAssocID="{E80C3609-2B00-478A-B2A4-3F09E4E4EC92}" presName="parentShp" presStyleLbl="node1" presStyleIdx="0" presStyleCnt="5" custScaleX="98981" custLinFactNeighborX="-556">
        <dgm:presLayoutVars>
          <dgm:bulletEnabled val="1"/>
        </dgm:presLayoutVars>
      </dgm:prSet>
      <dgm:spPr/>
      <dgm:t>
        <a:bodyPr/>
        <a:lstStyle/>
        <a:p>
          <a:endParaRPr lang="en-US"/>
        </a:p>
      </dgm:t>
    </dgm:pt>
    <dgm:pt modelId="{6B2655DD-6FB8-49B5-8C52-03B55232EDAA}" type="pres">
      <dgm:prSet presAssocID="{E80C3609-2B00-478A-B2A4-3F09E4E4EC92}" presName="childShp" presStyleLbl="bgAccFollowNode1" presStyleIdx="0" presStyleCnt="5" custScaleX="100836">
        <dgm:presLayoutVars>
          <dgm:bulletEnabled val="1"/>
        </dgm:presLayoutVars>
      </dgm:prSet>
      <dgm:spPr/>
      <dgm:t>
        <a:bodyPr/>
        <a:lstStyle/>
        <a:p>
          <a:endParaRPr lang="en-US"/>
        </a:p>
      </dgm:t>
    </dgm:pt>
    <dgm:pt modelId="{83DAF98A-A966-4D5E-86E5-B78E0B050CA1}" type="pres">
      <dgm:prSet presAssocID="{9ACB4469-CC33-49A7-BF8B-077DB1854261}" presName="spacing" presStyleCnt="0"/>
      <dgm:spPr/>
    </dgm:pt>
    <dgm:pt modelId="{54253FDC-434D-40F0-AC6A-3084DDC4CC74}" type="pres">
      <dgm:prSet presAssocID="{E11D2BEC-75E7-407E-B5FE-D7214E404349}" presName="linNode" presStyleCnt="0"/>
      <dgm:spPr/>
    </dgm:pt>
    <dgm:pt modelId="{3A4C4705-D211-4EF9-BEA2-BDBB695C3C9F}" type="pres">
      <dgm:prSet presAssocID="{E11D2BEC-75E7-407E-B5FE-D7214E404349}" presName="parentShp" presStyleLbl="node1" presStyleIdx="1" presStyleCnt="5" custLinFactNeighborX="-436" custLinFactNeighborY="17313">
        <dgm:presLayoutVars>
          <dgm:bulletEnabled val="1"/>
        </dgm:presLayoutVars>
      </dgm:prSet>
      <dgm:spPr/>
      <dgm:t>
        <a:bodyPr/>
        <a:lstStyle/>
        <a:p>
          <a:endParaRPr lang="en-US"/>
        </a:p>
      </dgm:t>
    </dgm:pt>
    <dgm:pt modelId="{623DA659-BB6F-4918-9122-30C31BE8ACBA}" type="pres">
      <dgm:prSet presAssocID="{E11D2BEC-75E7-407E-B5FE-D7214E404349}" presName="childShp" presStyleLbl="bgAccFollowNode1" presStyleIdx="1" presStyleCnt="5" custScaleY="63494" custLinFactNeighborX="-765" custLinFactNeighborY="20547">
        <dgm:presLayoutVars>
          <dgm:bulletEnabled val="1"/>
        </dgm:presLayoutVars>
      </dgm:prSet>
      <dgm:spPr/>
      <dgm:t>
        <a:bodyPr/>
        <a:lstStyle/>
        <a:p>
          <a:endParaRPr lang="en-US"/>
        </a:p>
      </dgm:t>
    </dgm:pt>
    <dgm:pt modelId="{5A86A1F1-F927-4E18-A9AD-3A8B0B32F765}" type="pres">
      <dgm:prSet presAssocID="{4C12717B-2587-40EF-BE4A-0E5A7C226382}" presName="spacing" presStyleCnt="0"/>
      <dgm:spPr/>
    </dgm:pt>
    <dgm:pt modelId="{3F8852CD-DDBD-4550-96D7-49349A6A84CD}" type="pres">
      <dgm:prSet presAssocID="{B936CD95-1B49-4A42-AA62-B6E1806F609E}" presName="linNode" presStyleCnt="0"/>
      <dgm:spPr/>
    </dgm:pt>
    <dgm:pt modelId="{34D9B6FB-CFA8-4A0F-9257-82587E0F32E6}" type="pres">
      <dgm:prSet presAssocID="{B936CD95-1B49-4A42-AA62-B6E1806F609E}" presName="parentShp" presStyleLbl="node1" presStyleIdx="2" presStyleCnt="5" custLinFactNeighborY="14708">
        <dgm:presLayoutVars>
          <dgm:bulletEnabled val="1"/>
        </dgm:presLayoutVars>
      </dgm:prSet>
      <dgm:spPr/>
      <dgm:t>
        <a:bodyPr/>
        <a:lstStyle/>
        <a:p>
          <a:endParaRPr lang="en-US"/>
        </a:p>
      </dgm:t>
    </dgm:pt>
    <dgm:pt modelId="{E6C4036F-06D8-4B0C-9C1E-0117A5C89170}" type="pres">
      <dgm:prSet presAssocID="{B936CD95-1B49-4A42-AA62-B6E1806F609E}" presName="childShp" presStyleLbl="bgAccFollowNode1" presStyleIdx="2" presStyleCnt="5" custLinFactNeighborX="-765" custLinFactNeighborY="18385">
        <dgm:presLayoutVars>
          <dgm:bulletEnabled val="1"/>
        </dgm:presLayoutVars>
      </dgm:prSet>
      <dgm:spPr/>
      <dgm:t>
        <a:bodyPr/>
        <a:lstStyle/>
        <a:p>
          <a:endParaRPr lang="en-US"/>
        </a:p>
      </dgm:t>
    </dgm:pt>
    <dgm:pt modelId="{76C823D9-E68A-462C-9FC3-DD5D10B5F550}" type="pres">
      <dgm:prSet presAssocID="{E1F9FF44-B960-4CEB-80D4-9D536D14CCED}" presName="spacing" presStyleCnt="0"/>
      <dgm:spPr/>
    </dgm:pt>
    <dgm:pt modelId="{CE87B57F-15BE-49B3-8416-AEEEB357999E}" type="pres">
      <dgm:prSet presAssocID="{55ADE905-B614-467B-8CED-EA6C17C77057}" presName="linNode" presStyleCnt="0"/>
      <dgm:spPr/>
    </dgm:pt>
    <dgm:pt modelId="{F9184EAD-7700-42FD-AD2B-C32FD9C29962}" type="pres">
      <dgm:prSet presAssocID="{55ADE905-B614-467B-8CED-EA6C17C77057}" presName="parentShp" presStyleLbl="node1" presStyleIdx="3" presStyleCnt="5" custScaleY="128572" custLinFactY="18463" custLinFactNeighborX="-337" custLinFactNeighborY="100000">
        <dgm:presLayoutVars>
          <dgm:bulletEnabled val="1"/>
        </dgm:presLayoutVars>
      </dgm:prSet>
      <dgm:spPr/>
      <dgm:t>
        <a:bodyPr/>
        <a:lstStyle/>
        <a:p>
          <a:endParaRPr lang="en-US"/>
        </a:p>
      </dgm:t>
    </dgm:pt>
    <dgm:pt modelId="{E0A5B5BD-CAE0-4634-BB24-35ADC850694F}" type="pres">
      <dgm:prSet presAssocID="{55ADE905-B614-467B-8CED-EA6C17C77057}" presName="childShp" presStyleLbl="bgAccFollowNode1" presStyleIdx="3" presStyleCnt="5" custScaleY="66004" custLinFactNeighborX="122" custLinFactNeighborY="727">
        <dgm:presLayoutVars>
          <dgm:bulletEnabled val="1"/>
        </dgm:presLayoutVars>
      </dgm:prSet>
      <dgm:spPr/>
      <dgm:t>
        <a:bodyPr/>
        <a:lstStyle/>
        <a:p>
          <a:endParaRPr lang="en-US"/>
        </a:p>
      </dgm:t>
    </dgm:pt>
    <dgm:pt modelId="{E11A7EFA-0301-47CB-927E-442B182CC204}" type="pres">
      <dgm:prSet presAssocID="{FDE3399E-33F5-40F1-AC43-904029C5F5E5}" presName="spacing" presStyleCnt="0"/>
      <dgm:spPr/>
    </dgm:pt>
    <dgm:pt modelId="{2CE5753D-9D61-4EB8-B873-E402F580143A}" type="pres">
      <dgm:prSet presAssocID="{4DCC64BF-796B-4714-A2C4-BA99987B1C40}" presName="linNode" presStyleCnt="0"/>
      <dgm:spPr/>
    </dgm:pt>
    <dgm:pt modelId="{8718F8B3-D101-473A-A78F-21626AC6E0DC}" type="pres">
      <dgm:prSet presAssocID="{4DCC64BF-796B-4714-A2C4-BA99987B1C40}" presName="parentShp" presStyleLbl="node1" presStyleIdx="4" presStyleCnt="5" custLinFactY="-29754" custLinFactNeighborX="-255" custLinFactNeighborY="-100000">
        <dgm:presLayoutVars>
          <dgm:bulletEnabled val="1"/>
        </dgm:presLayoutVars>
      </dgm:prSet>
      <dgm:spPr/>
      <dgm:t>
        <a:bodyPr/>
        <a:lstStyle/>
        <a:p>
          <a:endParaRPr lang="en-US"/>
        </a:p>
      </dgm:t>
    </dgm:pt>
    <dgm:pt modelId="{AF9AE474-1FFA-47F6-B412-50BC2DAD7D00}" type="pres">
      <dgm:prSet presAssocID="{4DCC64BF-796B-4714-A2C4-BA99987B1C40}" presName="childShp" presStyleLbl="bgAccFollowNode1" presStyleIdx="4" presStyleCnt="5" custScaleY="60589" custLinFactNeighborX="765" custLinFactNeighborY="-10540">
        <dgm:presLayoutVars>
          <dgm:bulletEnabled val="1"/>
        </dgm:presLayoutVars>
      </dgm:prSet>
      <dgm:spPr/>
      <dgm:t>
        <a:bodyPr/>
        <a:lstStyle/>
        <a:p>
          <a:endParaRPr lang="en-US"/>
        </a:p>
      </dgm:t>
    </dgm:pt>
  </dgm:ptLst>
  <dgm:cxnLst>
    <dgm:cxn modelId="{8D0589B3-2734-4827-8E6A-BA91286543E7}" srcId="{AEA2E1B4-0582-42D3-87FF-AB7E9AB7B62C}" destId="{E80C3609-2B00-478A-B2A4-3F09E4E4EC92}" srcOrd="0" destOrd="0" parTransId="{3ACC4323-7DA8-47DE-92AD-02960A48539D}" sibTransId="{9ACB4469-CC33-49A7-BF8B-077DB1854261}"/>
    <dgm:cxn modelId="{F9C62E88-7DFA-45AD-AEFC-A397290FD6E5}" type="presOf" srcId="{0915E684-F706-49F3-A2C4-AFBDC393CE8E}" destId="{E6C4036F-06D8-4B0C-9C1E-0117A5C89170}" srcOrd="0" destOrd="0" presId="urn:microsoft.com/office/officeart/2005/8/layout/vList6"/>
    <dgm:cxn modelId="{364A607E-602D-4771-A43E-B746C32F2147}" type="presOf" srcId="{E11D2BEC-75E7-407E-B5FE-D7214E404349}" destId="{3A4C4705-D211-4EF9-BEA2-BDBB695C3C9F}" srcOrd="0" destOrd="0" presId="urn:microsoft.com/office/officeart/2005/8/layout/vList6"/>
    <dgm:cxn modelId="{1DB3EB84-49DA-4638-A7F1-D74FDC434DA2}" type="presOf" srcId="{AEA2E1B4-0582-42D3-87FF-AB7E9AB7B62C}" destId="{F609F0D8-50F7-453B-958A-56D083482D2F}" srcOrd="0" destOrd="0" presId="urn:microsoft.com/office/officeart/2005/8/layout/vList6"/>
    <dgm:cxn modelId="{F0615936-EFDB-4D11-B5BD-1786D0D06C2F}" srcId="{E80C3609-2B00-478A-B2A4-3F09E4E4EC92}" destId="{1D4C9219-41BC-429C-9874-A787BFAA9BAB}" srcOrd="0" destOrd="0" parTransId="{4FC9835E-4646-4F83-BEE5-230A9C14917D}" sibTransId="{8EFA086B-FDBD-48E3-9829-0C04587D8791}"/>
    <dgm:cxn modelId="{EC0697FD-9D70-4BAD-A1D7-E349263CA8DE}" srcId="{B936CD95-1B49-4A42-AA62-B6E1806F609E}" destId="{0915E684-F706-49F3-A2C4-AFBDC393CE8E}" srcOrd="0" destOrd="0" parTransId="{A57410B5-B2DE-4BFC-A690-94BA9A21ED3B}" sibTransId="{E0F7EA91-E9F7-4E48-A539-048246528BD5}"/>
    <dgm:cxn modelId="{B3B735B8-BAEA-4DF0-A783-3C9074278D7E}" srcId="{55ADE905-B614-467B-8CED-EA6C17C77057}" destId="{73B13BFE-47E3-4A22-AEF5-2A85DDCF62CC}" srcOrd="0" destOrd="0" parTransId="{3A3BDE04-4051-499D-AE9C-330D8A890BC6}" sibTransId="{A3234A93-2A57-45BA-8EAD-719683AE6E44}"/>
    <dgm:cxn modelId="{774A2A20-AF0C-43F0-A384-C435E8DD1614}" type="presOf" srcId="{1D4C9219-41BC-429C-9874-A787BFAA9BAB}" destId="{6B2655DD-6FB8-49B5-8C52-03B55232EDAA}" srcOrd="0" destOrd="0" presId="urn:microsoft.com/office/officeart/2005/8/layout/vList6"/>
    <dgm:cxn modelId="{8F0B0B73-371B-47CD-A37D-B7122AE1CE34}" type="presOf" srcId="{DC9DD69D-8496-4AAB-9AA0-0AD55B10800E}" destId="{AF9AE474-1FFA-47F6-B412-50BC2DAD7D00}" srcOrd="0" destOrd="0" presId="urn:microsoft.com/office/officeart/2005/8/layout/vList6"/>
    <dgm:cxn modelId="{0C88DA38-B792-4230-84F4-EA4E5FECAE3C}" srcId="{AEA2E1B4-0582-42D3-87FF-AB7E9AB7B62C}" destId="{B936CD95-1B49-4A42-AA62-B6E1806F609E}" srcOrd="2" destOrd="0" parTransId="{A182583A-F51A-4248-ACD4-666C1F360961}" sibTransId="{E1F9FF44-B960-4CEB-80D4-9D536D14CCED}"/>
    <dgm:cxn modelId="{F854E4C4-E634-44D7-8495-8662F1A4EA68}" srcId="{AEA2E1B4-0582-42D3-87FF-AB7E9AB7B62C}" destId="{55ADE905-B614-467B-8CED-EA6C17C77057}" srcOrd="3" destOrd="0" parTransId="{A09AB560-9139-4E5E-B0DA-741EB954F74C}" sibTransId="{FDE3399E-33F5-40F1-AC43-904029C5F5E5}"/>
    <dgm:cxn modelId="{5B821595-0D70-45E7-B604-BF3CFC119DEC}" srcId="{E11D2BEC-75E7-407E-B5FE-D7214E404349}" destId="{89683E85-489E-49B4-A6E3-27839D29206C}" srcOrd="0" destOrd="0" parTransId="{5A4BCD8C-68C1-46F6-89EC-BB30B0F216A3}" sibTransId="{CCD9A466-0C6B-4CAB-80E9-1590F911458E}"/>
    <dgm:cxn modelId="{7FE74A35-2D43-48FE-89B6-B2303A41B6CC}" type="presOf" srcId="{B936CD95-1B49-4A42-AA62-B6E1806F609E}" destId="{34D9B6FB-CFA8-4A0F-9257-82587E0F32E6}" srcOrd="0" destOrd="0" presId="urn:microsoft.com/office/officeart/2005/8/layout/vList6"/>
    <dgm:cxn modelId="{F789BD49-DB4B-4923-B56A-A52FCF8DA0F6}" srcId="{AEA2E1B4-0582-42D3-87FF-AB7E9AB7B62C}" destId="{4DCC64BF-796B-4714-A2C4-BA99987B1C40}" srcOrd="4" destOrd="0" parTransId="{ECF37BF6-9A74-494B-BD7A-8CC03791F5B8}" sibTransId="{DA008C32-C7D4-40EC-951A-70A0D5A0F394}"/>
    <dgm:cxn modelId="{505ED852-B338-4277-B6C0-D076CE49BB3D}" type="presOf" srcId="{89683E85-489E-49B4-A6E3-27839D29206C}" destId="{623DA659-BB6F-4918-9122-30C31BE8ACBA}" srcOrd="0" destOrd="0" presId="urn:microsoft.com/office/officeart/2005/8/layout/vList6"/>
    <dgm:cxn modelId="{DE716A94-8194-4DC8-B983-DD0CDA863472}" type="presOf" srcId="{4DCC64BF-796B-4714-A2C4-BA99987B1C40}" destId="{8718F8B3-D101-473A-A78F-21626AC6E0DC}" srcOrd="0" destOrd="0" presId="urn:microsoft.com/office/officeart/2005/8/layout/vList6"/>
    <dgm:cxn modelId="{D7AB95A4-7014-4EBC-9BCB-47EB30FEAACE}" type="presOf" srcId="{55ADE905-B614-467B-8CED-EA6C17C77057}" destId="{F9184EAD-7700-42FD-AD2B-C32FD9C29962}" srcOrd="0" destOrd="0" presId="urn:microsoft.com/office/officeart/2005/8/layout/vList6"/>
    <dgm:cxn modelId="{204A0D41-DD2E-4EDC-BBBC-2E45E147CE9B}" srcId="{AEA2E1B4-0582-42D3-87FF-AB7E9AB7B62C}" destId="{E11D2BEC-75E7-407E-B5FE-D7214E404349}" srcOrd="1" destOrd="0" parTransId="{D5D99E36-90B3-4E3B-96B5-22EC6681C793}" sibTransId="{4C12717B-2587-40EF-BE4A-0E5A7C226382}"/>
    <dgm:cxn modelId="{2DC746AD-B7CC-4109-9D88-1756FBA0EFD0}" type="presOf" srcId="{73B13BFE-47E3-4A22-AEF5-2A85DDCF62CC}" destId="{E0A5B5BD-CAE0-4634-BB24-35ADC850694F}" srcOrd="0" destOrd="0" presId="urn:microsoft.com/office/officeart/2005/8/layout/vList6"/>
    <dgm:cxn modelId="{1CA6EEA2-E057-43DA-A6E8-876F95611415}" type="presOf" srcId="{E80C3609-2B00-478A-B2A4-3F09E4E4EC92}" destId="{11C7E33E-2A66-402C-B3EC-B5EAB71C305A}" srcOrd="0" destOrd="0" presId="urn:microsoft.com/office/officeart/2005/8/layout/vList6"/>
    <dgm:cxn modelId="{409936B2-C495-422D-B802-19277BC6741D}" srcId="{4DCC64BF-796B-4714-A2C4-BA99987B1C40}" destId="{DC9DD69D-8496-4AAB-9AA0-0AD55B10800E}" srcOrd="0" destOrd="0" parTransId="{E5CEEC52-469E-445F-881C-EF267BCFB9AE}" sibTransId="{24F3F849-37B9-4F3A-8762-27DD7C4D4D55}"/>
    <dgm:cxn modelId="{CCBF5226-E3C5-42D0-8C1F-FF44CE064088}" type="presParOf" srcId="{F609F0D8-50F7-453B-958A-56D083482D2F}" destId="{72B87505-64A1-4C3A-ABF4-5E8EC38757E8}" srcOrd="0" destOrd="0" presId="urn:microsoft.com/office/officeart/2005/8/layout/vList6"/>
    <dgm:cxn modelId="{E155D7EC-1717-4830-9D4D-434D5DADA3B8}" type="presParOf" srcId="{72B87505-64A1-4C3A-ABF4-5E8EC38757E8}" destId="{11C7E33E-2A66-402C-B3EC-B5EAB71C305A}" srcOrd="0" destOrd="0" presId="urn:microsoft.com/office/officeart/2005/8/layout/vList6"/>
    <dgm:cxn modelId="{39648DE7-F2EF-41A9-9DFD-8C4E68FC7D01}" type="presParOf" srcId="{72B87505-64A1-4C3A-ABF4-5E8EC38757E8}" destId="{6B2655DD-6FB8-49B5-8C52-03B55232EDAA}" srcOrd="1" destOrd="0" presId="urn:microsoft.com/office/officeart/2005/8/layout/vList6"/>
    <dgm:cxn modelId="{46D6CC6A-BFA1-4EBF-9413-3A2EAC8C7C04}" type="presParOf" srcId="{F609F0D8-50F7-453B-958A-56D083482D2F}" destId="{83DAF98A-A966-4D5E-86E5-B78E0B050CA1}" srcOrd="1" destOrd="0" presId="urn:microsoft.com/office/officeart/2005/8/layout/vList6"/>
    <dgm:cxn modelId="{9F53F744-D6D0-4BD4-97A2-F106A14AD9A4}" type="presParOf" srcId="{F609F0D8-50F7-453B-958A-56D083482D2F}" destId="{54253FDC-434D-40F0-AC6A-3084DDC4CC74}" srcOrd="2" destOrd="0" presId="urn:microsoft.com/office/officeart/2005/8/layout/vList6"/>
    <dgm:cxn modelId="{646DFE71-0E3B-48A0-9801-ADD388F34FD5}" type="presParOf" srcId="{54253FDC-434D-40F0-AC6A-3084DDC4CC74}" destId="{3A4C4705-D211-4EF9-BEA2-BDBB695C3C9F}" srcOrd="0" destOrd="0" presId="urn:microsoft.com/office/officeart/2005/8/layout/vList6"/>
    <dgm:cxn modelId="{71B667D7-754D-4081-AEA2-C79259501D43}" type="presParOf" srcId="{54253FDC-434D-40F0-AC6A-3084DDC4CC74}" destId="{623DA659-BB6F-4918-9122-30C31BE8ACBA}" srcOrd="1" destOrd="0" presId="urn:microsoft.com/office/officeart/2005/8/layout/vList6"/>
    <dgm:cxn modelId="{BD6B19B5-AEF8-4E50-9759-DE13E4791A2B}" type="presParOf" srcId="{F609F0D8-50F7-453B-958A-56D083482D2F}" destId="{5A86A1F1-F927-4E18-A9AD-3A8B0B32F765}" srcOrd="3" destOrd="0" presId="urn:microsoft.com/office/officeart/2005/8/layout/vList6"/>
    <dgm:cxn modelId="{14828074-CE48-4618-9F11-02E9B7A9F484}" type="presParOf" srcId="{F609F0D8-50F7-453B-958A-56D083482D2F}" destId="{3F8852CD-DDBD-4550-96D7-49349A6A84CD}" srcOrd="4" destOrd="0" presId="urn:microsoft.com/office/officeart/2005/8/layout/vList6"/>
    <dgm:cxn modelId="{049DF310-E708-4FF7-9BA4-2999EF60DC66}" type="presParOf" srcId="{3F8852CD-DDBD-4550-96D7-49349A6A84CD}" destId="{34D9B6FB-CFA8-4A0F-9257-82587E0F32E6}" srcOrd="0" destOrd="0" presId="urn:microsoft.com/office/officeart/2005/8/layout/vList6"/>
    <dgm:cxn modelId="{E308A70D-535E-4F7C-A95B-C06A6F115FF3}" type="presParOf" srcId="{3F8852CD-DDBD-4550-96D7-49349A6A84CD}" destId="{E6C4036F-06D8-4B0C-9C1E-0117A5C89170}" srcOrd="1" destOrd="0" presId="urn:microsoft.com/office/officeart/2005/8/layout/vList6"/>
    <dgm:cxn modelId="{BB8ED8FF-B000-4A9A-8045-DB2BA299F548}" type="presParOf" srcId="{F609F0D8-50F7-453B-958A-56D083482D2F}" destId="{76C823D9-E68A-462C-9FC3-DD5D10B5F550}" srcOrd="5" destOrd="0" presId="urn:microsoft.com/office/officeart/2005/8/layout/vList6"/>
    <dgm:cxn modelId="{5F21A7B4-BA8E-42F6-B90F-B9FA0371C21C}" type="presParOf" srcId="{F609F0D8-50F7-453B-958A-56D083482D2F}" destId="{CE87B57F-15BE-49B3-8416-AEEEB357999E}" srcOrd="6" destOrd="0" presId="urn:microsoft.com/office/officeart/2005/8/layout/vList6"/>
    <dgm:cxn modelId="{6401C8B8-8D1F-4BB5-8C4F-7E8ED291EC96}" type="presParOf" srcId="{CE87B57F-15BE-49B3-8416-AEEEB357999E}" destId="{F9184EAD-7700-42FD-AD2B-C32FD9C29962}" srcOrd="0" destOrd="0" presId="urn:microsoft.com/office/officeart/2005/8/layout/vList6"/>
    <dgm:cxn modelId="{B459C16F-36E6-4D92-B1C1-3926FCA43627}" type="presParOf" srcId="{CE87B57F-15BE-49B3-8416-AEEEB357999E}" destId="{E0A5B5BD-CAE0-4634-BB24-35ADC850694F}" srcOrd="1" destOrd="0" presId="urn:microsoft.com/office/officeart/2005/8/layout/vList6"/>
    <dgm:cxn modelId="{A42208C7-4C4B-4C6E-BDA7-E41BBE196C4C}" type="presParOf" srcId="{F609F0D8-50F7-453B-958A-56D083482D2F}" destId="{E11A7EFA-0301-47CB-927E-442B182CC204}" srcOrd="7" destOrd="0" presId="urn:microsoft.com/office/officeart/2005/8/layout/vList6"/>
    <dgm:cxn modelId="{8736D96C-B6B9-465E-9F98-5C7EDE5D1709}" type="presParOf" srcId="{F609F0D8-50F7-453B-958A-56D083482D2F}" destId="{2CE5753D-9D61-4EB8-B873-E402F580143A}" srcOrd="8" destOrd="0" presId="urn:microsoft.com/office/officeart/2005/8/layout/vList6"/>
    <dgm:cxn modelId="{492C7B9F-922A-4CE1-A546-A35ED7093B4A}" type="presParOf" srcId="{2CE5753D-9D61-4EB8-B873-E402F580143A}" destId="{8718F8B3-D101-473A-A78F-21626AC6E0DC}" srcOrd="0" destOrd="0" presId="urn:microsoft.com/office/officeart/2005/8/layout/vList6"/>
    <dgm:cxn modelId="{1648DBC1-21AC-4338-9211-BAE2920C2D6F}" type="presParOf" srcId="{2CE5753D-9D61-4EB8-B873-E402F580143A}" destId="{AF9AE474-1FFA-47F6-B412-50BC2DAD7D00}" srcOrd="1" destOrd="0" presId="urn:microsoft.com/office/officeart/2005/8/layout/vList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655DD-6FB8-49B5-8C52-03B55232EDAA}">
      <dsp:nvSpPr>
        <dsp:cNvPr id="0" name=""/>
        <dsp:cNvSpPr/>
      </dsp:nvSpPr>
      <dsp:spPr>
        <a:xfrm>
          <a:off x="2420854" y="829"/>
          <a:ext cx="3699160" cy="523391"/>
        </a:xfrm>
        <a:prstGeom prst="rightArrow">
          <a:avLst>
            <a:gd name="adj1" fmla="val 75000"/>
            <a:gd name="adj2" fmla="val 50000"/>
          </a:avLst>
        </a:prstGeom>
        <a:solidFill>
          <a:schemeClr val="accent1">
            <a:alpha val="90000"/>
            <a:tint val="40000"/>
            <a:hueOff val="0"/>
            <a:satOff val="0"/>
            <a:lumOff val="0"/>
            <a:alphaOff val="0"/>
          </a:schemeClr>
        </a:solidFill>
        <a:ln w="381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dirty="0" smtClean="0">
              <a:solidFill>
                <a:schemeClr val="accent2">
                  <a:lumMod val="10000"/>
                </a:schemeClr>
              </a:solidFill>
              <a:latin typeface="+mj-lt"/>
            </a:rPr>
            <a:t>Paskolos daugiabučiams ir studentų bendrabučiams</a:t>
          </a:r>
          <a:endParaRPr lang="en-US" sz="1200" kern="1200" dirty="0">
            <a:solidFill>
              <a:schemeClr val="accent2">
                <a:lumMod val="10000"/>
              </a:schemeClr>
            </a:solidFill>
            <a:latin typeface="+mj-lt"/>
          </a:endParaRPr>
        </a:p>
      </dsp:txBody>
      <dsp:txXfrm>
        <a:off x="2420854" y="66253"/>
        <a:ext cx="3502888" cy="392543"/>
      </dsp:txXfrm>
    </dsp:sp>
    <dsp:sp modelId="{11C7E33E-2A66-402C-B3EC-B5EAB71C305A}">
      <dsp:nvSpPr>
        <dsp:cNvPr id="0" name=""/>
        <dsp:cNvSpPr/>
      </dsp:nvSpPr>
      <dsp:spPr>
        <a:xfrm>
          <a:off x="0" y="829"/>
          <a:ext cx="2420740" cy="523391"/>
        </a:xfrm>
        <a:prstGeom prst="round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lt-LT" sz="1100" b="1" kern="1200" dirty="0" smtClean="0">
              <a:solidFill>
                <a:schemeClr val="bg2">
                  <a:lumMod val="10000"/>
                </a:schemeClr>
              </a:solidFill>
              <a:latin typeface="+mj-lt"/>
            </a:rPr>
            <a:t>Jessica I </a:t>
          </a:r>
        </a:p>
        <a:p>
          <a:pPr lvl="0" algn="ctr" defTabSz="488950">
            <a:lnSpc>
              <a:spcPct val="90000"/>
            </a:lnSpc>
            <a:spcBef>
              <a:spcPct val="0"/>
            </a:spcBef>
            <a:spcAft>
              <a:spcPct val="35000"/>
            </a:spcAft>
          </a:pPr>
          <a:r>
            <a:rPr lang="lt-LT" sz="1100" kern="1200" dirty="0" smtClean="0">
              <a:solidFill>
                <a:schemeClr val="bg2">
                  <a:lumMod val="10000"/>
                </a:schemeClr>
              </a:solidFill>
              <a:latin typeface="+mj-lt"/>
            </a:rPr>
            <a:t>Europos investicijų bankas</a:t>
          </a:r>
        </a:p>
        <a:p>
          <a:pPr lvl="0" algn="ctr" defTabSz="488950">
            <a:lnSpc>
              <a:spcPct val="90000"/>
            </a:lnSpc>
            <a:spcBef>
              <a:spcPct val="0"/>
            </a:spcBef>
            <a:spcAft>
              <a:spcPct val="35000"/>
            </a:spcAft>
          </a:pPr>
          <a:r>
            <a:rPr lang="lt-LT" sz="1100" kern="1200" dirty="0" smtClean="0">
              <a:solidFill>
                <a:schemeClr val="bg2">
                  <a:lumMod val="10000"/>
                </a:schemeClr>
              </a:solidFill>
              <a:latin typeface="+mj-lt"/>
            </a:rPr>
            <a:t>173 mln. EUR </a:t>
          </a:r>
          <a:endParaRPr lang="en-US" sz="1100" kern="1200" dirty="0">
            <a:solidFill>
              <a:schemeClr val="bg2">
                <a:lumMod val="10000"/>
              </a:schemeClr>
            </a:solidFill>
            <a:latin typeface="+mj-lt"/>
          </a:endParaRPr>
        </a:p>
      </dsp:txBody>
      <dsp:txXfrm>
        <a:off x="25550" y="26379"/>
        <a:ext cx="2369640" cy="472291"/>
      </dsp:txXfrm>
    </dsp:sp>
    <dsp:sp modelId="{623DA659-BB6F-4918-9122-30C31BE8ACBA}">
      <dsp:nvSpPr>
        <dsp:cNvPr id="0" name=""/>
        <dsp:cNvSpPr/>
      </dsp:nvSpPr>
      <dsp:spPr>
        <a:xfrm>
          <a:off x="2429324" y="779635"/>
          <a:ext cx="3672078" cy="332322"/>
        </a:xfrm>
        <a:prstGeom prst="rightArrow">
          <a:avLst>
            <a:gd name="adj1" fmla="val 75000"/>
            <a:gd name="adj2" fmla="val 50000"/>
          </a:avLst>
        </a:prstGeom>
        <a:solidFill>
          <a:schemeClr val="accent1">
            <a:alpha val="90000"/>
            <a:tint val="40000"/>
            <a:hueOff val="0"/>
            <a:satOff val="0"/>
            <a:lumOff val="0"/>
            <a:alphaOff val="0"/>
          </a:schemeClr>
        </a:solidFill>
        <a:ln w="381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0" lvl="1" indent="0" algn="l" defTabSz="533400">
            <a:lnSpc>
              <a:spcPct val="90000"/>
            </a:lnSpc>
            <a:spcBef>
              <a:spcPct val="0"/>
            </a:spcBef>
            <a:spcAft>
              <a:spcPct val="15000"/>
            </a:spcAft>
            <a:buChar char="••"/>
          </a:pPr>
          <a:r>
            <a:rPr lang="lt-LT" sz="1200" kern="1200" dirty="0" smtClean="0">
              <a:solidFill>
                <a:schemeClr val="accent2">
                  <a:lumMod val="10000"/>
                </a:schemeClr>
              </a:solidFill>
              <a:latin typeface="+mj-lt"/>
            </a:rPr>
            <a:t>Rizikos kapitalo investicijos SVV</a:t>
          </a:r>
          <a:endParaRPr lang="en-US" sz="1200" kern="1200" dirty="0">
            <a:solidFill>
              <a:schemeClr val="accent2">
                <a:lumMod val="10000"/>
              </a:schemeClr>
            </a:solidFill>
            <a:latin typeface="+mj-lt"/>
          </a:endParaRPr>
        </a:p>
      </dsp:txBody>
      <dsp:txXfrm>
        <a:off x="2429324" y="821175"/>
        <a:ext cx="3547457" cy="249242"/>
      </dsp:txXfrm>
    </dsp:sp>
    <dsp:sp modelId="{3A4C4705-D211-4EF9-BEA2-BDBB695C3C9F}">
      <dsp:nvSpPr>
        <dsp:cNvPr id="0" name=""/>
        <dsp:cNvSpPr/>
      </dsp:nvSpPr>
      <dsp:spPr>
        <a:xfrm>
          <a:off x="0" y="667174"/>
          <a:ext cx="2448052" cy="523391"/>
        </a:xfrm>
        <a:prstGeom prst="roundRect">
          <a:avLst/>
        </a:prstGeom>
        <a:solidFill>
          <a:schemeClr val="accent1">
            <a:lumMod val="20000"/>
            <a:lumOff val="80000"/>
          </a:schemeClr>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lt-LT" sz="1100" b="1" kern="1200" dirty="0" smtClean="0">
              <a:solidFill>
                <a:schemeClr val="bg2">
                  <a:lumMod val="10000"/>
                </a:schemeClr>
              </a:solidFill>
              <a:latin typeface="+mj-lt"/>
            </a:rPr>
            <a:t>Jeremie kontroliuojantysis fondas</a:t>
          </a:r>
        </a:p>
        <a:p>
          <a:pPr lvl="0" algn="ctr" defTabSz="488950">
            <a:lnSpc>
              <a:spcPct val="90000"/>
            </a:lnSpc>
            <a:spcBef>
              <a:spcPct val="0"/>
            </a:spcBef>
            <a:spcAft>
              <a:spcPct val="35000"/>
            </a:spcAft>
          </a:pPr>
          <a:r>
            <a:rPr lang="lt-LT" sz="1100" b="0" kern="1200" dirty="0" smtClean="0">
              <a:solidFill>
                <a:schemeClr val="bg2">
                  <a:lumMod val="10000"/>
                </a:schemeClr>
              </a:solidFill>
              <a:latin typeface="+mj-lt"/>
            </a:rPr>
            <a:t>Europos investicijų fondas</a:t>
          </a:r>
        </a:p>
        <a:p>
          <a:pPr lvl="0" algn="ctr" defTabSz="488950">
            <a:lnSpc>
              <a:spcPct val="90000"/>
            </a:lnSpc>
            <a:spcBef>
              <a:spcPct val="0"/>
            </a:spcBef>
            <a:spcAft>
              <a:spcPct val="35000"/>
            </a:spcAft>
          </a:pPr>
          <a:r>
            <a:rPr lang="lt-LT" sz="1100" b="0" kern="1200" dirty="0" smtClean="0">
              <a:solidFill>
                <a:schemeClr val="bg2">
                  <a:lumMod val="10000"/>
                </a:schemeClr>
              </a:solidFill>
              <a:latin typeface="+mj-lt"/>
            </a:rPr>
            <a:t> </a:t>
          </a:r>
          <a:r>
            <a:rPr lang="lt-LT" sz="1100" kern="1200" dirty="0" smtClean="0">
              <a:solidFill>
                <a:schemeClr val="bg2">
                  <a:lumMod val="10000"/>
                </a:schemeClr>
              </a:solidFill>
              <a:latin typeface="+mj-lt"/>
            </a:rPr>
            <a:t>42 mln. EUR</a:t>
          </a:r>
          <a:endParaRPr lang="en-US" sz="1100" b="0" kern="1200" dirty="0">
            <a:solidFill>
              <a:schemeClr val="bg2">
                <a:lumMod val="10000"/>
              </a:schemeClr>
            </a:solidFill>
            <a:latin typeface="+mj-lt"/>
          </a:endParaRPr>
        </a:p>
      </dsp:txBody>
      <dsp:txXfrm>
        <a:off x="25550" y="692724"/>
        <a:ext cx="2396952" cy="472291"/>
      </dsp:txXfrm>
    </dsp:sp>
    <dsp:sp modelId="{E6C4036F-06D8-4B0C-9C1E-0117A5C89170}">
      <dsp:nvSpPr>
        <dsp:cNvPr id="0" name=""/>
        <dsp:cNvSpPr/>
      </dsp:nvSpPr>
      <dsp:spPr>
        <a:xfrm>
          <a:off x="2429324" y="1248515"/>
          <a:ext cx="3672078" cy="523391"/>
        </a:xfrm>
        <a:prstGeom prst="rightArrow">
          <a:avLst>
            <a:gd name="adj1" fmla="val 75000"/>
            <a:gd name="adj2" fmla="val 50000"/>
          </a:avLst>
        </a:prstGeom>
        <a:solidFill>
          <a:schemeClr val="accent1">
            <a:alpha val="90000"/>
            <a:tint val="40000"/>
            <a:hueOff val="0"/>
            <a:satOff val="0"/>
            <a:lumOff val="0"/>
            <a:alphaOff val="0"/>
          </a:schemeClr>
        </a:solidFill>
        <a:ln w="381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dirty="0" smtClean="0">
              <a:solidFill>
                <a:schemeClr val="accent2">
                  <a:lumMod val="10000"/>
                </a:schemeClr>
              </a:solidFill>
              <a:latin typeface="+mj-lt"/>
            </a:rPr>
            <a:t>Paskolinės priemonės SVV (paskolos ir portfelinės garantijos)</a:t>
          </a:r>
          <a:endParaRPr lang="en-US" sz="1200" kern="1200" dirty="0">
            <a:solidFill>
              <a:schemeClr val="accent2">
                <a:lumMod val="10000"/>
              </a:schemeClr>
            </a:solidFill>
            <a:latin typeface="+mj-lt"/>
          </a:endParaRPr>
        </a:p>
      </dsp:txBody>
      <dsp:txXfrm>
        <a:off x="2429324" y="1313939"/>
        <a:ext cx="3475806" cy="392543"/>
      </dsp:txXfrm>
    </dsp:sp>
    <dsp:sp modelId="{34D9B6FB-CFA8-4A0F-9257-82587E0F32E6}">
      <dsp:nvSpPr>
        <dsp:cNvPr id="0" name=""/>
        <dsp:cNvSpPr/>
      </dsp:nvSpPr>
      <dsp:spPr>
        <a:xfrm>
          <a:off x="0" y="1229270"/>
          <a:ext cx="2448052" cy="523391"/>
        </a:xfrm>
        <a:prstGeom prst="roundRect">
          <a:avLst/>
        </a:prstGeom>
        <a:solidFill>
          <a:schemeClr val="accent1">
            <a:lumMod val="20000"/>
            <a:lumOff val="80000"/>
          </a:schemeClr>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lt-LT" sz="1300" b="1" kern="1200" dirty="0" smtClean="0">
              <a:solidFill>
                <a:schemeClr val="bg2">
                  <a:lumMod val="10000"/>
                </a:schemeClr>
              </a:solidFill>
              <a:latin typeface="+mj-lt"/>
            </a:rPr>
            <a:t>Invegos fondas</a:t>
          </a:r>
        </a:p>
        <a:p>
          <a:pPr lvl="0" algn="ctr" defTabSz="577850">
            <a:lnSpc>
              <a:spcPct val="90000"/>
            </a:lnSpc>
            <a:spcBef>
              <a:spcPct val="0"/>
            </a:spcBef>
            <a:spcAft>
              <a:spcPct val="35000"/>
            </a:spcAft>
          </a:pPr>
          <a:r>
            <a:rPr lang="lt-LT" sz="1300" b="0" kern="1200" dirty="0" smtClean="0">
              <a:solidFill>
                <a:schemeClr val="bg2">
                  <a:lumMod val="10000"/>
                </a:schemeClr>
              </a:solidFill>
              <a:latin typeface="+mj-lt"/>
            </a:rPr>
            <a:t>Invega, </a:t>
          </a:r>
          <a:r>
            <a:rPr lang="lt-LT" sz="1300" kern="1200" dirty="0" smtClean="0">
              <a:solidFill>
                <a:schemeClr val="bg2">
                  <a:lumMod val="10000"/>
                </a:schemeClr>
              </a:solidFill>
              <a:latin typeface="+mj-lt"/>
            </a:rPr>
            <a:t>186 mln. EUR</a:t>
          </a:r>
          <a:endParaRPr lang="en-US" sz="1300" b="0" kern="1200" dirty="0">
            <a:solidFill>
              <a:schemeClr val="bg2">
                <a:lumMod val="10000"/>
              </a:schemeClr>
            </a:solidFill>
            <a:latin typeface="+mj-lt"/>
          </a:endParaRPr>
        </a:p>
      </dsp:txBody>
      <dsp:txXfrm>
        <a:off x="25550" y="1254820"/>
        <a:ext cx="2396952" cy="472291"/>
      </dsp:txXfrm>
    </dsp:sp>
    <dsp:sp modelId="{E0A5B5BD-CAE0-4634-BB24-35ADC850694F}">
      <dsp:nvSpPr>
        <dsp:cNvPr id="0" name=""/>
        <dsp:cNvSpPr/>
      </dsp:nvSpPr>
      <dsp:spPr>
        <a:xfrm>
          <a:off x="2451633" y="1895563"/>
          <a:ext cx="3668491" cy="345459"/>
        </a:xfrm>
        <a:prstGeom prst="rightArrow">
          <a:avLst>
            <a:gd name="adj1" fmla="val 75000"/>
            <a:gd name="adj2" fmla="val 50000"/>
          </a:avLst>
        </a:prstGeom>
        <a:solidFill>
          <a:schemeClr val="tx1">
            <a:lumMod val="20000"/>
            <a:lumOff val="80000"/>
            <a:alpha val="90000"/>
          </a:schemeClr>
        </a:solidFill>
        <a:ln w="381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dirty="0" smtClean="0">
              <a:solidFill>
                <a:schemeClr val="accent2">
                  <a:lumMod val="10000"/>
                </a:schemeClr>
              </a:solidFill>
              <a:latin typeface="+mj-lt"/>
            </a:rPr>
            <a:t>Individualios garantijos</a:t>
          </a:r>
          <a:endParaRPr lang="en-US" sz="1200" kern="1200" dirty="0">
            <a:solidFill>
              <a:schemeClr val="accent2">
                <a:lumMod val="10000"/>
              </a:schemeClr>
            </a:solidFill>
            <a:latin typeface="+mj-lt"/>
          </a:endParaRPr>
        </a:p>
      </dsp:txBody>
      <dsp:txXfrm>
        <a:off x="2451633" y="1938745"/>
        <a:ext cx="3538944" cy="259095"/>
      </dsp:txXfrm>
    </dsp:sp>
    <dsp:sp modelId="{F9184EAD-7700-42FD-AD2B-C32FD9C29962}">
      <dsp:nvSpPr>
        <dsp:cNvPr id="0" name=""/>
        <dsp:cNvSpPr/>
      </dsp:nvSpPr>
      <dsp:spPr>
        <a:xfrm>
          <a:off x="0" y="2304580"/>
          <a:ext cx="2445661" cy="672934"/>
        </a:xfrm>
        <a:prstGeom prst="roundRect">
          <a:avLst/>
        </a:prstGeom>
        <a:solidFill>
          <a:schemeClr val="accent1">
            <a:lumMod val="20000"/>
            <a:lumOff val="80000"/>
          </a:schemeClr>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lt-LT" sz="1300" b="1" kern="1200" dirty="0" smtClean="0">
              <a:solidFill>
                <a:schemeClr val="bg2">
                  <a:lumMod val="10000"/>
                </a:schemeClr>
              </a:solidFill>
              <a:latin typeface="+mj-lt"/>
            </a:rPr>
            <a:t>Verslumo skatinimo fondas </a:t>
          </a:r>
        </a:p>
        <a:p>
          <a:pPr lvl="0" algn="ctr" defTabSz="577850">
            <a:lnSpc>
              <a:spcPct val="90000"/>
            </a:lnSpc>
            <a:spcBef>
              <a:spcPct val="0"/>
            </a:spcBef>
            <a:spcAft>
              <a:spcPct val="35000"/>
            </a:spcAft>
          </a:pPr>
          <a:r>
            <a:rPr lang="lt-LT" sz="1300" b="0" kern="1200" dirty="0" smtClean="0">
              <a:solidFill>
                <a:schemeClr val="bg2">
                  <a:lumMod val="10000"/>
                </a:schemeClr>
              </a:solidFill>
              <a:latin typeface="+mj-lt"/>
            </a:rPr>
            <a:t>Invega, </a:t>
          </a:r>
          <a:r>
            <a:rPr lang="lt-LT" sz="1300" kern="1200" dirty="0" smtClean="0">
              <a:solidFill>
                <a:schemeClr val="bg2">
                  <a:lumMod val="10000"/>
                </a:schemeClr>
              </a:solidFill>
              <a:latin typeface="+mj-lt"/>
            </a:rPr>
            <a:t>14,5 mln. EUR</a:t>
          </a:r>
          <a:endParaRPr lang="en-US" sz="1300" b="0" kern="1200" dirty="0">
            <a:solidFill>
              <a:schemeClr val="bg2">
                <a:lumMod val="10000"/>
              </a:schemeClr>
            </a:solidFill>
            <a:latin typeface="+mj-lt"/>
          </a:endParaRPr>
        </a:p>
      </dsp:txBody>
      <dsp:txXfrm>
        <a:off x="32850" y="2337430"/>
        <a:ext cx="2379961" cy="607234"/>
      </dsp:txXfrm>
    </dsp:sp>
    <dsp:sp modelId="{AF9AE474-1FFA-47F6-B412-50BC2DAD7D00}">
      <dsp:nvSpPr>
        <dsp:cNvPr id="0" name=""/>
        <dsp:cNvSpPr/>
      </dsp:nvSpPr>
      <dsp:spPr>
        <a:xfrm>
          <a:off x="2448051" y="2501265"/>
          <a:ext cx="3672078" cy="317117"/>
        </a:xfrm>
        <a:prstGeom prst="rightArrow">
          <a:avLst>
            <a:gd name="adj1" fmla="val 75000"/>
            <a:gd name="adj2" fmla="val 50000"/>
          </a:avLst>
        </a:prstGeom>
        <a:solidFill>
          <a:schemeClr val="accent1">
            <a:alpha val="90000"/>
            <a:tint val="40000"/>
            <a:hueOff val="0"/>
            <a:satOff val="0"/>
            <a:lumOff val="0"/>
            <a:alphaOff val="0"/>
          </a:schemeClr>
        </a:solidFill>
        <a:ln w="381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dirty="0" smtClean="0">
              <a:solidFill>
                <a:schemeClr val="accent2">
                  <a:lumMod val="10000"/>
                </a:schemeClr>
              </a:solidFill>
              <a:latin typeface="+mj-lt"/>
            </a:rPr>
            <a:t>Paskolos SVV </a:t>
          </a:r>
          <a:r>
            <a:rPr lang="lt-LT" sz="1200" kern="1200" dirty="0" err="1" smtClean="0">
              <a:solidFill>
                <a:schemeClr val="accent2">
                  <a:lumMod val="10000"/>
                </a:schemeClr>
              </a:solidFill>
              <a:latin typeface="+mj-lt"/>
            </a:rPr>
            <a:t>verslumo</a:t>
          </a:r>
          <a:r>
            <a:rPr lang="lt-LT" sz="1200" kern="1200" dirty="0" smtClean="0">
              <a:solidFill>
                <a:schemeClr val="accent2">
                  <a:lumMod val="10000"/>
                </a:schemeClr>
              </a:solidFill>
              <a:latin typeface="+mj-lt"/>
            </a:rPr>
            <a:t> skatinimui</a:t>
          </a:r>
          <a:endParaRPr lang="en-US" sz="1200" kern="1200" dirty="0">
            <a:solidFill>
              <a:schemeClr val="accent2">
                <a:lumMod val="10000"/>
              </a:schemeClr>
            </a:solidFill>
            <a:latin typeface="+mj-lt"/>
          </a:endParaRPr>
        </a:p>
      </dsp:txBody>
      <dsp:txXfrm>
        <a:off x="2448051" y="2540905"/>
        <a:ext cx="3553159" cy="237837"/>
      </dsp:txXfrm>
    </dsp:sp>
    <dsp:sp modelId="{8718F8B3-D101-473A-A78F-21626AC6E0DC}">
      <dsp:nvSpPr>
        <dsp:cNvPr id="0" name=""/>
        <dsp:cNvSpPr/>
      </dsp:nvSpPr>
      <dsp:spPr>
        <a:xfrm>
          <a:off x="0" y="1774173"/>
          <a:ext cx="2448052" cy="523391"/>
        </a:xfrm>
        <a:prstGeom prst="roundRect">
          <a:avLst/>
        </a:prstGeom>
        <a:solidFill>
          <a:schemeClr val="accent1">
            <a:lumMod val="20000"/>
            <a:lumOff val="80000"/>
          </a:schemeClr>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lt-LT" sz="1300" b="1" kern="1200" dirty="0" smtClean="0">
              <a:solidFill>
                <a:schemeClr val="bg2">
                  <a:lumMod val="10000"/>
                </a:schemeClr>
              </a:solidFill>
              <a:latin typeface="+mj-lt"/>
            </a:rPr>
            <a:t>Garantijų fondas</a:t>
          </a:r>
        </a:p>
        <a:p>
          <a:pPr lvl="0" algn="ctr" defTabSz="577850">
            <a:lnSpc>
              <a:spcPct val="90000"/>
            </a:lnSpc>
            <a:spcBef>
              <a:spcPct val="0"/>
            </a:spcBef>
            <a:spcAft>
              <a:spcPct val="35000"/>
            </a:spcAft>
          </a:pPr>
          <a:r>
            <a:rPr lang="lt-LT" sz="1300" b="0" kern="1200" dirty="0" smtClean="0">
              <a:solidFill>
                <a:schemeClr val="bg2">
                  <a:lumMod val="10000"/>
                </a:schemeClr>
              </a:solidFill>
              <a:latin typeface="+mj-lt"/>
            </a:rPr>
            <a:t>Invega,</a:t>
          </a:r>
          <a:r>
            <a:rPr lang="lt-LT" sz="1300" kern="1200" dirty="0" smtClean="0">
              <a:solidFill>
                <a:schemeClr val="bg2">
                  <a:lumMod val="10000"/>
                </a:schemeClr>
              </a:solidFill>
              <a:latin typeface="+mj-lt"/>
            </a:rPr>
            <a:t> </a:t>
          </a:r>
          <a:r>
            <a:rPr lang="lt-LT" sz="1300" kern="1200" dirty="0" smtClean="0">
              <a:solidFill>
                <a:srgbClr val="000000"/>
              </a:solidFill>
              <a:latin typeface="+mj-lt"/>
            </a:rPr>
            <a:t>37,4 </a:t>
          </a:r>
          <a:r>
            <a:rPr lang="lt-LT" sz="1300" kern="1200" dirty="0" smtClean="0">
              <a:solidFill>
                <a:schemeClr val="bg2">
                  <a:lumMod val="10000"/>
                </a:schemeClr>
              </a:solidFill>
              <a:latin typeface="+mj-lt"/>
            </a:rPr>
            <a:t>mln. EUR</a:t>
          </a:r>
          <a:endParaRPr lang="en-US" sz="1300" b="0" kern="1200" dirty="0">
            <a:solidFill>
              <a:schemeClr val="bg2">
                <a:lumMod val="10000"/>
              </a:schemeClr>
            </a:solidFill>
            <a:latin typeface="+mj-lt"/>
          </a:endParaRPr>
        </a:p>
      </dsp:txBody>
      <dsp:txXfrm>
        <a:off x="25550" y="1799723"/>
        <a:ext cx="2396952" cy="47229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D14D-EFFA-4199-AD72-21F49FE9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25</Pages>
  <Words>38891</Words>
  <Characters>22168</Characters>
  <Application>Microsoft Office Word</Application>
  <DocSecurity>0</DocSecurity>
  <Lines>184</Lines>
  <Paragraphs>121</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60938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Vilūnienė</dc:creator>
  <cp:keywords/>
  <dc:description/>
  <cp:lastModifiedBy>Akvilė Svirkė</cp:lastModifiedBy>
  <cp:revision>19</cp:revision>
  <cp:lastPrinted>2020-08-18T12:08:00Z</cp:lastPrinted>
  <dcterms:created xsi:type="dcterms:W3CDTF">2021-07-29T11:23:00Z</dcterms:created>
  <dcterms:modified xsi:type="dcterms:W3CDTF">2021-11-23T08:27:00Z</dcterms:modified>
</cp:coreProperties>
</file>