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00D97" w:rsidRPr="00FB4094" w:rsidTr="00FB4094">
        <w:tc>
          <w:tcPr>
            <w:tcW w:w="9855" w:type="dxa"/>
            <w:shd w:val="clear" w:color="auto" w:fill="auto"/>
          </w:tcPr>
          <w:p w:rsidR="00500D97" w:rsidRPr="00130706" w:rsidRDefault="004B16A0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5A1CF70F" wp14:editId="5A1CF710">
                  <wp:extent cx="554355" cy="56324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D97" w:rsidRPr="00130706" w:rsidRDefault="00500D97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0"/>
                <w:lang w:val="lt-LT"/>
              </w:rPr>
            </w:pPr>
          </w:p>
          <w:p w:rsidR="00500D97" w:rsidRPr="00130706" w:rsidRDefault="00500D97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lt-LT"/>
              </w:rPr>
            </w:pPr>
            <w:r w:rsidRPr="00130706">
              <w:rPr>
                <w:b/>
                <w:bCs/>
                <w:szCs w:val="20"/>
                <w:lang w:val="lt-LT"/>
              </w:rPr>
              <w:t>LIETUVOS MOKSLO TARYBA</w:t>
            </w:r>
          </w:p>
          <w:p w:rsidR="00500D97" w:rsidRPr="00130706" w:rsidRDefault="00500D97" w:rsidP="00FB409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lt-LT"/>
              </w:rPr>
            </w:pPr>
          </w:p>
          <w:p w:rsidR="00500D97" w:rsidRPr="00130706" w:rsidRDefault="002B536E" w:rsidP="00FB4094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B</w:t>
            </w:r>
            <w:r w:rsidR="00277B48">
              <w:rPr>
                <w:sz w:val="18"/>
                <w:szCs w:val="18"/>
                <w:lang w:val="lt-LT"/>
              </w:rPr>
              <w:t xml:space="preserve">iudžetinė įstaiga, </w:t>
            </w:r>
            <w:r w:rsidR="00500D97" w:rsidRPr="00130706">
              <w:rPr>
                <w:sz w:val="18"/>
                <w:szCs w:val="18"/>
                <w:lang w:val="lt-LT"/>
              </w:rPr>
              <w:t>Gedi</w:t>
            </w:r>
            <w:r w:rsidR="00277B48">
              <w:rPr>
                <w:sz w:val="18"/>
                <w:szCs w:val="18"/>
                <w:lang w:val="lt-LT"/>
              </w:rPr>
              <w:t xml:space="preserve">mino pr. 3, 01103 </w:t>
            </w:r>
            <w:r w:rsidR="00926BA5">
              <w:rPr>
                <w:sz w:val="18"/>
                <w:szCs w:val="18"/>
                <w:lang w:val="lt-LT"/>
              </w:rPr>
              <w:t xml:space="preserve">Vilnius, tel. </w:t>
            </w:r>
            <w:r w:rsidR="00500D97" w:rsidRPr="00130706">
              <w:rPr>
                <w:sz w:val="18"/>
                <w:szCs w:val="18"/>
                <w:lang w:val="lt-LT"/>
              </w:rPr>
              <w:t>(</w:t>
            </w:r>
            <w:r w:rsidR="00926BA5">
              <w:rPr>
                <w:sz w:val="18"/>
                <w:szCs w:val="18"/>
                <w:lang w:val="lt-LT"/>
              </w:rPr>
              <w:t>+370</w:t>
            </w:r>
            <w:r w:rsidR="00500D97" w:rsidRPr="00130706">
              <w:rPr>
                <w:sz w:val="18"/>
                <w:szCs w:val="18"/>
                <w:lang w:val="lt-LT"/>
              </w:rPr>
              <w:t xml:space="preserve">) </w:t>
            </w:r>
            <w:r w:rsidR="00926BA5" w:rsidRPr="00926BA5">
              <w:rPr>
                <w:sz w:val="18"/>
                <w:szCs w:val="18"/>
                <w:lang w:val="lt-LT"/>
              </w:rPr>
              <w:t>670 32435</w:t>
            </w:r>
            <w:r w:rsidR="00277B48">
              <w:rPr>
                <w:sz w:val="18"/>
                <w:szCs w:val="18"/>
                <w:lang w:val="lt-LT"/>
              </w:rPr>
              <w:t xml:space="preserve">, el. </w:t>
            </w:r>
            <w:r w:rsidR="00926BA5">
              <w:rPr>
                <w:sz w:val="18"/>
                <w:szCs w:val="18"/>
                <w:lang w:val="lt-LT"/>
              </w:rPr>
              <w:t xml:space="preserve">p. </w:t>
            </w:r>
            <w:proofErr w:type="spellStart"/>
            <w:r w:rsidR="00500D97" w:rsidRPr="00130706">
              <w:rPr>
                <w:sz w:val="18"/>
                <w:szCs w:val="18"/>
                <w:lang w:val="lt-LT"/>
              </w:rPr>
              <w:t>info</w:t>
            </w:r>
            <w:proofErr w:type="spellEnd"/>
            <w:r w:rsidR="00500D97" w:rsidRPr="00130706">
              <w:rPr>
                <w:sz w:val="18"/>
                <w:szCs w:val="18"/>
              </w:rPr>
              <w:t>@</w:t>
            </w:r>
            <w:proofErr w:type="spellStart"/>
            <w:r w:rsidR="00500D97" w:rsidRPr="00130706">
              <w:rPr>
                <w:sz w:val="18"/>
                <w:szCs w:val="18"/>
              </w:rPr>
              <w:t>lmt.lt</w:t>
            </w:r>
            <w:proofErr w:type="spellEnd"/>
          </w:p>
          <w:p w:rsidR="00500D97" w:rsidRPr="00FB4094" w:rsidRDefault="00277B48" w:rsidP="00FB4094">
            <w:pPr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 xml:space="preserve">Duomenys kaupiami ir </w:t>
            </w:r>
            <w:r w:rsidR="00500D97" w:rsidRPr="00130706">
              <w:rPr>
                <w:sz w:val="18"/>
                <w:szCs w:val="18"/>
                <w:lang w:val="lt-LT"/>
              </w:rPr>
              <w:t>sau</w:t>
            </w:r>
            <w:r>
              <w:rPr>
                <w:sz w:val="18"/>
                <w:szCs w:val="18"/>
                <w:lang w:val="lt-LT"/>
              </w:rPr>
              <w:t xml:space="preserve">gomi Juridinių asmenų </w:t>
            </w:r>
            <w:r w:rsidR="00926BA5">
              <w:rPr>
                <w:sz w:val="18"/>
                <w:szCs w:val="18"/>
                <w:lang w:val="lt-LT"/>
              </w:rPr>
              <w:t xml:space="preserve">registre, kodas </w:t>
            </w:r>
            <w:r w:rsidR="00500D97" w:rsidRPr="00130706">
              <w:rPr>
                <w:sz w:val="18"/>
                <w:szCs w:val="18"/>
                <w:lang w:val="lt-LT"/>
              </w:rPr>
              <w:t>188716281</w:t>
            </w:r>
          </w:p>
        </w:tc>
      </w:tr>
    </w:tbl>
    <w:p w:rsidR="00FB4094" w:rsidRPr="00FB4094" w:rsidRDefault="00FB4094" w:rsidP="00FB4094">
      <w:pPr>
        <w:rPr>
          <w:vanish/>
        </w:rPr>
      </w:pPr>
      <w:bookmarkStart w:id="0" w:name="Text1"/>
    </w:p>
    <w:tbl>
      <w:tblPr>
        <w:tblW w:w="9923" w:type="dxa"/>
        <w:tblLook w:val="04A0" w:firstRow="1" w:lastRow="0" w:firstColumn="1" w:lastColumn="0" w:noHBand="0" w:noVBand="1"/>
      </w:tblPr>
      <w:tblGrid>
        <w:gridCol w:w="6096"/>
        <w:gridCol w:w="3827"/>
      </w:tblGrid>
      <w:tr w:rsidR="00E3420F" w:rsidTr="00B8373B">
        <w:tc>
          <w:tcPr>
            <w:tcW w:w="6096" w:type="dxa"/>
          </w:tcPr>
          <w:p w:rsidR="001D0E10" w:rsidRDefault="001D0E10" w:rsidP="003B503B">
            <w:pPr>
              <w:pStyle w:val="Footer"/>
              <w:tabs>
                <w:tab w:val="center" w:pos="0"/>
                <w:tab w:val="left" w:pos="6480"/>
              </w:tabs>
            </w:pPr>
          </w:p>
          <w:p w:rsidR="00860859" w:rsidRDefault="00860859" w:rsidP="003B503B">
            <w:pPr>
              <w:pStyle w:val="Footer"/>
              <w:tabs>
                <w:tab w:val="center" w:pos="0"/>
                <w:tab w:val="left" w:pos="6480"/>
              </w:tabs>
            </w:pPr>
          </w:p>
          <w:bookmarkEnd w:id="0"/>
          <w:p w:rsidR="004D7114" w:rsidRDefault="007F1AE9" w:rsidP="00CF2EE1">
            <w:pPr>
              <w:pStyle w:val="Footer"/>
              <w:tabs>
                <w:tab w:val="center" w:pos="0"/>
                <w:tab w:val="left" w:pos="6480"/>
              </w:tabs>
            </w:pPr>
            <w:r>
              <w:t xml:space="preserve">Lietuvos Respublikos </w:t>
            </w:r>
            <w:r w:rsidR="00AC782C">
              <w:t>sveikatos apsaugos</w:t>
            </w:r>
            <w:r>
              <w:t xml:space="preserve"> ministerijai </w:t>
            </w:r>
          </w:p>
          <w:p w:rsidR="00CF2EE1" w:rsidRDefault="00CF2EE1" w:rsidP="00761AD7">
            <w:pPr>
              <w:pStyle w:val="Footer"/>
              <w:tabs>
                <w:tab w:val="center" w:pos="0"/>
                <w:tab w:val="left" w:pos="5988"/>
              </w:tabs>
              <w:ind w:right="144"/>
            </w:pPr>
          </w:p>
        </w:tc>
        <w:tc>
          <w:tcPr>
            <w:tcW w:w="3827" w:type="dxa"/>
          </w:tcPr>
          <w:p w:rsidR="001D0E10" w:rsidRDefault="001D0E10" w:rsidP="00981F0F">
            <w:pPr>
              <w:pStyle w:val="Footer"/>
              <w:tabs>
                <w:tab w:val="center" w:pos="0"/>
                <w:tab w:val="left" w:pos="6480"/>
              </w:tabs>
              <w:jc w:val="right"/>
            </w:pPr>
          </w:p>
          <w:p w:rsidR="00860859" w:rsidRDefault="00860859" w:rsidP="00761AD7">
            <w:pPr>
              <w:pStyle w:val="Footer"/>
              <w:tabs>
                <w:tab w:val="center" w:pos="0"/>
                <w:tab w:val="left" w:pos="6480"/>
              </w:tabs>
            </w:pPr>
          </w:p>
          <w:p w:rsidR="00E3420F" w:rsidRDefault="00761AD7" w:rsidP="00761AD7">
            <w:pPr>
              <w:pStyle w:val="Footer"/>
              <w:tabs>
                <w:tab w:val="center" w:pos="0"/>
                <w:tab w:val="left" w:pos="6480"/>
              </w:tabs>
            </w:pPr>
            <w:r>
              <w:t>2021-06</w:t>
            </w:r>
            <w:r w:rsidR="007F1AE9">
              <w:t xml:space="preserve">- </w:t>
            </w:r>
            <w:r w:rsidR="00E3420F">
              <w:t xml:space="preserve">Nr. </w:t>
            </w:r>
          </w:p>
          <w:p w:rsidR="00E3420F" w:rsidRPr="006D67E3" w:rsidRDefault="00BF734C" w:rsidP="00761AD7">
            <w:pPr>
              <w:pStyle w:val="Footer"/>
              <w:tabs>
                <w:tab w:val="center" w:pos="-209"/>
                <w:tab w:val="left" w:pos="6480"/>
              </w:tabs>
              <w:ind w:left="-209"/>
              <w:jc w:val="center"/>
              <w:rPr>
                <w:lang w:val="en-US"/>
              </w:rPr>
            </w:pPr>
            <w:r>
              <w:t>Į</w:t>
            </w:r>
            <w:r w:rsidR="00B8373B">
              <w:t xml:space="preserve"> </w:t>
            </w:r>
            <w:r w:rsidR="00761AD7">
              <w:t>2021-06-11 Nr. (1.1.3E-25)10-3626</w:t>
            </w:r>
          </w:p>
        </w:tc>
      </w:tr>
    </w:tbl>
    <w:p w:rsidR="00E3420F" w:rsidRPr="007F1AE9" w:rsidRDefault="00E3420F">
      <w:pPr>
        <w:pStyle w:val="Footer"/>
        <w:tabs>
          <w:tab w:val="center" w:pos="0"/>
          <w:tab w:val="left" w:pos="6480"/>
        </w:tabs>
      </w:pPr>
    </w:p>
    <w:p w:rsidR="000034FE" w:rsidRDefault="000034FE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3B2358" w:rsidRPr="00303132" w:rsidRDefault="000034FE" w:rsidP="007F1AE9">
      <w:pPr>
        <w:pStyle w:val="Footer"/>
        <w:tabs>
          <w:tab w:val="center" w:pos="0"/>
          <w:tab w:val="left" w:pos="6480"/>
        </w:tabs>
        <w:jc w:val="both"/>
        <w:rPr>
          <w:b/>
          <w:caps/>
        </w:rPr>
      </w:pPr>
      <w:r w:rsidRPr="00303132">
        <w:rPr>
          <w:b/>
          <w:caps/>
        </w:rPr>
        <w:t xml:space="preserve">DĖL </w:t>
      </w:r>
      <w:r w:rsidR="00B8373B" w:rsidRPr="00DC2BDA">
        <w:rPr>
          <w:b/>
          <w:bCs/>
        </w:rPr>
        <w:t>VYRIAUSYBĖS NUTARIM</w:t>
      </w:r>
      <w:r w:rsidR="00B8373B">
        <w:rPr>
          <w:b/>
          <w:bCs/>
        </w:rPr>
        <w:t>Ų</w:t>
      </w:r>
      <w:r w:rsidR="00B8373B" w:rsidRPr="00DC2BDA">
        <w:rPr>
          <w:b/>
          <w:bCs/>
        </w:rPr>
        <w:t xml:space="preserve"> PROJEKT</w:t>
      </w:r>
      <w:r w:rsidR="00B8373B">
        <w:rPr>
          <w:b/>
          <w:bCs/>
        </w:rPr>
        <w:t>Ų</w:t>
      </w:r>
      <w:r w:rsidR="00B8373B" w:rsidRPr="00DC2BDA">
        <w:rPr>
          <w:b/>
          <w:bCs/>
        </w:rPr>
        <w:t xml:space="preserve"> DERINIMO</w:t>
      </w:r>
    </w:p>
    <w:p w:rsidR="000034FE" w:rsidRDefault="000034FE">
      <w:pPr>
        <w:overflowPunct w:val="0"/>
        <w:autoSpaceDE w:val="0"/>
        <w:autoSpaceDN w:val="0"/>
        <w:adjustRightInd w:val="0"/>
        <w:rPr>
          <w:b/>
          <w:bCs/>
          <w:szCs w:val="20"/>
          <w:lang w:val="lt-LT"/>
        </w:rPr>
      </w:pPr>
    </w:p>
    <w:p w:rsidR="0081199B" w:rsidRDefault="0081199B">
      <w:pPr>
        <w:overflowPunct w:val="0"/>
        <w:autoSpaceDE w:val="0"/>
        <w:autoSpaceDN w:val="0"/>
        <w:adjustRightInd w:val="0"/>
        <w:rPr>
          <w:b/>
          <w:bCs/>
          <w:szCs w:val="20"/>
          <w:lang w:val="lt-LT"/>
        </w:rPr>
      </w:pPr>
    </w:p>
    <w:p w:rsidR="000371E4" w:rsidRDefault="00A9628E" w:rsidP="00B8373B">
      <w:pPr>
        <w:overflowPunct w:val="0"/>
        <w:autoSpaceDE w:val="0"/>
        <w:autoSpaceDN w:val="0"/>
        <w:adjustRightInd w:val="0"/>
        <w:spacing w:line="240" w:lineRule="auto"/>
        <w:jc w:val="both"/>
        <w:rPr>
          <w:rFonts w:eastAsia="Andale Sans UI"/>
          <w:lang w:val="lt-LT" w:bidi="en-US"/>
        </w:rPr>
      </w:pPr>
      <w:r>
        <w:rPr>
          <w:lang w:val="lt-LT"/>
        </w:rPr>
        <w:tab/>
      </w:r>
      <w:r w:rsidR="00B8373B" w:rsidRPr="00B8373B">
        <w:rPr>
          <w:lang w:val="lt-LT"/>
        </w:rPr>
        <w:t>Lietuvos mokslo tary</w:t>
      </w:r>
      <w:r w:rsidR="00963109">
        <w:rPr>
          <w:lang w:val="lt-LT"/>
        </w:rPr>
        <w:t>ba (toliau – Taryba,</w:t>
      </w:r>
      <w:r w:rsidR="000371E4">
        <w:rPr>
          <w:lang w:val="lt-LT"/>
        </w:rPr>
        <w:t xml:space="preserve"> išnagrinėjusi</w:t>
      </w:r>
      <w:r w:rsidR="00B8373B" w:rsidRPr="00B8373B">
        <w:rPr>
          <w:lang w:val="lt-LT"/>
        </w:rPr>
        <w:t xml:space="preserve"> </w:t>
      </w:r>
      <w:r w:rsidR="00B8373B">
        <w:rPr>
          <w:lang w:val="lt-LT"/>
        </w:rPr>
        <w:t xml:space="preserve">pateiktą </w:t>
      </w:r>
      <w:r w:rsidR="00B8373B" w:rsidRPr="00B8373B">
        <w:rPr>
          <w:rFonts w:eastAsia="Andale Sans UI"/>
          <w:lang w:val="lt-LT" w:bidi="en-US"/>
        </w:rPr>
        <w:t>derinti Lietuvos Respublikos Vyriausybės nutarimo „D</w:t>
      </w:r>
      <w:r w:rsidR="00B8373B" w:rsidRPr="00B8373B">
        <w:rPr>
          <w:bCs/>
          <w:lang w:val="lt-LT" w:eastAsia="lt-LT"/>
        </w:rPr>
        <w:t>ėl Lietuvos Respublikos Vyriausybės 1995 m. gruodžio 28 d. nutarimo Nr. 1630 „D</w:t>
      </w:r>
      <w:r w:rsidR="00B8373B" w:rsidRPr="00B8373B">
        <w:rPr>
          <w:bCs/>
          <w:szCs w:val="20"/>
          <w:lang w:val="lt-LT" w:eastAsia="lt-LT"/>
        </w:rPr>
        <w:t xml:space="preserve">ėl </w:t>
      </w:r>
      <w:r w:rsidR="00B8373B" w:rsidRPr="00B8373B">
        <w:rPr>
          <w:bCs/>
          <w:lang w:val="lt-LT" w:eastAsia="lt-LT"/>
        </w:rPr>
        <w:t xml:space="preserve">veiklos, susijusios su vaistiniais preparatais, kurių sudėtyje yra I sąrašo medžiagų, ir II, III sąrašų narkotinėmis ir psichotropinėmis medžiagomis licencijavimo taisyklių ir Leidimų mokslinių tyrimų veiklai su medžiagomis, įtrauktomis į I narkotinių ir psichotropinių medžiagų sąrašą, išdavimo tvarkos aprašo patvirtinimo“ pakeitimo“ </w:t>
      </w:r>
      <w:r w:rsidR="00B8373B" w:rsidRPr="00B8373B">
        <w:rPr>
          <w:rFonts w:eastAsia="Andale Sans UI"/>
          <w:lang w:val="lt-LT" w:bidi="en-US"/>
        </w:rPr>
        <w:t>projekt</w:t>
      </w:r>
      <w:r w:rsidR="000371E4">
        <w:rPr>
          <w:rFonts w:eastAsia="Andale Sans UI"/>
          <w:lang w:val="lt-LT" w:bidi="en-US"/>
        </w:rPr>
        <w:t xml:space="preserve">ą (toliau – Nutarimo projektas), </w:t>
      </w:r>
      <w:r w:rsidR="000371E4" w:rsidRPr="0041376E">
        <w:rPr>
          <w:rFonts w:eastAsia="Andale Sans UI"/>
          <w:lang w:val="lt-LT" w:bidi="en-US"/>
        </w:rPr>
        <w:t>manytų, kad institucijas, kurioms</w:t>
      </w:r>
      <w:r w:rsidR="00377075" w:rsidRPr="0041376E">
        <w:rPr>
          <w:rFonts w:eastAsia="Andale Sans UI"/>
          <w:lang w:val="lt-LT" w:bidi="en-US"/>
        </w:rPr>
        <w:t xml:space="preserve"> teisės aktais</w:t>
      </w:r>
      <w:r w:rsidR="000371E4" w:rsidRPr="0041376E">
        <w:rPr>
          <w:rFonts w:eastAsia="Andale Sans UI"/>
          <w:lang w:val="lt-LT" w:bidi="en-US"/>
        </w:rPr>
        <w:t xml:space="preserve"> pavedamos naujos funkcijos, būtų tikslinga </w:t>
      </w:r>
      <w:r w:rsidR="00963109" w:rsidRPr="0041376E">
        <w:rPr>
          <w:rFonts w:eastAsia="Andale Sans UI"/>
          <w:lang w:val="lt-LT" w:bidi="en-US"/>
        </w:rPr>
        <w:t xml:space="preserve">ir konstruktyvu </w:t>
      </w:r>
      <w:r w:rsidR="000371E4" w:rsidRPr="0041376E">
        <w:rPr>
          <w:rFonts w:eastAsia="Andale Sans UI"/>
          <w:lang w:val="lt-LT" w:bidi="en-US"/>
        </w:rPr>
        <w:t>įtraukti į teisės akto</w:t>
      </w:r>
      <w:r w:rsidR="00963109" w:rsidRPr="0041376E">
        <w:rPr>
          <w:rFonts w:eastAsia="Andale Sans UI"/>
          <w:lang w:val="lt-LT" w:bidi="en-US"/>
        </w:rPr>
        <w:t xml:space="preserve"> projekto</w:t>
      </w:r>
      <w:r w:rsidR="000371E4" w:rsidRPr="0041376E">
        <w:rPr>
          <w:rFonts w:eastAsia="Andale Sans UI"/>
          <w:lang w:val="lt-LT" w:bidi="en-US"/>
        </w:rPr>
        <w:t xml:space="preserve"> rengimo procesą</w:t>
      </w:r>
      <w:r w:rsidR="00377075" w:rsidRPr="0041376E">
        <w:rPr>
          <w:rFonts w:eastAsia="Andale Sans UI"/>
          <w:lang w:val="lt-LT" w:bidi="en-US"/>
        </w:rPr>
        <w:t xml:space="preserve"> </w:t>
      </w:r>
      <w:r w:rsidR="000371E4" w:rsidRPr="0041376E">
        <w:rPr>
          <w:rFonts w:eastAsia="Andale Sans UI"/>
          <w:lang w:val="lt-LT" w:bidi="en-US"/>
        </w:rPr>
        <w:t xml:space="preserve">ne tik </w:t>
      </w:r>
      <w:r w:rsidR="00377075" w:rsidRPr="0041376E">
        <w:rPr>
          <w:rFonts w:eastAsia="Andale Sans UI"/>
          <w:lang w:val="lt-LT" w:bidi="en-US"/>
        </w:rPr>
        <w:t>derinimo etape</w:t>
      </w:r>
      <w:r w:rsidR="000371E4" w:rsidRPr="0041376E">
        <w:rPr>
          <w:rFonts w:eastAsia="Andale Sans UI"/>
          <w:lang w:val="lt-LT" w:bidi="en-US"/>
        </w:rPr>
        <w:t>.</w:t>
      </w:r>
      <w:r w:rsidR="000371E4">
        <w:rPr>
          <w:rFonts w:eastAsia="Andale Sans UI"/>
          <w:lang w:val="lt-LT" w:bidi="en-US"/>
        </w:rPr>
        <w:t xml:space="preserve"> </w:t>
      </w:r>
    </w:p>
    <w:p w:rsidR="00F33D57" w:rsidRDefault="00963109" w:rsidP="00963109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Andale Sans UI"/>
          <w:lang w:val="lt-LT" w:bidi="en-US"/>
        </w:rPr>
      </w:pPr>
      <w:r>
        <w:rPr>
          <w:rFonts w:eastAsia="Andale Sans UI"/>
          <w:lang w:val="lt-LT" w:bidi="en-US"/>
        </w:rPr>
        <w:t xml:space="preserve">Taryba </w:t>
      </w:r>
      <w:r w:rsidR="00B8373B">
        <w:rPr>
          <w:rFonts w:eastAsia="Andale Sans UI"/>
          <w:lang w:val="lt-LT" w:bidi="en-US"/>
        </w:rPr>
        <w:t>teikia šias pastabas bei pasiūlymus</w:t>
      </w:r>
      <w:r>
        <w:rPr>
          <w:rFonts w:eastAsia="Andale Sans UI"/>
          <w:lang w:val="lt-LT" w:bidi="en-US"/>
        </w:rPr>
        <w:t xml:space="preserve"> dėl Nutarimo projekto</w:t>
      </w:r>
      <w:r w:rsidR="00B8373B">
        <w:rPr>
          <w:rFonts w:eastAsia="Andale Sans UI"/>
          <w:lang w:val="lt-LT" w:bidi="en-US"/>
        </w:rPr>
        <w:t>:</w:t>
      </w:r>
    </w:p>
    <w:p w:rsidR="00D61C7F" w:rsidRDefault="00B8373B" w:rsidP="00367225">
      <w:pPr>
        <w:overflowPunct w:val="0"/>
        <w:autoSpaceDE w:val="0"/>
        <w:autoSpaceDN w:val="0"/>
        <w:adjustRightInd w:val="0"/>
        <w:spacing w:line="240" w:lineRule="auto"/>
        <w:jc w:val="both"/>
        <w:rPr>
          <w:bCs/>
          <w:color w:val="000000"/>
          <w:lang w:val="lt-LT"/>
        </w:rPr>
      </w:pPr>
      <w:r>
        <w:rPr>
          <w:rFonts w:eastAsia="Andale Sans UI"/>
          <w:lang w:val="lt-LT" w:bidi="en-US"/>
        </w:rPr>
        <w:tab/>
      </w:r>
      <w:r w:rsidR="003D17C8" w:rsidRPr="003D17C8">
        <w:rPr>
          <w:rFonts w:eastAsia="Andale Sans UI"/>
          <w:lang w:val="lt-LT" w:bidi="en-US"/>
        </w:rPr>
        <w:t xml:space="preserve">Nutarimo projektu Taryba įtraukiama į </w:t>
      </w:r>
      <w:r w:rsidR="003D17C8" w:rsidRPr="003D17C8">
        <w:rPr>
          <w:bCs/>
          <w:lang w:val="lt-LT"/>
        </w:rPr>
        <w:t xml:space="preserve">Specialiųjų </w:t>
      </w:r>
      <w:r w:rsidR="003D17C8" w:rsidRPr="003D17C8">
        <w:rPr>
          <w:bCs/>
          <w:color w:val="000000"/>
          <w:lang w:val="lt-LT"/>
        </w:rPr>
        <w:t>leidimų naudoti I, II ir (ar) III sąrašų narkotines, psichotropines medžiagas moksliniams tyrimams</w:t>
      </w:r>
      <w:r w:rsidR="003D17C8" w:rsidRPr="003D17C8">
        <w:rPr>
          <w:b/>
          <w:bCs/>
          <w:color w:val="000000"/>
          <w:lang w:val="lt-LT"/>
        </w:rPr>
        <w:t xml:space="preserve"> </w:t>
      </w:r>
      <w:r w:rsidR="003D17C8" w:rsidRPr="003D17C8">
        <w:rPr>
          <w:color w:val="000000"/>
          <w:lang w:val="lt-LT"/>
        </w:rPr>
        <w:t>išdavimo procesą.</w:t>
      </w:r>
      <w:r w:rsidR="003D17C8">
        <w:rPr>
          <w:color w:val="000000"/>
          <w:lang w:val="lt-LT"/>
        </w:rPr>
        <w:t xml:space="preserve"> Kartu su Mokslo, inovacijų ir technologijų agentūra ar kita Lietuvos Res</w:t>
      </w:r>
      <w:r w:rsidR="00367225">
        <w:rPr>
          <w:color w:val="000000"/>
          <w:lang w:val="lt-LT"/>
        </w:rPr>
        <w:t>publikos Vyriausybės įgaliota institucija pavedama „</w:t>
      </w:r>
      <w:r w:rsidR="003D17C8" w:rsidRPr="00367225">
        <w:rPr>
          <w:bCs/>
          <w:color w:val="000000"/>
          <w:lang w:val="lt-LT"/>
        </w:rPr>
        <w:t>atlikti mokslinio tyrimo vertinimą išduotą dokumentą (</w:t>
      </w:r>
      <w:r w:rsidR="003D17C8" w:rsidRPr="00367225">
        <w:rPr>
          <w:bCs/>
          <w:lang w:val="lt-LT"/>
        </w:rPr>
        <w:t>ar jo kopiją, nuorašą, išrašą)</w:t>
      </w:r>
      <w:r w:rsidR="003D17C8" w:rsidRPr="00367225">
        <w:rPr>
          <w:bCs/>
          <w:color w:val="000000"/>
          <w:lang w:val="lt-LT"/>
        </w:rPr>
        <w:t>, patvirtinantį, kad numatomas vykdyti tyrimas yra mokslinis tyrimas, kuriam vykdyti reikalingos į I, II ir (ar) III sąrašų medžiagos ir kad šio mokslinio tyrimo finansavimas yra užtikrintas</w:t>
      </w:r>
      <w:r w:rsidR="00367225">
        <w:rPr>
          <w:bCs/>
          <w:color w:val="000000"/>
          <w:lang w:val="lt-LT"/>
        </w:rPr>
        <w:t>“</w:t>
      </w:r>
      <w:r w:rsidR="00367225" w:rsidRPr="00367225">
        <w:rPr>
          <w:bCs/>
          <w:color w:val="000000"/>
          <w:lang w:val="lt-LT"/>
        </w:rPr>
        <w:t>.</w:t>
      </w:r>
      <w:r w:rsidR="00367225">
        <w:rPr>
          <w:bCs/>
          <w:color w:val="000000"/>
          <w:lang w:val="lt-LT"/>
        </w:rPr>
        <w:t xml:space="preserve"> </w:t>
      </w:r>
    </w:p>
    <w:p w:rsidR="008A54D2" w:rsidRDefault="00E35991" w:rsidP="00D61C7F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rPr>
          <w:bCs/>
          <w:color w:val="000000"/>
          <w:lang w:val="lt-LT"/>
        </w:rPr>
      </w:pPr>
      <w:r>
        <w:rPr>
          <w:bCs/>
          <w:color w:val="000000"/>
          <w:lang w:val="lt-LT"/>
        </w:rPr>
        <w:t>I</w:t>
      </w:r>
      <w:r w:rsidR="00367225">
        <w:rPr>
          <w:bCs/>
          <w:color w:val="000000"/>
          <w:lang w:val="lt-LT"/>
        </w:rPr>
        <w:t>š Nutarimo projekto</w:t>
      </w:r>
      <w:r>
        <w:rPr>
          <w:bCs/>
          <w:color w:val="000000"/>
          <w:lang w:val="lt-LT"/>
        </w:rPr>
        <w:t xml:space="preserve"> nuostatų</w:t>
      </w:r>
      <w:r w:rsidR="00367225">
        <w:rPr>
          <w:bCs/>
          <w:color w:val="000000"/>
          <w:lang w:val="lt-LT"/>
        </w:rPr>
        <w:t xml:space="preserve"> nėra aišku, kada būtų kreipiamasi į Mokslo, te</w:t>
      </w:r>
      <w:r w:rsidR="00D61C7F">
        <w:rPr>
          <w:bCs/>
          <w:color w:val="000000"/>
          <w:lang w:val="lt-LT"/>
        </w:rPr>
        <w:t>chnologijų ir inovacijų agentūrą</w:t>
      </w:r>
      <w:r w:rsidR="00367225">
        <w:rPr>
          <w:bCs/>
          <w:color w:val="000000"/>
          <w:lang w:val="lt-LT"/>
        </w:rPr>
        <w:t xml:space="preserve">, kada į Tarybą, kada </w:t>
      </w:r>
      <w:r w:rsidR="00D61C7F">
        <w:rPr>
          <w:bCs/>
          <w:color w:val="000000"/>
          <w:lang w:val="lt-LT"/>
        </w:rPr>
        <w:t>Lietuvos Respublikos Vyriausybės įgaliotą instituciją. Neaišku, a</w:t>
      </w:r>
      <w:r w:rsidR="00367225">
        <w:rPr>
          <w:bCs/>
          <w:color w:val="000000"/>
          <w:lang w:val="lt-LT"/>
        </w:rPr>
        <w:t xml:space="preserve">r pasirinkti </w:t>
      </w:r>
      <w:r w:rsidR="00D61C7F">
        <w:rPr>
          <w:bCs/>
          <w:color w:val="000000"/>
          <w:lang w:val="lt-LT"/>
        </w:rPr>
        <w:t>instituciją</w:t>
      </w:r>
      <w:r w:rsidR="00367225">
        <w:rPr>
          <w:bCs/>
          <w:color w:val="000000"/>
          <w:lang w:val="lt-LT"/>
        </w:rPr>
        <w:t xml:space="preserve"> būtų pareiškėjo prerogatyva</w:t>
      </w:r>
      <w:r w:rsidR="00D61C7F">
        <w:rPr>
          <w:bCs/>
          <w:color w:val="000000"/>
          <w:lang w:val="lt-LT"/>
        </w:rPr>
        <w:t>. Mūsų nuomone, turėtų būti paskirta viena ekspertinė institucija, kuri įvertintų, ar pareiškėjo numatomas tyrimas, dėl kurio turi būti išduotas spe</w:t>
      </w:r>
      <w:r w:rsidR="006B2C3E">
        <w:rPr>
          <w:bCs/>
          <w:color w:val="000000"/>
          <w:lang w:val="lt-LT"/>
        </w:rPr>
        <w:t>cialusis leidimas yra mokslinis tyrimas</w:t>
      </w:r>
      <w:r>
        <w:rPr>
          <w:bCs/>
          <w:color w:val="000000"/>
          <w:lang w:val="lt-LT"/>
        </w:rPr>
        <w:t xml:space="preserve">, </w:t>
      </w:r>
      <w:r w:rsidRPr="00367225">
        <w:rPr>
          <w:bCs/>
          <w:color w:val="000000"/>
          <w:lang w:val="lt-LT"/>
        </w:rPr>
        <w:t>kuriam vykdyti reikalingos į I, II ir (ar) III sąrašų medžiagos</w:t>
      </w:r>
      <w:r w:rsidR="00D61C7F">
        <w:rPr>
          <w:bCs/>
          <w:color w:val="000000"/>
          <w:lang w:val="lt-LT"/>
        </w:rPr>
        <w:t>.</w:t>
      </w:r>
      <w:r w:rsidR="008A54D2">
        <w:rPr>
          <w:bCs/>
          <w:color w:val="000000"/>
          <w:lang w:val="lt-LT"/>
        </w:rPr>
        <w:t xml:space="preserve"> </w:t>
      </w:r>
      <w:r w:rsidR="00CA2E1F" w:rsidRPr="00CA2E1F">
        <w:rPr>
          <w:bCs/>
          <w:color w:val="000000"/>
          <w:lang w:val="lt-LT"/>
        </w:rPr>
        <w:t xml:space="preserve">Vadovaujantis Nutarimo projektu, specialiosios </w:t>
      </w:r>
      <w:r w:rsidR="00CA2E1F" w:rsidRPr="00CA2E1F">
        <w:rPr>
          <w:lang w:val="lt-LT"/>
        </w:rPr>
        <w:t xml:space="preserve">licencijos siekiantis pareiškėjas turi kreiptis </w:t>
      </w:r>
      <w:r w:rsidR="0021027F">
        <w:rPr>
          <w:lang w:val="lt-LT"/>
        </w:rPr>
        <w:t xml:space="preserve">į </w:t>
      </w:r>
      <w:r w:rsidR="00CA2E1F" w:rsidRPr="00CA2E1F">
        <w:rPr>
          <w:lang w:val="lt-LT"/>
        </w:rPr>
        <w:t>įgaliotą (-</w:t>
      </w:r>
      <w:proofErr w:type="spellStart"/>
      <w:r w:rsidR="00CA2E1F" w:rsidRPr="00CA2E1F">
        <w:rPr>
          <w:lang w:val="lt-LT"/>
        </w:rPr>
        <w:t>as</w:t>
      </w:r>
      <w:proofErr w:type="spellEnd"/>
      <w:r w:rsidR="00CA2E1F" w:rsidRPr="00CA2E1F">
        <w:rPr>
          <w:lang w:val="lt-LT"/>
        </w:rPr>
        <w:t>) instituciją (-</w:t>
      </w:r>
      <w:proofErr w:type="spellStart"/>
      <w:r w:rsidR="00CA2E1F" w:rsidRPr="00CA2E1F">
        <w:rPr>
          <w:lang w:val="lt-LT"/>
        </w:rPr>
        <w:t>as</w:t>
      </w:r>
      <w:proofErr w:type="spellEnd"/>
      <w:r w:rsidR="00CA2E1F" w:rsidRPr="00CA2E1F">
        <w:rPr>
          <w:lang w:val="lt-LT"/>
        </w:rPr>
        <w:t>) prieš pateikdamas prašymą licenciją suteikiančiai institucijai, tačiau neaišku kokiu būdu, tvarka, kokie prašymo nagrinėjimo terminai</w:t>
      </w:r>
      <w:r w:rsidR="00CA2E1F">
        <w:rPr>
          <w:lang w:val="lt-LT"/>
        </w:rPr>
        <w:t xml:space="preserve">, </w:t>
      </w:r>
      <w:proofErr w:type="spellStart"/>
      <w:r w:rsidR="00CA2E1F">
        <w:rPr>
          <w:lang w:val="lt-LT"/>
        </w:rPr>
        <w:t>teiktini</w:t>
      </w:r>
      <w:proofErr w:type="spellEnd"/>
      <w:r w:rsidR="00CA2E1F">
        <w:rPr>
          <w:lang w:val="lt-LT"/>
        </w:rPr>
        <w:t xml:space="preserve"> dokumentai ir pan</w:t>
      </w:r>
      <w:r w:rsidR="00CA2E1F" w:rsidRPr="00CA2E1F">
        <w:rPr>
          <w:lang w:val="lt-LT"/>
        </w:rPr>
        <w:t xml:space="preserve">. </w:t>
      </w:r>
      <w:r w:rsidR="00C008D2">
        <w:rPr>
          <w:lang w:val="lt-LT"/>
        </w:rPr>
        <w:t>Tam įgaliotos institucijos turės priimti ir patvirtinti vidinius dokumentus</w:t>
      </w:r>
      <w:r w:rsidR="00CA2E1F">
        <w:rPr>
          <w:lang w:val="lt-LT"/>
        </w:rPr>
        <w:t xml:space="preserve">, tačiau </w:t>
      </w:r>
      <w:r w:rsidR="00377075" w:rsidRPr="0041376E">
        <w:rPr>
          <w:lang w:val="lt-LT"/>
        </w:rPr>
        <w:t xml:space="preserve">skiriant kelias atsakingas institucijas ir </w:t>
      </w:r>
      <w:r w:rsidR="00CA2E1F" w:rsidRPr="0041376E">
        <w:rPr>
          <w:lang w:val="lt-LT"/>
        </w:rPr>
        <w:t>neįtvirtinus bendrųjų principų</w:t>
      </w:r>
      <w:r w:rsidR="00C008D2" w:rsidRPr="0041376E">
        <w:rPr>
          <w:lang w:val="lt-LT"/>
        </w:rPr>
        <w:t>, sunku būtų tikėtis sistemiško proceso</w:t>
      </w:r>
      <w:r w:rsidR="00C423F7" w:rsidRPr="0041376E">
        <w:rPr>
          <w:lang w:val="lt-LT"/>
        </w:rPr>
        <w:t>, standartizuotos paslaugos pareiškėjo atžvilgiu</w:t>
      </w:r>
      <w:r w:rsidR="00C008D2" w:rsidRPr="0041376E">
        <w:rPr>
          <w:lang w:val="lt-LT"/>
        </w:rPr>
        <w:t>.</w:t>
      </w:r>
      <w:r w:rsidR="00CA2E1F" w:rsidRPr="0041376E">
        <w:t xml:space="preserve"> </w:t>
      </w:r>
      <w:r w:rsidR="008A54D2" w:rsidRPr="0041376E">
        <w:rPr>
          <w:bCs/>
          <w:color w:val="000000"/>
          <w:lang w:val="lt-LT"/>
        </w:rPr>
        <w:t>Nutarimo projektu siūlytume patvirtinti pavyzdinę išvados formą, kurią teiktų įgaliota (-</w:t>
      </w:r>
      <w:proofErr w:type="spellStart"/>
      <w:r w:rsidR="008A54D2" w:rsidRPr="0041376E">
        <w:rPr>
          <w:bCs/>
          <w:color w:val="000000"/>
          <w:lang w:val="lt-LT"/>
        </w:rPr>
        <w:t>os</w:t>
      </w:r>
      <w:proofErr w:type="spellEnd"/>
      <w:r w:rsidR="008A54D2" w:rsidRPr="0041376E">
        <w:rPr>
          <w:bCs/>
          <w:color w:val="000000"/>
          <w:lang w:val="lt-LT"/>
        </w:rPr>
        <w:t>) institucija (-</w:t>
      </w:r>
      <w:proofErr w:type="spellStart"/>
      <w:r w:rsidR="008A54D2" w:rsidRPr="0041376E">
        <w:rPr>
          <w:bCs/>
          <w:color w:val="000000"/>
          <w:lang w:val="lt-LT"/>
        </w:rPr>
        <w:t>os</w:t>
      </w:r>
      <w:proofErr w:type="spellEnd"/>
      <w:r w:rsidR="008A54D2" w:rsidRPr="0041376E">
        <w:rPr>
          <w:bCs/>
          <w:color w:val="000000"/>
          <w:lang w:val="lt-LT"/>
        </w:rPr>
        <w:t>), taip užtikrinant vienodesnę praktiką.</w:t>
      </w:r>
      <w:r w:rsidR="00CA2E1F" w:rsidRPr="0041376E">
        <w:rPr>
          <w:bCs/>
          <w:color w:val="000000"/>
          <w:lang w:val="lt-LT"/>
        </w:rPr>
        <w:t xml:space="preserve"> </w:t>
      </w:r>
      <w:r w:rsidR="00377075" w:rsidRPr="0041376E">
        <w:rPr>
          <w:bCs/>
          <w:color w:val="000000"/>
          <w:lang w:val="lt-LT"/>
        </w:rPr>
        <w:t>Taip pat siūlytume įvertinti, ar tikslinga Nutarimo projektu paskirti kelias įgaliotąsias institucijas.</w:t>
      </w:r>
    </w:p>
    <w:p w:rsidR="000034FE" w:rsidRDefault="00E35991" w:rsidP="00D61C7F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rPr>
          <w:bCs/>
          <w:color w:val="000000"/>
          <w:lang w:val="lt-LT"/>
        </w:rPr>
      </w:pPr>
      <w:r>
        <w:rPr>
          <w:bCs/>
          <w:color w:val="000000"/>
          <w:lang w:val="lt-LT"/>
        </w:rPr>
        <w:t>Pažymėtina, kad ekspertinės funkcijos Tarybai yra pavestos Lietuvos Respublikos mokslo ir studijų įstatymu ir įtvirtintos Tarybos nuostatuose.</w:t>
      </w:r>
      <w:r w:rsidR="005D7373">
        <w:rPr>
          <w:bCs/>
          <w:color w:val="000000"/>
          <w:lang w:val="lt-LT"/>
        </w:rPr>
        <w:t xml:space="preserve"> Tačiau pavedant nauja</w:t>
      </w:r>
      <w:r w:rsidR="00011E6D">
        <w:rPr>
          <w:bCs/>
          <w:color w:val="000000"/>
          <w:lang w:val="lt-LT"/>
        </w:rPr>
        <w:t>s funkcijas turi būti įvertinta</w:t>
      </w:r>
      <w:r w:rsidR="005D7373">
        <w:rPr>
          <w:bCs/>
          <w:color w:val="000000"/>
          <w:lang w:val="lt-LT"/>
        </w:rPr>
        <w:t xml:space="preserve"> administracinė našta institucijai (-</w:t>
      </w:r>
      <w:proofErr w:type="spellStart"/>
      <w:r w:rsidR="005D7373">
        <w:rPr>
          <w:bCs/>
          <w:color w:val="000000"/>
          <w:lang w:val="lt-LT"/>
        </w:rPr>
        <w:t>oms</w:t>
      </w:r>
      <w:proofErr w:type="spellEnd"/>
      <w:r w:rsidR="005D7373">
        <w:rPr>
          <w:bCs/>
          <w:color w:val="000000"/>
          <w:lang w:val="lt-LT"/>
        </w:rPr>
        <w:t xml:space="preserve">) ir </w:t>
      </w:r>
      <w:r w:rsidR="006B2C3E">
        <w:rPr>
          <w:bCs/>
          <w:color w:val="000000"/>
          <w:lang w:val="lt-LT"/>
        </w:rPr>
        <w:t xml:space="preserve">skiriamos lėšos šiai funkcijai įgyvendinti. Įvertinti, ar konkretus numatomas </w:t>
      </w:r>
      <w:r w:rsidR="0009283B">
        <w:rPr>
          <w:bCs/>
          <w:color w:val="000000"/>
          <w:lang w:val="lt-LT"/>
        </w:rPr>
        <w:t>tyrimas yra mokslinis tyrimas</w:t>
      </w:r>
      <w:r w:rsidR="00752E4D">
        <w:rPr>
          <w:bCs/>
          <w:color w:val="000000"/>
          <w:lang w:val="lt-LT"/>
        </w:rPr>
        <w:t xml:space="preserve">, ar jam </w:t>
      </w:r>
      <w:r w:rsidR="00752E4D" w:rsidRPr="00367225">
        <w:rPr>
          <w:bCs/>
          <w:color w:val="000000"/>
          <w:lang w:val="lt-LT"/>
        </w:rPr>
        <w:t xml:space="preserve">vykdyti reikalingos į I, II ir (ar) III sąrašų medžiagos </w:t>
      </w:r>
      <w:r w:rsidR="00D1326E" w:rsidRPr="00B8373B">
        <w:rPr>
          <w:lang w:val="lt-LT"/>
        </w:rPr>
        <w:t>–</w:t>
      </w:r>
      <w:r w:rsidR="00CF6566">
        <w:rPr>
          <w:bCs/>
          <w:color w:val="000000"/>
          <w:lang w:val="lt-LT"/>
        </w:rPr>
        <w:t xml:space="preserve"> ekspertinis darbas. </w:t>
      </w:r>
      <w:r w:rsidR="00752E4D">
        <w:rPr>
          <w:bCs/>
          <w:color w:val="000000"/>
          <w:lang w:val="lt-LT"/>
        </w:rPr>
        <w:t xml:space="preserve">Tarybos komitetai ekspertus skiria įvertinę konkretų vertinamąjį </w:t>
      </w:r>
      <w:r w:rsidR="00752E4D">
        <w:rPr>
          <w:bCs/>
          <w:color w:val="000000"/>
          <w:lang w:val="lt-LT"/>
        </w:rPr>
        <w:lastRenderedPageBreak/>
        <w:t xml:space="preserve">objektą. </w:t>
      </w:r>
      <w:r w:rsidR="00CF6566">
        <w:rPr>
          <w:bCs/>
          <w:color w:val="000000"/>
          <w:lang w:val="lt-LT"/>
        </w:rPr>
        <w:t xml:space="preserve">Taryba ekspertams už darbą atlygina Tarybos nustatyta tvarka ir įkainiais. Nutarimo projektu pavedus Tarybai numatomą funkciją, Tarybai padidėtų, tikėtina </w:t>
      </w:r>
      <w:r w:rsidR="00011E6D">
        <w:rPr>
          <w:bCs/>
          <w:color w:val="000000"/>
          <w:lang w:val="lt-LT"/>
        </w:rPr>
        <w:t>ženkliai</w:t>
      </w:r>
      <w:r w:rsidR="00CF6566">
        <w:rPr>
          <w:bCs/>
          <w:color w:val="000000"/>
          <w:lang w:val="lt-LT"/>
        </w:rPr>
        <w:t>, ekspertinės išlaidos</w:t>
      </w:r>
      <w:r w:rsidR="00011E6D">
        <w:rPr>
          <w:bCs/>
          <w:color w:val="000000"/>
          <w:lang w:val="lt-LT"/>
        </w:rPr>
        <w:t xml:space="preserve">, </w:t>
      </w:r>
      <w:r w:rsidR="00C423F7">
        <w:rPr>
          <w:bCs/>
          <w:color w:val="000000"/>
          <w:lang w:val="lt-LT"/>
        </w:rPr>
        <w:t>taip pat administravimo kaštai</w:t>
      </w:r>
      <w:r w:rsidR="00752E4D">
        <w:rPr>
          <w:bCs/>
          <w:color w:val="000000"/>
          <w:lang w:val="lt-LT"/>
        </w:rPr>
        <w:t xml:space="preserve">. </w:t>
      </w:r>
      <w:r w:rsidR="00C423F7" w:rsidRPr="00C423F7">
        <w:rPr>
          <w:lang w:val="lt-LT"/>
        </w:rPr>
        <w:t xml:space="preserve">Kadangi nėra statistikos, kokie būtų prašymų išduoti licenciją kiekiai, </w:t>
      </w:r>
      <w:r w:rsidR="00A90F7E">
        <w:rPr>
          <w:lang w:val="lt-LT"/>
        </w:rPr>
        <w:t>šiuo metu</w:t>
      </w:r>
      <w:r w:rsidR="00C423F7" w:rsidRPr="00C423F7">
        <w:rPr>
          <w:lang w:val="lt-LT"/>
        </w:rPr>
        <w:t xml:space="preserve"> sunku </w:t>
      </w:r>
      <w:r w:rsidR="00A90F7E">
        <w:rPr>
          <w:lang w:val="lt-LT"/>
        </w:rPr>
        <w:t xml:space="preserve">tiksliai </w:t>
      </w:r>
      <w:r w:rsidR="00C423F7" w:rsidRPr="00C423F7">
        <w:rPr>
          <w:lang w:val="lt-LT"/>
        </w:rPr>
        <w:t>įvertinti</w:t>
      </w:r>
      <w:r w:rsidR="00011E6D">
        <w:rPr>
          <w:bCs/>
          <w:color w:val="000000"/>
          <w:lang w:val="lt-LT"/>
        </w:rPr>
        <w:t>,</w:t>
      </w:r>
      <w:r w:rsidR="00A90F7E">
        <w:rPr>
          <w:bCs/>
          <w:color w:val="000000"/>
          <w:lang w:val="lt-LT"/>
        </w:rPr>
        <w:t xml:space="preserve"> tačiau</w:t>
      </w:r>
      <w:r w:rsidR="00011E6D">
        <w:rPr>
          <w:bCs/>
          <w:color w:val="000000"/>
          <w:lang w:val="lt-LT"/>
        </w:rPr>
        <w:t xml:space="preserve"> manytina, būtų reikalingas etatas ar dalis etato</w:t>
      </w:r>
      <w:r w:rsidR="00D1326E">
        <w:rPr>
          <w:bCs/>
          <w:color w:val="000000"/>
          <w:lang w:val="lt-LT"/>
        </w:rPr>
        <w:t xml:space="preserve"> prašymams, išvadoms administruoti, ekspertų darbui </w:t>
      </w:r>
      <w:r w:rsidR="00A90F7E">
        <w:rPr>
          <w:bCs/>
          <w:color w:val="000000"/>
          <w:lang w:val="lt-LT"/>
        </w:rPr>
        <w:t xml:space="preserve">organizuoti ir </w:t>
      </w:r>
      <w:r w:rsidR="00D1326E">
        <w:rPr>
          <w:bCs/>
          <w:color w:val="000000"/>
          <w:lang w:val="lt-LT"/>
        </w:rPr>
        <w:t>koordinuoti</w:t>
      </w:r>
      <w:r w:rsidR="00011E6D">
        <w:rPr>
          <w:bCs/>
          <w:color w:val="000000"/>
          <w:lang w:val="lt-LT"/>
        </w:rPr>
        <w:t>.</w:t>
      </w:r>
      <w:r w:rsidR="00C423F7">
        <w:rPr>
          <w:bCs/>
          <w:color w:val="000000"/>
          <w:lang w:val="lt-LT"/>
        </w:rPr>
        <w:t xml:space="preserve"> </w:t>
      </w:r>
      <w:r w:rsidR="00752E4D">
        <w:rPr>
          <w:bCs/>
          <w:color w:val="000000"/>
          <w:lang w:val="lt-LT"/>
        </w:rPr>
        <w:t>Šios išlaidos Tarybos biudžete nėra numatytos</w:t>
      </w:r>
      <w:r w:rsidR="00E73B79">
        <w:rPr>
          <w:bCs/>
          <w:color w:val="000000"/>
          <w:lang w:val="lt-LT"/>
        </w:rPr>
        <w:t xml:space="preserve">, </w:t>
      </w:r>
      <w:r w:rsidR="00E73B79" w:rsidRPr="0041376E">
        <w:rPr>
          <w:bCs/>
          <w:color w:val="000000"/>
          <w:lang w:val="lt-LT"/>
        </w:rPr>
        <w:t>Taryba taip pat neturi žmonių išteklių Nutarimo projektu skiriamai funkcijai įgyvendinti</w:t>
      </w:r>
      <w:r w:rsidR="00752E4D" w:rsidRPr="0041376E">
        <w:rPr>
          <w:bCs/>
          <w:color w:val="000000"/>
          <w:lang w:val="lt-LT"/>
        </w:rPr>
        <w:t>.</w:t>
      </w:r>
      <w:bookmarkStart w:id="1" w:name="_GoBack"/>
      <w:bookmarkEnd w:id="1"/>
    </w:p>
    <w:p w:rsidR="005D7373" w:rsidRPr="009E1978" w:rsidRDefault="005D7373" w:rsidP="00D61C7F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rPr>
          <w:bCs/>
          <w:color w:val="000000"/>
          <w:lang w:val="lt-LT"/>
        </w:rPr>
      </w:pPr>
      <w:r w:rsidRPr="009E1978">
        <w:rPr>
          <w:bCs/>
          <w:color w:val="000000"/>
          <w:lang w:val="lt-LT"/>
        </w:rPr>
        <w:t xml:space="preserve">Atkreipiame dėmesį, kad patvirtinti, kad „mokslinio tyrimo finansavimas yra užtikrintas“ </w:t>
      </w:r>
      <w:r w:rsidR="0021027F">
        <w:rPr>
          <w:bCs/>
          <w:color w:val="000000"/>
          <w:lang w:val="lt-LT"/>
        </w:rPr>
        <w:t xml:space="preserve">(Nutarimo projekto </w:t>
      </w:r>
      <w:r w:rsidR="0021027F">
        <w:rPr>
          <w:bCs/>
          <w:color w:val="000000"/>
        </w:rPr>
        <w:t xml:space="preserve">6.2 p.) </w:t>
      </w:r>
      <w:r w:rsidR="009E1978" w:rsidRPr="009E1978">
        <w:rPr>
          <w:lang w:val="lt-LT"/>
        </w:rPr>
        <w:t>nėra aukščiau išvardintų institucijų kompetencija, jei jos nėra finansuojančiosios institucijos</w:t>
      </w:r>
      <w:r w:rsidRPr="009E1978">
        <w:rPr>
          <w:bCs/>
          <w:color w:val="000000"/>
          <w:lang w:val="lt-LT"/>
        </w:rPr>
        <w:t>. Taryba yra pagrindinė, tačiau ne vienintelė mokslinius tyrimus finansuojanti institucija.</w:t>
      </w:r>
    </w:p>
    <w:p w:rsidR="00F33D57" w:rsidRDefault="00F33D57">
      <w:pPr>
        <w:overflowPunct w:val="0"/>
        <w:autoSpaceDE w:val="0"/>
        <w:autoSpaceDN w:val="0"/>
        <w:adjustRightInd w:val="0"/>
        <w:rPr>
          <w:color w:val="000000"/>
          <w:lang w:val="lt-LT"/>
        </w:rPr>
      </w:pPr>
    </w:p>
    <w:p w:rsidR="00FF7383" w:rsidRDefault="00FF7383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6455BD" w:rsidRDefault="006455BD" w:rsidP="00B02EB5">
      <w:pPr>
        <w:tabs>
          <w:tab w:val="left" w:pos="7938"/>
        </w:tabs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E50F9D" w:rsidRDefault="006D67E3" w:rsidP="00B02EB5">
      <w:pPr>
        <w:tabs>
          <w:tab w:val="left" w:pos="7938"/>
        </w:tabs>
        <w:overflowPunct w:val="0"/>
        <w:autoSpaceDE w:val="0"/>
        <w:autoSpaceDN w:val="0"/>
        <w:adjustRightInd w:val="0"/>
        <w:rPr>
          <w:szCs w:val="20"/>
          <w:lang w:val="lt-LT"/>
        </w:rPr>
      </w:pPr>
      <w:r>
        <w:rPr>
          <w:szCs w:val="20"/>
          <w:lang w:val="lt-LT"/>
        </w:rPr>
        <w:t>Pirmininkas</w:t>
      </w:r>
      <w:r w:rsidR="00B02EB5">
        <w:rPr>
          <w:szCs w:val="20"/>
          <w:lang w:val="lt-LT"/>
        </w:rPr>
        <w:tab/>
      </w:r>
      <w:r>
        <w:rPr>
          <w:szCs w:val="20"/>
          <w:lang w:val="lt-LT"/>
        </w:rPr>
        <w:t>Romas Baronas</w:t>
      </w:r>
    </w:p>
    <w:p w:rsidR="00E742DB" w:rsidRDefault="00E742DB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F33D57" w:rsidRDefault="00F33D57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F33D57" w:rsidRDefault="00F33D57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F33D57" w:rsidRDefault="00F33D57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F33D57" w:rsidRDefault="00F33D57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F33D57" w:rsidRDefault="00F33D57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752E4D" w:rsidRDefault="00752E4D">
      <w:pPr>
        <w:overflowPunct w:val="0"/>
        <w:autoSpaceDE w:val="0"/>
        <w:autoSpaceDN w:val="0"/>
        <w:adjustRightInd w:val="0"/>
        <w:rPr>
          <w:szCs w:val="20"/>
          <w:lang w:val="lt-LT"/>
        </w:rPr>
      </w:pPr>
    </w:p>
    <w:p w:rsidR="003B503B" w:rsidRPr="008E0B50" w:rsidRDefault="003B503B" w:rsidP="003B503B">
      <w:pPr>
        <w:overflowPunct w:val="0"/>
        <w:autoSpaceDE w:val="0"/>
        <w:autoSpaceDN w:val="0"/>
        <w:adjustRightInd w:val="0"/>
        <w:rPr>
          <w:sz w:val="22"/>
          <w:szCs w:val="22"/>
          <w:lang w:val="lt-LT"/>
        </w:rPr>
      </w:pPr>
      <w:r w:rsidRPr="008E0B50">
        <w:rPr>
          <w:sz w:val="22"/>
          <w:szCs w:val="22"/>
          <w:lang w:val="lt-LT"/>
        </w:rPr>
        <w:t>Ramunė Rudokienė, tel. (+370) 676 17658, el. p. ramune.rudokiene@lmt.lt</w:t>
      </w:r>
    </w:p>
    <w:sectPr w:rsidR="003B503B" w:rsidRPr="008E0B50" w:rsidSect="00B8373B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567" w:footer="851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624" w:rsidRDefault="00BA4624">
      <w:r>
        <w:separator/>
      </w:r>
    </w:p>
  </w:endnote>
  <w:endnote w:type="continuationSeparator" w:id="0">
    <w:p w:rsidR="00BA4624" w:rsidRDefault="00BA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E70" w:rsidRDefault="00752E4D">
    <w:pPr>
      <w:pStyle w:val="Footer"/>
      <w:rPr>
        <w:lang w:val="en-US"/>
      </w:rPr>
    </w:pPr>
    <w:r>
      <w:rPr>
        <w:noProof/>
        <w:lang w:val="en-US"/>
      </w:rPr>
      <w:drawing>
        <wp:inline distT="0" distB="0" distL="0" distR="0" wp14:anchorId="11EA1140" wp14:editId="5BA47DB8">
          <wp:extent cx="1217623" cy="36000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MT_logo_30-meciui_LT-nespalvot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01" t="16007" b="15341"/>
                  <a:stretch/>
                </pic:blipFill>
                <pic:spPr bwMode="auto">
                  <a:xfrm>
                    <a:off x="0" y="0"/>
                    <a:ext cx="1217623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8CD" w:rsidRDefault="00881D9B" w:rsidP="000A78CD">
    <w:pPr>
      <w:pStyle w:val="Footer"/>
      <w:tabs>
        <w:tab w:val="left" w:pos="1985"/>
      </w:tabs>
    </w:pPr>
    <w:r>
      <w:rPr>
        <w:noProof/>
        <w:lang w:val="en-US"/>
      </w:rPr>
      <w:drawing>
        <wp:inline distT="0" distB="0" distL="0" distR="0" wp14:anchorId="4986BC1D" wp14:editId="5649F4C1">
          <wp:extent cx="1217623" cy="360000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MT_logo_30-meciui_LT-nespalvota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01" t="16007" b="15341"/>
                  <a:stretch/>
                </pic:blipFill>
                <pic:spPr bwMode="auto">
                  <a:xfrm>
                    <a:off x="0" y="0"/>
                    <a:ext cx="1217623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624" w:rsidRDefault="00BA4624">
      <w:r>
        <w:separator/>
      </w:r>
    </w:p>
  </w:footnote>
  <w:footnote w:type="continuationSeparator" w:id="0">
    <w:p w:rsidR="00BA4624" w:rsidRDefault="00BA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6CC" w:rsidRDefault="002136C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376E">
      <w:rPr>
        <w:noProof/>
      </w:rPr>
      <w:t>2</w:t>
    </w:r>
    <w:r>
      <w:rPr>
        <w:noProof/>
      </w:rPr>
      <w:fldChar w:fldCharType="end"/>
    </w:r>
  </w:p>
  <w:p w:rsidR="002136CC" w:rsidRDefault="00213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25A7"/>
    <w:multiLevelType w:val="hybridMultilevel"/>
    <w:tmpl w:val="408CBBBA"/>
    <w:lvl w:ilvl="0" w:tplc="70FE3B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F66A32"/>
    <w:multiLevelType w:val="hybridMultilevel"/>
    <w:tmpl w:val="B68ED3AA"/>
    <w:lvl w:ilvl="0" w:tplc="04090005">
      <w:start w:val="1"/>
      <w:numFmt w:val="bullet"/>
      <w:lvlText w:val=""/>
      <w:lvlJc w:val="left"/>
      <w:pPr>
        <w:ind w:left="-6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2" w15:restartNumberingAfterBreak="0">
    <w:nsid w:val="66726D2D"/>
    <w:multiLevelType w:val="hybridMultilevel"/>
    <w:tmpl w:val="F15A9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63A3B"/>
    <w:multiLevelType w:val="hybridMultilevel"/>
    <w:tmpl w:val="773E00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50"/>
    <w:rsid w:val="000001F6"/>
    <w:rsid w:val="000034FE"/>
    <w:rsid w:val="000118BD"/>
    <w:rsid w:val="00011E6D"/>
    <w:rsid w:val="000169EF"/>
    <w:rsid w:val="000371E4"/>
    <w:rsid w:val="00074608"/>
    <w:rsid w:val="00082159"/>
    <w:rsid w:val="0009283B"/>
    <w:rsid w:val="000942BF"/>
    <w:rsid w:val="000A1FAA"/>
    <w:rsid w:val="000A78CD"/>
    <w:rsid w:val="000B1CD4"/>
    <w:rsid w:val="000B4903"/>
    <w:rsid w:val="000C34E0"/>
    <w:rsid w:val="000E11D6"/>
    <w:rsid w:val="00130706"/>
    <w:rsid w:val="001711CC"/>
    <w:rsid w:val="00172C0A"/>
    <w:rsid w:val="00180C93"/>
    <w:rsid w:val="001A2BB6"/>
    <w:rsid w:val="001C3B65"/>
    <w:rsid w:val="001D0E10"/>
    <w:rsid w:val="00204412"/>
    <w:rsid w:val="00204A94"/>
    <w:rsid w:val="0021027F"/>
    <w:rsid w:val="002136CC"/>
    <w:rsid w:val="002709A4"/>
    <w:rsid w:val="002775C3"/>
    <w:rsid w:val="00277B48"/>
    <w:rsid w:val="002B536E"/>
    <w:rsid w:val="003012C5"/>
    <w:rsid w:val="00303132"/>
    <w:rsid w:val="00313E70"/>
    <w:rsid w:val="003218C1"/>
    <w:rsid w:val="00332B66"/>
    <w:rsid w:val="00367225"/>
    <w:rsid w:val="00377075"/>
    <w:rsid w:val="003B2358"/>
    <w:rsid w:val="003B4EF8"/>
    <w:rsid w:val="003B503B"/>
    <w:rsid w:val="003D17C8"/>
    <w:rsid w:val="003E791E"/>
    <w:rsid w:val="003F686F"/>
    <w:rsid w:val="004045BF"/>
    <w:rsid w:val="0041376E"/>
    <w:rsid w:val="004437C2"/>
    <w:rsid w:val="004A0BC2"/>
    <w:rsid w:val="004B16A0"/>
    <w:rsid w:val="004B5698"/>
    <w:rsid w:val="004D7114"/>
    <w:rsid w:val="004F7913"/>
    <w:rsid w:val="00500D97"/>
    <w:rsid w:val="00527DB6"/>
    <w:rsid w:val="005517E9"/>
    <w:rsid w:val="005866C0"/>
    <w:rsid w:val="005C1ABC"/>
    <w:rsid w:val="005D10E0"/>
    <w:rsid w:val="005D7373"/>
    <w:rsid w:val="00615FF5"/>
    <w:rsid w:val="006365EA"/>
    <w:rsid w:val="006455BD"/>
    <w:rsid w:val="00651D4F"/>
    <w:rsid w:val="00664BBF"/>
    <w:rsid w:val="00692603"/>
    <w:rsid w:val="006A3788"/>
    <w:rsid w:val="006B2C3E"/>
    <w:rsid w:val="006C2732"/>
    <w:rsid w:val="006D67E3"/>
    <w:rsid w:val="006F642C"/>
    <w:rsid w:val="00704898"/>
    <w:rsid w:val="00721F50"/>
    <w:rsid w:val="00736E7B"/>
    <w:rsid w:val="00752E4D"/>
    <w:rsid w:val="00761AD7"/>
    <w:rsid w:val="007F1AE9"/>
    <w:rsid w:val="00805C81"/>
    <w:rsid w:val="0081199B"/>
    <w:rsid w:val="008261A3"/>
    <w:rsid w:val="008409FB"/>
    <w:rsid w:val="008469FF"/>
    <w:rsid w:val="00860859"/>
    <w:rsid w:val="00881D9B"/>
    <w:rsid w:val="008A54D2"/>
    <w:rsid w:val="008D33F2"/>
    <w:rsid w:val="008F1D17"/>
    <w:rsid w:val="009233A2"/>
    <w:rsid w:val="00926BA5"/>
    <w:rsid w:val="00945D79"/>
    <w:rsid w:val="00963109"/>
    <w:rsid w:val="00981F0F"/>
    <w:rsid w:val="009973E7"/>
    <w:rsid w:val="009E1978"/>
    <w:rsid w:val="009E4D64"/>
    <w:rsid w:val="00A500C7"/>
    <w:rsid w:val="00A90F7E"/>
    <w:rsid w:val="00A9628E"/>
    <w:rsid w:val="00AC4580"/>
    <w:rsid w:val="00AC782C"/>
    <w:rsid w:val="00B02EB5"/>
    <w:rsid w:val="00B16716"/>
    <w:rsid w:val="00B16C55"/>
    <w:rsid w:val="00B20168"/>
    <w:rsid w:val="00B8373B"/>
    <w:rsid w:val="00B85C6B"/>
    <w:rsid w:val="00BA4624"/>
    <w:rsid w:val="00BF734C"/>
    <w:rsid w:val="00C008D2"/>
    <w:rsid w:val="00C0634A"/>
    <w:rsid w:val="00C07330"/>
    <w:rsid w:val="00C16B60"/>
    <w:rsid w:val="00C423F7"/>
    <w:rsid w:val="00CA2E1F"/>
    <w:rsid w:val="00CB4446"/>
    <w:rsid w:val="00CD0337"/>
    <w:rsid w:val="00CD5F5A"/>
    <w:rsid w:val="00CE4EC1"/>
    <w:rsid w:val="00CE7EC5"/>
    <w:rsid w:val="00CF2EE1"/>
    <w:rsid w:val="00CF534D"/>
    <w:rsid w:val="00CF6566"/>
    <w:rsid w:val="00D05DDA"/>
    <w:rsid w:val="00D07E97"/>
    <w:rsid w:val="00D1326E"/>
    <w:rsid w:val="00D244DA"/>
    <w:rsid w:val="00D42CD2"/>
    <w:rsid w:val="00D54924"/>
    <w:rsid w:val="00D6159D"/>
    <w:rsid w:val="00D61C7F"/>
    <w:rsid w:val="00D77CFE"/>
    <w:rsid w:val="00D86539"/>
    <w:rsid w:val="00D92EB5"/>
    <w:rsid w:val="00DB3E08"/>
    <w:rsid w:val="00DD5C59"/>
    <w:rsid w:val="00E139A8"/>
    <w:rsid w:val="00E3420F"/>
    <w:rsid w:val="00E35991"/>
    <w:rsid w:val="00E50F9D"/>
    <w:rsid w:val="00E54ADA"/>
    <w:rsid w:val="00E73B79"/>
    <w:rsid w:val="00E742DB"/>
    <w:rsid w:val="00EA4731"/>
    <w:rsid w:val="00EC2C76"/>
    <w:rsid w:val="00ED248B"/>
    <w:rsid w:val="00EE6A87"/>
    <w:rsid w:val="00F10AD5"/>
    <w:rsid w:val="00F33D57"/>
    <w:rsid w:val="00F3408B"/>
    <w:rsid w:val="00F73050"/>
    <w:rsid w:val="00F83EB7"/>
    <w:rsid w:val="00FB4094"/>
    <w:rsid w:val="00FF1733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D396BB5-1C3B-475A-9F8A-B84380CA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706"/>
    <w:pPr>
      <w:spacing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rFonts w:eastAsia="Arial Unicode MS"/>
      <w:b/>
      <w:bCs/>
      <w:color w:val="00000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  <w:lang w:val="lt-LT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</w:pPr>
    <w:rPr>
      <w:b/>
      <w:bCs/>
      <w:szCs w:val="20"/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paragraph" w:styleId="BodyText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Subtitle">
    <w:name w:val="Subtitle"/>
    <w:basedOn w:val="Normal"/>
    <w:qFormat/>
    <w:pPr>
      <w:jc w:val="center"/>
    </w:pPr>
    <w:rPr>
      <w:b/>
      <w:bCs/>
      <w:caps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firstLine="1208"/>
      <w:jc w:val="both"/>
    </w:pPr>
    <w:rPr>
      <w:lang w:val="lt-LT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lt-L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</w:rPr>
  </w:style>
  <w:style w:type="table" w:styleId="TableGrid">
    <w:name w:val="Table Grid"/>
    <w:basedOn w:val="TableNormal"/>
    <w:rsid w:val="00E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3420F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E3420F"/>
    <w:rPr>
      <w:sz w:val="24"/>
      <w:lang w:eastAsia="en-US"/>
    </w:rPr>
  </w:style>
  <w:style w:type="character" w:styleId="CommentReference">
    <w:name w:val="annotation reference"/>
    <w:uiPriority w:val="99"/>
    <w:rsid w:val="00CD0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D0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0337"/>
  </w:style>
  <w:style w:type="paragraph" w:styleId="CommentSubject">
    <w:name w:val="annotation subject"/>
    <w:basedOn w:val="CommentText"/>
    <w:next w:val="CommentText"/>
    <w:link w:val="CommentSubjectChar"/>
    <w:rsid w:val="00CD0337"/>
    <w:rPr>
      <w:b/>
      <w:bCs/>
    </w:rPr>
  </w:style>
  <w:style w:type="character" w:customStyle="1" w:styleId="CommentSubjectChar">
    <w:name w:val="Comment Subject Char"/>
    <w:link w:val="CommentSubject"/>
    <w:rsid w:val="00CD0337"/>
    <w:rPr>
      <w:b/>
      <w:bCs/>
    </w:rPr>
  </w:style>
  <w:style w:type="paragraph" w:styleId="BalloonText">
    <w:name w:val="Balloon Text"/>
    <w:basedOn w:val="Normal"/>
    <w:link w:val="BalloonTextChar"/>
    <w:rsid w:val="00CD03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D0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64\Blankas_VYTIS_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9DF61-9978-48E2-A4E3-774548153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Blankas_VYTIS_Rastas.dot</Template>
  <TotalTime>255</TotalTime>
  <Pages>2</Pages>
  <Words>557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Jolanta Kairė | Lietuvos mokslo taryba</cp:lastModifiedBy>
  <cp:revision>4</cp:revision>
  <cp:lastPrinted>2006-05-23T14:14:00Z</cp:lastPrinted>
  <dcterms:created xsi:type="dcterms:W3CDTF">2021-01-21T15:58:00Z</dcterms:created>
  <dcterms:modified xsi:type="dcterms:W3CDTF">2021-06-28T05:25:00Z</dcterms:modified>
</cp:coreProperties>
</file>