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4F3" w:rsidRPr="00740BDA" w:rsidRDefault="006554F3" w:rsidP="007B79E3">
      <w:pPr>
        <w:jc w:val="center"/>
        <w:rPr>
          <w:rFonts w:eastAsia="Calibri"/>
          <w:b/>
          <w:color w:val="000000"/>
          <w:bdr w:val="none" w:sz="0" w:space="0" w:color="auto" w:frame="1"/>
          <w:lang w:val="lt-LT" w:eastAsia="lt-LT"/>
        </w:rPr>
      </w:pPr>
      <w:r w:rsidRPr="00740BDA">
        <w:rPr>
          <w:rFonts w:eastAsia="Calibri"/>
          <w:b/>
          <w:color w:val="000000"/>
          <w:bdr w:val="none" w:sz="0" w:space="0" w:color="auto" w:frame="1"/>
          <w:lang w:val="lt-LT" w:eastAsia="lt-LT"/>
        </w:rPr>
        <w:t>NEEILINIS EUROPOS VADOVŲ TARYBOS POSĖDIS 2021 M. GEGUŽĖS 24 – 25 D.:</w:t>
      </w:r>
    </w:p>
    <w:p w:rsidR="006554F3" w:rsidRPr="00740BDA" w:rsidRDefault="006554F3" w:rsidP="007B79E3">
      <w:pPr>
        <w:jc w:val="center"/>
        <w:rPr>
          <w:rFonts w:eastAsia="Calibri"/>
          <w:b/>
          <w:color w:val="000000"/>
          <w:bdr w:val="none" w:sz="0" w:space="0" w:color="auto" w:frame="1"/>
          <w:lang w:val="lt-LT" w:eastAsia="lt-LT"/>
        </w:rPr>
      </w:pPr>
      <w:r w:rsidRPr="00740BDA">
        <w:rPr>
          <w:rFonts w:eastAsia="Calibri"/>
          <w:b/>
          <w:color w:val="000000"/>
          <w:bdr w:val="none" w:sz="0" w:space="0" w:color="auto" w:frame="1"/>
          <w:lang w:val="lt-LT" w:eastAsia="lt-LT"/>
        </w:rPr>
        <w:t>LIETUVOS POZICIJOS</w:t>
      </w:r>
    </w:p>
    <w:p w:rsidR="006554F3" w:rsidRPr="00740BDA" w:rsidRDefault="006554F3" w:rsidP="007B79E3">
      <w:pPr>
        <w:pStyle w:val="BodyA"/>
        <w:jc w:val="center"/>
        <w:rPr>
          <w:rFonts w:eastAsia="Calibri" w:hAnsi="Times New Roman" w:cs="Times New Roman"/>
          <w:b/>
          <w:lang w:val="lt-LT" w:eastAsia="lt-LT"/>
        </w:rPr>
      </w:pPr>
    </w:p>
    <w:p w:rsidR="006554F3" w:rsidRPr="00740BDA" w:rsidRDefault="006554F3" w:rsidP="007B79E3">
      <w:pPr>
        <w:pStyle w:val="BodyA"/>
        <w:rPr>
          <w:rFonts w:eastAsia="Calibri" w:hAnsi="Times New Roman" w:cs="Times New Roman"/>
          <w:b/>
          <w:lang w:val="lt-LT" w:eastAsia="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A96AAB" w:rsidRPr="00662ABE" w:rsidTr="00335338">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6AAB" w:rsidRPr="00740BDA" w:rsidRDefault="00A96AAB" w:rsidP="007B79E3">
            <w:pPr>
              <w:pStyle w:val="BodyA"/>
              <w:numPr>
                <w:ilvl w:val="0"/>
                <w:numId w:val="10"/>
              </w:numPr>
              <w:rPr>
                <w:rFonts w:hAnsi="Times New Roman" w:cs="Times New Roman"/>
                <w:b/>
                <w:color w:val="auto"/>
                <w:lang w:val="lt-LT"/>
              </w:rPr>
            </w:pPr>
            <w:r w:rsidRPr="00740BDA">
              <w:rPr>
                <w:rFonts w:hAnsi="Times New Roman" w:cs="Times New Roman"/>
                <w:b/>
                <w:color w:val="auto"/>
                <w:lang w:val="lt-LT"/>
              </w:rPr>
              <w:t xml:space="preserve">Klimato kaita </w:t>
            </w:r>
          </w:p>
          <w:p w:rsidR="000B3FE9" w:rsidRPr="00740BDA" w:rsidRDefault="00A96AAB" w:rsidP="007B79E3">
            <w:pPr>
              <w:ind w:firstLine="767"/>
              <w:jc w:val="both"/>
              <w:rPr>
                <w:rFonts w:eastAsia="Times New Roman"/>
                <w:lang w:val="lt-LT"/>
              </w:rPr>
            </w:pPr>
            <w:r w:rsidRPr="00740BDA">
              <w:rPr>
                <w:b/>
                <w:lang w:val="lt-LT"/>
              </w:rPr>
              <w:t xml:space="preserve">Klausimo esmė. </w:t>
            </w:r>
            <w:r w:rsidR="000B3FE9" w:rsidRPr="00740BDA">
              <w:rPr>
                <w:rFonts w:eastAsia="Times New Roman"/>
                <w:lang w:val="lt-LT"/>
              </w:rPr>
              <w:t>2020 m. gruodžio EVT, patvirtindama  padidintą ES 2030 m. emisijų  mažinimo tikslą (mažiausiai 55 proc.), nusprendė, kad EVT grįš prie šio klausimo ir patvirtins papildomas gaires, prieš EK pateikiant savo  pasiūlymus („</w:t>
            </w:r>
            <w:r w:rsidR="000B3FE9" w:rsidRPr="00740BDA">
              <w:rPr>
                <w:rFonts w:eastAsia="Times New Roman"/>
                <w:i/>
                <w:lang w:val="lt-LT"/>
              </w:rPr>
              <w:t>Fit for 55</w:t>
            </w:r>
            <w:r w:rsidR="000B3FE9" w:rsidRPr="00740BDA">
              <w:rPr>
                <w:rFonts w:eastAsia="Times New Roman"/>
                <w:lang w:val="lt-LT"/>
              </w:rPr>
              <w:t>“ t</w:t>
            </w:r>
            <w:r w:rsidR="005423F2">
              <w:rPr>
                <w:rFonts w:eastAsia="Times New Roman"/>
                <w:lang w:val="lt-LT"/>
              </w:rPr>
              <w:t>eisės aktų pakeitimų pasiūlymai</w:t>
            </w:r>
            <w:r w:rsidR="000B3FE9" w:rsidRPr="00740BDA">
              <w:rPr>
                <w:rFonts w:eastAsia="Times New Roman"/>
                <w:lang w:val="lt-LT"/>
              </w:rPr>
              <w:t>). Šiame kontekste bus sprendžiama dėl Pastangų pasidalijimo reglamento ateities. Š. m. balandžio 20 d.  triloge su Europos Parlamentu sutarta dėl Europos klimato reglamento (Klimato įstatymas), kuris teisiškai įpareigoja ES  pasiekti neutralumo klimatui tikslą iki 2050 m., siekti neigiamų šiltnamio efektą sukeliančių dujų (ŠESD) tikslo po 2050 m., o iki 2030 m. ŠESD emisijas sumažinti mažiausiai 55 % palyginus su 1990 metais. Svarbu, kad gegužės 25 d. EVT pateiktų papildomas gaires dėl ES „</w:t>
            </w:r>
            <w:r w:rsidR="000B3FE9" w:rsidRPr="00740BDA">
              <w:rPr>
                <w:rFonts w:eastAsia="Times New Roman"/>
                <w:i/>
                <w:lang w:val="lt-LT"/>
              </w:rPr>
              <w:t>Fit for 55</w:t>
            </w:r>
            <w:r w:rsidR="000B3FE9" w:rsidRPr="00740BDA">
              <w:rPr>
                <w:rFonts w:eastAsia="Times New Roman"/>
                <w:lang w:val="lt-LT"/>
              </w:rPr>
              <w:t xml:space="preserve">“ teisės aktų pakeitimų ir ES valstybių narių įsipareigojimų (ŠESD mažinimo tikslų) pasidalinimo ES apyvartinių taršos leidimų </w:t>
            </w:r>
            <w:r w:rsidR="00784452" w:rsidRPr="00740BDA">
              <w:rPr>
                <w:rFonts w:eastAsia="Times New Roman"/>
                <w:lang w:val="lt-LT"/>
              </w:rPr>
              <w:t>(ATL) prekybos sistemoje</w:t>
            </w:r>
            <w:r w:rsidR="000B3FE9" w:rsidRPr="00740BDA">
              <w:rPr>
                <w:rFonts w:eastAsia="Times New Roman"/>
                <w:lang w:val="lt-LT"/>
              </w:rPr>
              <w:t xml:space="preserve"> </w:t>
            </w:r>
            <w:r w:rsidR="00784452" w:rsidRPr="00740BDA">
              <w:rPr>
                <w:rFonts w:eastAsia="Times New Roman"/>
                <w:lang w:val="lt-LT"/>
              </w:rPr>
              <w:t xml:space="preserve">(ATLPS) </w:t>
            </w:r>
            <w:r w:rsidR="000B3FE9" w:rsidRPr="00740BDA">
              <w:rPr>
                <w:rFonts w:eastAsia="Times New Roman"/>
                <w:lang w:val="lt-LT"/>
              </w:rPr>
              <w:t>nedalyvaujančiuose sektoriuose pagal Pastangų pasidalinimo reglamentą.</w:t>
            </w:r>
          </w:p>
          <w:p w:rsidR="00A96AAB" w:rsidRPr="00740BDA" w:rsidRDefault="00A96AAB" w:rsidP="007B79E3">
            <w:pPr>
              <w:pStyle w:val="NormalWeb"/>
              <w:spacing w:before="0" w:beforeAutospacing="0" w:after="0" w:afterAutospacing="0"/>
              <w:ind w:firstLine="767"/>
              <w:jc w:val="both"/>
              <w:rPr>
                <w:b/>
              </w:rPr>
            </w:pPr>
          </w:p>
          <w:p w:rsidR="000B3FE9" w:rsidRPr="00740BDA" w:rsidRDefault="000B3FE9" w:rsidP="007B79E3">
            <w:pPr>
              <w:ind w:firstLine="767"/>
              <w:jc w:val="both"/>
              <w:rPr>
                <w:lang w:val="lt-LT"/>
              </w:rPr>
            </w:pPr>
            <w:r w:rsidRPr="00740BDA">
              <w:rPr>
                <w:rFonts w:eastAsia="Times New Roman"/>
                <w:b/>
                <w:lang w:val="lt-LT"/>
              </w:rPr>
              <w:t xml:space="preserve">Lietuvos pozicija. </w:t>
            </w:r>
            <w:r w:rsidRPr="00740BDA">
              <w:rPr>
                <w:lang w:val="lt-LT"/>
              </w:rPr>
              <w:t>Klimato kaitos klausimu Lietuvai svarbiausia, kad gegužės 25 d.  būtų patvirtintos gairės dėl padidinto ES 2030  m. ŠESD mažinimo  tikslo (mažiausiai 55 proc.) įgyvendinimo, laikantis požiūrio, kad tęsiamas esamų  ES klimato kaitos ir energetikos 2030 m. tikslų  įgyvendinimas tik didesniais užmojais, išsaugant galiojančias  įsipareigojimų pasidalinimo tarp</w:t>
            </w:r>
            <w:r w:rsidR="009A3DA5" w:rsidRPr="00740BDA">
              <w:rPr>
                <w:lang w:val="lt-LT"/>
              </w:rPr>
              <w:t xml:space="preserve"> VN taisykles ir pagrindinį BVP 1 </w:t>
            </w:r>
            <w:r w:rsidRPr="00740BDA">
              <w:rPr>
                <w:lang w:val="lt-LT"/>
              </w:rPr>
              <w:t xml:space="preserve">gyventojui </w:t>
            </w:r>
            <w:r w:rsidR="009A3DA5" w:rsidRPr="00740BDA">
              <w:rPr>
                <w:lang w:val="lt-LT"/>
              </w:rPr>
              <w:t xml:space="preserve">rinkos kainomis </w:t>
            </w:r>
            <w:r w:rsidRPr="00740BDA">
              <w:rPr>
                <w:lang w:val="lt-LT"/>
              </w:rPr>
              <w:t>kriterijų. Tai užtikrintų nuoseklumą ir stabilumą jau vykstančiam klimato kaitos tikslų įgyvendinimui.</w:t>
            </w:r>
          </w:p>
          <w:p w:rsidR="00784452" w:rsidRPr="00740BDA" w:rsidRDefault="00784452"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rsidR="00095646" w:rsidRPr="00740BDA" w:rsidRDefault="00D52504"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40BDA">
              <w:rPr>
                <w:lang w:val="lt-LT"/>
              </w:rPr>
              <w:t>Palaikome ES lyderystę tarptautinėje klimato politikoje siekiant suvaldyti klimato kaitos grėsmes ir užtikrinti visų šalių pastangas. Pritariame 55% ŠESD mažinimo tikslui, patvirtintam 2020 m. gruodžio EVT sprendimu.</w:t>
            </w:r>
            <w:r w:rsidR="00784452" w:rsidRPr="00740BDA">
              <w:rPr>
                <w:rFonts w:eastAsiaTheme="minorHAnsi"/>
                <w:bdr w:val="none" w:sz="0" w:space="0" w:color="auto"/>
                <w:lang w:val="lt-LT"/>
              </w:rPr>
              <w:t xml:space="preserve"> </w:t>
            </w:r>
            <w:r w:rsidRPr="00740BDA">
              <w:rPr>
                <w:lang w:val="lt-LT"/>
              </w:rPr>
              <w:t xml:space="preserve">Lietuva siekia pereiti prie klimatui neutralios ekonomikos iki 2050 m. ir palaikys ES lygio instrumentus skatinančius </w:t>
            </w:r>
            <w:r w:rsidR="00784452" w:rsidRPr="00740BDA">
              <w:rPr>
                <w:lang w:val="lt-LT"/>
              </w:rPr>
              <w:t xml:space="preserve">atsinaujinančių energijos </w:t>
            </w:r>
            <w:r w:rsidR="0007038A">
              <w:rPr>
                <w:lang w:val="lt-LT"/>
              </w:rPr>
              <w:t>išteklių</w:t>
            </w:r>
            <w:r w:rsidR="00784452" w:rsidRPr="00740BDA">
              <w:rPr>
                <w:lang w:val="lt-LT"/>
              </w:rPr>
              <w:t xml:space="preserve"> (</w:t>
            </w:r>
            <w:r w:rsidRPr="00740BDA">
              <w:rPr>
                <w:lang w:val="lt-LT"/>
              </w:rPr>
              <w:t>AEI</w:t>
            </w:r>
            <w:r w:rsidR="00784452" w:rsidRPr="00740BDA">
              <w:rPr>
                <w:lang w:val="lt-LT"/>
              </w:rPr>
              <w:t>)</w:t>
            </w:r>
            <w:r w:rsidRPr="00740BDA">
              <w:rPr>
                <w:lang w:val="lt-LT"/>
              </w:rPr>
              <w:t xml:space="preserve"> plėtrą, iškastinio kuro importo mažinimą, konkurencingos ir tvarios ES ekonomikos kūrimą.</w:t>
            </w:r>
          </w:p>
          <w:p w:rsidR="00784452" w:rsidRPr="00740BDA" w:rsidRDefault="00784452" w:rsidP="007B79E3">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dr w:val="none" w:sz="0" w:space="0" w:color="auto"/>
                <w:lang w:val="lt-LT"/>
              </w:rPr>
            </w:pPr>
          </w:p>
          <w:p w:rsidR="00095646" w:rsidRPr="00740BDA" w:rsidRDefault="00D52504"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40BDA">
              <w:rPr>
                <w:lang w:val="lt-LT"/>
              </w:rPr>
              <w:t>Būtina pastangas ES viduje pasidalinti sąžiningai, išlaikant ankstesnę pastangų pasidalijimo str</w:t>
            </w:r>
            <w:r w:rsidR="00095646" w:rsidRPr="00740BDA">
              <w:rPr>
                <w:lang w:val="lt-LT"/>
              </w:rPr>
              <w:t>uktūrą ir esminius kriterijus</w:t>
            </w:r>
            <w:r w:rsidR="00784452" w:rsidRPr="00740BDA">
              <w:rPr>
                <w:lang w:val="lt-LT"/>
              </w:rPr>
              <w:t xml:space="preserve"> – </w:t>
            </w:r>
            <w:r w:rsidRPr="00740BDA">
              <w:rPr>
                <w:lang w:val="lt-LT"/>
              </w:rPr>
              <w:t xml:space="preserve">BVP / </w:t>
            </w:r>
            <w:r w:rsidR="00784452" w:rsidRPr="00740BDA">
              <w:rPr>
                <w:lang w:val="lt-LT"/>
              </w:rPr>
              <w:t xml:space="preserve">1 </w:t>
            </w:r>
            <w:r w:rsidRPr="00740BDA">
              <w:rPr>
                <w:lang w:val="lt-LT"/>
              </w:rPr>
              <w:t>gyventojui rinkos kainomis, vertinti nacionalines aplinkybes (energetinis skurdas, ŠESD išmetimų struktūra,</w:t>
            </w:r>
            <w:r w:rsidR="00095646" w:rsidRPr="00740BDA">
              <w:rPr>
                <w:lang w:val="lt-LT"/>
              </w:rPr>
              <w:t xml:space="preserve"> populiacijos mažėjimas, kt.)</w:t>
            </w:r>
          </w:p>
          <w:p w:rsidR="00784452" w:rsidRPr="00740BDA" w:rsidRDefault="00784452"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rsidR="00784452" w:rsidRDefault="00D00114"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D00114">
              <w:rPr>
                <w:lang w:val="lt-LT"/>
              </w:rPr>
              <w:t>Pasisakome už tai, kad pastangų tarp valstybių narių pasiskirstymas būtų grindžiamas dabar galiojančiame Reglamente dėl pastangų pasidalinimo nustatytais kriterijais. Todėl nepritariame kaštų efektyvumo kriterijaus įtraukimui, kuris neadekvačiai padidintų įsipareigojimus valstybėms</w:t>
            </w:r>
            <w:r w:rsidR="00AA6FB2">
              <w:rPr>
                <w:lang w:val="lt-LT"/>
              </w:rPr>
              <w:t xml:space="preserve">, </w:t>
            </w:r>
            <w:r w:rsidR="00AA6FB2" w:rsidRPr="00DF64FB">
              <w:rPr>
                <w:lang w:val="lt-LT"/>
              </w:rPr>
              <w:t>kurios dėl staigios transformacijos patirs didelius socio-ekonominius iššūkius, ypač transporto ir žemės ūkio sektoriuose</w:t>
            </w:r>
            <w:r>
              <w:rPr>
                <w:lang w:val="lt-LT"/>
              </w:rPr>
              <w:t>.</w:t>
            </w:r>
          </w:p>
          <w:p w:rsidR="00D00114" w:rsidRPr="00740BDA" w:rsidRDefault="00D00114"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rsidR="00D52504" w:rsidRPr="00740BDA" w:rsidRDefault="00D52504"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40BDA">
              <w:rPr>
                <w:lang w:val="lt-LT"/>
              </w:rPr>
              <w:t>Didesniems įpareigojimams reikalingos papildomos įgalinančios priemonės, įvardinant energetikos, tr</w:t>
            </w:r>
            <w:r w:rsidR="00095646" w:rsidRPr="00740BDA">
              <w:rPr>
                <w:lang w:val="lt-LT"/>
              </w:rPr>
              <w:t>ansporto sektorių prioritetus.</w:t>
            </w:r>
            <w:r w:rsidR="00784452" w:rsidRPr="00740BDA">
              <w:rPr>
                <w:lang w:val="lt-LT"/>
              </w:rPr>
              <w:t xml:space="preserve"> Siūlytina </w:t>
            </w:r>
            <w:r w:rsidRPr="00740BDA">
              <w:rPr>
                <w:lang w:val="lt-LT"/>
              </w:rPr>
              <w:t>didinti dabartinių fondų api</w:t>
            </w:r>
            <w:r w:rsidR="00784452" w:rsidRPr="00740BDA">
              <w:rPr>
                <w:lang w:val="lt-LT"/>
              </w:rPr>
              <w:t>mtis</w:t>
            </w:r>
            <w:r w:rsidR="00095646" w:rsidRPr="00740BDA">
              <w:rPr>
                <w:lang w:val="lt-LT"/>
              </w:rPr>
              <w:t xml:space="preserve"> </w:t>
            </w:r>
            <w:r w:rsidR="00784452" w:rsidRPr="00740BDA">
              <w:rPr>
                <w:lang w:val="lt-LT"/>
              </w:rPr>
              <w:t>(</w:t>
            </w:r>
            <w:r w:rsidR="00095646" w:rsidRPr="00740BDA">
              <w:rPr>
                <w:lang w:val="lt-LT"/>
              </w:rPr>
              <w:t>Modernizavimo, Inovacijų</w:t>
            </w:r>
            <w:r w:rsidR="00784452" w:rsidRPr="00740BDA">
              <w:rPr>
                <w:lang w:val="lt-LT"/>
              </w:rPr>
              <w:t xml:space="preserve">), </w:t>
            </w:r>
            <w:r w:rsidRPr="00740BDA">
              <w:rPr>
                <w:lang w:val="lt-LT"/>
              </w:rPr>
              <w:t>įkurti pa</w:t>
            </w:r>
            <w:r w:rsidR="00095646" w:rsidRPr="00740BDA">
              <w:rPr>
                <w:lang w:val="lt-LT"/>
              </w:rPr>
              <w:t>pildomą fondą ne-ATL sektoriams</w:t>
            </w:r>
            <w:r w:rsidR="00784452" w:rsidRPr="00740BDA">
              <w:rPr>
                <w:lang w:val="lt-LT"/>
              </w:rPr>
              <w:t xml:space="preserve">, </w:t>
            </w:r>
            <w:r w:rsidRPr="00740BDA">
              <w:rPr>
                <w:lang w:val="lt-LT"/>
              </w:rPr>
              <w:t>išlaikyti solidarumo ATL, užtikrinti ATL aukcionų pajamų grąžinimą nacionalin</w:t>
            </w:r>
            <w:r w:rsidR="00095646" w:rsidRPr="00740BDA">
              <w:rPr>
                <w:lang w:val="lt-LT"/>
              </w:rPr>
              <w:t xml:space="preserve">ės klimato politikos </w:t>
            </w:r>
            <w:r w:rsidR="00095646" w:rsidRPr="00740BDA">
              <w:rPr>
                <w:lang w:val="lt-LT"/>
              </w:rPr>
              <w:lastRenderedPageBreak/>
              <w:t>priemonėms</w:t>
            </w:r>
            <w:r w:rsidR="00E95877" w:rsidRPr="00740BDA">
              <w:rPr>
                <w:lang w:val="lt-LT"/>
              </w:rPr>
              <w:t xml:space="preserve">, </w:t>
            </w:r>
            <w:r w:rsidRPr="00740BDA">
              <w:rPr>
                <w:lang w:val="lt-LT"/>
              </w:rPr>
              <w:t xml:space="preserve">didinti lankstumo priemones metinių </w:t>
            </w:r>
            <w:r w:rsidR="00095646" w:rsidRPr="00740BDA">
              <w:rPr>
                <w:lang w:val="lt-LT"/>
              </w:rPr>
              <w:t>ŠESD kvotos vienetų perkėlimui</w:t>
            </w:r>
            <w:r w:rsidR="00E95877" w:rsidRPr="00740BDA">
              <w:rPr>
                <w:lang w:val="lt-LT"/>
              </w:rPr>
              <w:t xml:space="preserve">, </w:t>
            </w:r>
            <w:r w:rsidRPr="00740BDA">
              <w:rPr>
                <w:lang w:val="lt-LT"/>
              </w:rPr>
              <w:t xml:space="preserve">didinti </w:t>
            </w:r>
            <w:r w:rsidR="00F97E75" w:rsidRPr="00740BDA">
              <w:rPr>
                <w:lang w:val="lt-LT"/>
              </w:rPr>
              <w:t>žemėnaudos</w:t>
            </w:r>
            <w:r w:rsidR="00D226A7" w:rsidRPr="00740BDA">
              <w:rPr>
                <w:lang w:val="lt-LT"/>
              </w:rPr>
              <w:t>, žemė</w:t>
            </w:r>
            <w:r w:rsidR="00F97E75" w:rsidRPr="00740BDA">
              <w:rPr>
                <w:lang w:val="lt-LT"/>
              </w:rPr>
              <w:t>naudos keitimo</w:t>
            </w:r>
            <w:r w:rsidR="0055775F" w:rsidRPr="00740BDA">
              <w:rPr>
                <w:lang w:val="lt-LT"/>
              </w:rPr>
              <w:t xml:space="preserve"> </w:t>
            </w:r>
            <w:r w:rsidR="00D226A7" w:rsidRPr="00740BDA">
              <w:rPr>
                <w:lang w:val="lt-LT"/>
              </w:rPr>
              <w:t>ir miškininkystės (</w:t>
            </w:r>
            <w:r w:rsidRPr="00740BDA">
              <w:rPr>
                <w:lang w:val="lt-LT"/>
              </w:rPr>
              <w:t>LULUCF</w:t>
            </w:r>
            <w:r w:rsidR="00D226A7" w:rsidRPr="00740BDA">
              <w:rPr>
                <w:lang w:val="lt-LT"/>
              </w:rPr>
              <w:t>)</w:t>
            </w:r>
            <w:r w:rsidRPr="00740BDA">
              <w:rPr>
                <w:lang w:val="lt-LT"/>
              </w:rPr>
              <w:t xml:space="preserve"> sektoriaus kreditų panaudojimo galimybes šalims, kuriose didelė ž</w:t>
            </w:r>
            <w:r w:rsidR="00095646" w:rsidRPr="00740BDA">
              <w:rPr>
                <w:lang w:val="lt-LT"/>
              </w:rPr>
              <w:t>emės ūkio sektoriaus ŠESD dalis</w:t>
            </w:r>
            <w:r w:rsidR="00E95877" w:rsidRPr="00740BDA">
              <w:rPr>
                <w:lang w:val="lt-LT"/>
              </w:rPr>
              <w:t xml:space="preserve">, </w:t>
            </w:r>
            <w:r w:rsidRPr="00740BDA">
              <w:rPr>
                <w:lang w:val="lt-LT"/>
              </w:rPr>
              <w:t xml:space="preserve">peržiūrėti valstybės pagalbos taisykles, įgalinant pagalbą </w:t>
            </w:r>
            <w:r w:rsidR="00095646" w:rsidRPr="00740BDA">
              <w:rPr>
                <w:lang w:val="lt-LT"/>
              </w:rPr>
              <w:t>žaliajai ekonomik</w:t>
            </w:r>
            <w:r w:rsidR="00E95877" w:rsidRPr="00740BDA">
              <w:rPr>
                <w:lang w:val="lt-LT"/>
              </w:rPr>
              <w:t>os pertvarkai. R</w:t>
            </w:r>
            <w:r w:rsidRPr="00740BDA">
              <w:rPr>
                <w:lang w:val="lt-LT"/>
              </w:rPr>
              <w:t>eikalinga energijos apmokestinimo peržiūra ES lygiu, apsaugant pažeidžiamiausius</w:t>
            </w:r>
          </w:p>
          <w:p w:rsidR="00E95877" w:rsidRPr="00740BDA" w:rsidRDefault="00E95877"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rsidR="00D52504" w:rsidRPr="00740BDA" w:rsidRDefault="00D52504" w:rsidP="007B79E3">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740BDA">
              <w:rPr>
                <w:lang w:val="lt-LT"/>
              </w:rPr>
              <w:t>Pritariame didinamam AEI tikslui ES lygiu, kartu nustatant nacionalinius įsipareigojimus, o didesnio EE tikslo gali būti siekiama tik įvertinus kaštų efektyvumo principą ne tik ES, bet ir nacionaliniu lygiu.</w:t>
            </w:r>
            <w:r w:rsidR="00E95877" w:rsidRPr="00740BDA">
              <w:rPr>
                <w:lang w:val="lt-LT"/>
              </w:rPr>
              <w:t xml:space="preserve"> </w:t>
            </w:r>
            <w:r w:rsidRPr="00740BDA">
              <w:rPr>
                <w:lang w:val="lt-LT"/>
              </w:rPr>
              <w:t>Skeptiška pozicija dėl ATLPS sektorių plėtros, išskyrus jūrinio transporto ir aviacijos sritis.</w:t>
            </w:r>
            <w:r w:rsidR="00E95877" w:rsidRPr="00740BDA">
              <w:rPr>
                <w:lang w:val="lt-LT"/>
              </w:rPr>
              <w:t xml:space="preserve"> </w:t>
            </w:r>
            <w:r w:rsidRPr="00740BDA">
              <w:rPr>
                <w:lang w:val="lt-LT"/>
              </w:rPr>
              <w:t xml:space="preserve">Reikalinga kuo greičiau sukurti </w:t>
            </w:r>
            <w:r w:rsidR="00E95877" w:rsidRPr="00740BDA">
              <w:rPr>
                <w:lang w:val="lt-LT"/>
              </w:rPr>
              <w:t>CO2 pasienio apmokestinimo mechanizmą (</w:t>
            </w:r>
            <w:r w:rsidRPr="00740BDA">
              <w:rPr>
                <w:lang w:val="lt-LT"/>
              </w:rPr>
              <w:t>CBAM</w:t>
            </w:r>
            <w:r w:rsidR="00E95877" w:rsidRPr="00740BDA">
              <w:rPr>
                <w:lang w:val="lt-LT"/>
              </w:rPr>
              <w:t>)</w:t>
            </w:r>
            <w:r w:rsidRPr="00740BDA">
              <w:rPr>
                <w:lang w:val="lt-LT"/>
              </w:rPr>
              <w:t xml:space="preserve">, prioritetą skiriant trąšų, cemento sektoriams bei elektros energijos importui iš trečiųjų šalių gamintojų, kurie nesilaiko aukščiausių tarptautinių aplinkos ir branduolinės saugos standartų. </w:t>
            </w:r>
          </w:p>
          <w:p w:rsidR="00D52504" w:rsidRPr="00740BDA" w:rsidRDefault="00D52504" w:rsidP="007B79E3">
            <w:pPr>
              <w:jc w:val="both"/>
              <w:rPr>
                <w:rFonts w:eastAsia="Times New Roman"/>
                <w:b/>
                <w:lang w:val="lt-LT"/>
              </w:rPr>
            </w:pPr>
          </w:p>
          <w:p w:rsidR="005B087A" w:rsidRPr="00740BDA" w:rsidRDefault="005B087A" w:rsidP="007B79E3">
            <w:pPr>
              <w:pStyle w:val="NormalWeb"/>
              <w:spacing w:before="0" w:beforeAutospacing="0" w:after="0" w:afterAutospacing="0"/>
              <w:jc w:val="both"/>
            </w:pPr>
            <w:r w:rsidRPr="00740BDA">
              <w:t>Pagrindinės nuostatos, dėl kurių būtina pasisakyti:</w:t>
            </w:r>
          </w:p>
          <w:p w:rsidR="00A97C79" w:rsidRPr="00A97C79" w:rsidRDefault="00A97C79" w:rsidP="007B79E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97C79">
              <w:rPr>
                <w:lang w:val="lt-LT"/>
              </w:rPr>
              <w:t>Lietuva siekia pereiti prie klimatui neutralios ekonomikos iki 2050 m. ir tvirtai remia ES lyderystę tarptautinėje klimato politikoje, siekiant suvaldyti klimato kaitos grėsme</w:t>
            </w:r>
            <w:r w:rsidR="0007038A">
              <w:rPr>
                <w:lang w:val="lt-LT"/>
              </w:rPr>
              <w:t>s ir kartu sukurti konkurencingą</w:t>
            </w:r>
            <w:r w:rsidRPr="00A97C79">
              <w:rPr>
                <w:lang w:val="lt-LT"/>
              </w:rPr>
              <w:t xml:space="preserve"> ir tvarią ateities ekonomiką. </w:t>
            </w:r>
          </w:p>
          <w:p w:rsidR="00A97C79" w:rsidRPr="00A97C79" w:rsidRDefault="00A97C79" w:rsidP="007B79E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97C79">
              <w:rPr>
                <w:lang w:val="lt-LT"/>
              </w:rPr>
              <w:t xml:space="preserve">Kad pasiektume mūsų bendrą tikslą, būtina pastangas ES viduje pasidalinti sąžiningai, išlaikant dabartinę pastangų pasidalijimo struktūrą, grindžiamą BVP / gyventojui rinkos kainomis kriterijumi. </w:t>
            </w:r>
          </w:p>
          <w:p w:rsidR="00A97C79" w:rsidRPr="00A97C79" w:rsidRDefault="00A97C79" w:rsidP="007B79E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97C79">
              <w:rPr>
                <w:lang w:val="lt-LT"/>
              </w:rPr>
              <w:t>Nepalaikome kaštų efektyvumo principo įtraukimo, kadangi tai sąlygotų neadekvatų įsipareigojimų augimą valstybėms, patiriančioms didžiausius socio-ekonominius iššūkius transporto ir žemės ūkio sektoriuose.</w:t>
            </w:r>
          </w:p>
          <w:p w:rsidR="00A96AAB" w:rsidRDefault="00A97C79" w:rsidP="007B79E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A97C79">
              <w:rPr>
                <w:lang w:val="lt-LT"/>
              </w:rPr>
              <w:t xml:space="preserve">Būtina papildoma investicinė pagalba (Modernizacijos fondo didinimas) ir lankstumai, atsižvelgiantys į konkrečią nacionalinę patirtį ir patiriamus iššūkius: įdėtas pastangas nuo 1990 m.,  depopuliaciją, energetinį skurdą,  </w:t>
            </w:r>
            <w:r>
              <w:rPr>
                <w:lang w:val="lt-LT"/>
              </w:rPr>
              <w:t>žemės ūkio</w:t>
            </w:r>
            <w:r w:rsidRPr="00A97C79">
              <w:rPr>
                <w:lang w:val="lt-LT"/>
              </w:rPr>
              <w:t xml:space="preserve"> ŠESD specifiką.</w:t>
            </w:r>
          </w:p>
          <w:p w:rsidR="00DF64FB" w:rsidRPr="00AA4CEE" w:rsidRDefault="00662ABE" w:rsidP="0021562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62ABE">
              <w:rPr>
                <w:lang w:val="lt-LT"/>
              </w:rPr>
              <w:t>Reikalinga kuo greičiau sukurti pasienio anglies</w:t>
            </w:r>
            <w:r>
              <w:rPr>
                <w:lang w:val="lt-LT"/>
              </w:rPr>
              <w:t xml:space="preserve"> dioksido korekcijos mechanizmą</w:t>
            </w:r>
            <w:r w:rsidRPr="00662ABE">
              <w:rPr>
                <w:lang w:val="lt-LT"/>
              </w:rPr>
              <w:t xml:space="preserve">, prioritetą skiriant trąšų, cemento sektoriams bei elektros energijos importui iš trečiųjų šalių gamintojų, kurie nesilaiko aukščiausių tarptautinių aplinkos ir branduolinės saugos standartų. </w:t>
            </w:r>
            <w:r w:rsidR="00215622">
              <w:rPr>
                <w:lang w:val="lt-LT"/>
              </w:rPr>
              <w:t>Šiame kontekste</w:t>
            </w:r>
            <w:bookmarkStart w:id="0" w:name="_GoBack"/>
            <w:bookmarkEnd w:id="0"/>
            <w:r w:rsidRPr="00662ABE">
              <w:rPr>
                <w:lang w:val="lt-LT"/>
              </w:rPr>
              <w:t xml:space="preserve"> priminti būtinybę įgyvendinti 2020 m. gruodžio 10 – 11 d. EVT išvadų 41 punkte numatytą pavedimą dėl priemonių užkirsti kelią komerciniam elektros importui iš trečiųjų valstybių branduolinės energetikos objektų, neatitinkančių ES pripažįstamo saugos lygio</w:t>
            </w:r>
          </w:p>
        </w:tc>
      </w:tr>
    </w:tbl>
    <w:p w:rsidR="00A96AAB" w:rsidRPr="00740BDA" w:rsidRDefault="00A96AAB" w:rsidP="007B79E3">
      <w:pPr>
        <w:rPr>
          <w:lang w:val="lt-LT"/>
        </w:rPr>
      </w:pPr>
    </w:p>
    <w:p w:rsidR="00A96AAB" w:rsidRPr="00740BDA" w:rsidRDefault="00A96AAB" w:rsidP="007B79E3">
      <w:pPr>
        <w:pStyle w:val="BodyA"/>
        <w:rPr>
          <w:rFonts w:eastAsia="Calibri" w:hAnsi="Times New Roman" w:cs="Times New Roman"/>
          <w:b/>
          <w:lang w:val="lt-LT" w:eastAsia="lt-LT"/>
        </w:rPr>
      </w:pPr>
    </w:p>
    <w:p w:rsidR="00A96AAB" w:rsidRPr="00740BDA" w:rsidRDefault="00A96AAB" w:rsidP="007B79E3">
      <w:pPr>
        <w:pStyle w:val="BodyA"/>
        <w:rPr>
          <w:rFonts w:eastAsia="Calibri" w:hAnsi="Times New Roman" w:cs="Times New Roman"/>
          <w:b/>
          <w:lang w:val="lt-LT" w:eastAsia="lt-LT"/>
        </w:rPr>
      </w:pPr>
    </w:p>
    <w:p w:rsidR="006554F3" w:rsidRPr="00740BDA" w:rsidRDefault="006554F3" w:rsidP="007B79E3">
      <w:pPr>
        <w:pStyle w:val="BodyA"/>
        <w:jc w:val="center"/>
        <w:rPr>
          <w:rFonts w:hAnsi="Times New Roman" w:cs="Times New Roman"/>
          <w:color w:val="auto"/>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554F3" w:rsidRPr="00662ABE" w:rsidTr="00335338">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54F3" w:rsidRPr="00740BDA" w:rsidRDefault="006554F3" w:rsidP="007B79E3">
            <w:pPr>
              <w:pStyle w:val="BodyA"/>
              <w:numPr>
                <w:ilvl w:val="0"/>
                <w:numId w:val="9"/>
              </w:numPr>
              <w:rPr>
                <w:rFonts w:hAnsi="Times New Roman" w:cs="Times New Roman"/>
                <w:color w:val="auto"/>
                <w:lang w:val="lt-LT"/>
              </w:rPr>
            </w:pPr>
            <w:r w:rsidRPr="00740BDA">
              <w:rPr>
                <w:rFonts w:hAnsi="Times New Roman" w:cs="Times New Roman"/>
                <w:b/>
                <w:color w:val="auto"/>
                <w:lang w:val="lt-LT"/>
              </w:rPr>
              <w:t>Koordinuotas ES atsakas į COVID-19 pandemiją</w:t>
            </w:r>
            <w:r w:rsidRPr="00740BDA">
              <w:rPr>
                <w:rFonts w:hAnsi="Times New Roman" w:cs="Times New Roman"/>
                <w:color w:val="auto"/>
                <w:lang w:val="lt-LT"/>
              </w:rPr>
              <w:t xml:space="preserve"> (</w:t>
            </w:r>
            <w:r w:rsidRPr="00740BDA">
              <w:rPr>
                <w:rFonts w:hAnsi="Times New Roman" w:cs="Times New Roman"/>
                <w:i/>
                <w:color w:val="auto"/>
                <w:lang w:val="lt-LT"/>
              </w:rPr>
              <w:t>esamos padėties aptarimas</w:t>
            </w:r>
            <w:r w:rsidRPr="00740BDA">
              <w:rPr>
                <w:rFonts w:hAnsi="Times New Roman" w:cs="Times New Roman"/>
                <w:color w:val="auto"/>
                <w:lang w:val="lt-LT"/>
              </w:rPr>
              <w:t>)</w:t>
            </w:r>
          </w:p>
          <w:p w:rsidR="006554F3" w:rsidRPr="00740BDA" w:rsidRDefault="006554F3" w:rsidP="007B79E3">
            <w:pPr>
              <w:pStyle w:val="BodyA"/>
              <w:rPr>
                <w:rFonts w:hAnsi="Times New Roman" w:cs="Times New Roman"/>
                <w:color w:val="auto"/>
                <w:lang w:val="lt-LT"/>
              </w:rPr>
            </w:pPr>
          </w:p>
          <w:p w:rsidR="00B82484" w:rsidRPr="00740BDA" w:rsidRDefault="00B82484" w:rsidP="007B79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r w:rsidRPr="00740BDA">
              <w:rPr>
                <w:rFonts w:hAnsi="Times New Roman" w:cs="Times New Roman"/>
                <w:b/>
                <w:lang w:val="lt-LT"/>
              </w:rPr>
              <w:t>Klausimo esmė.</w:t>
            </w:r>
            <w:r w:rsidRPr="00740BDA">
              <w:rPr>
                <w:rFonts w:hAnsi="Times New Roman" w:cs="Times New Roman"/>
                <w:lang w:val="lt-LT"/>
              </w:rPr>
              <w:t xml:space="preserve"> Klausimas dėl koordinuoto ES atsako į COVID-19 pandemiją aptariamas kiekviename ES vadovų susitikime. Gegužės 7-8 d. vykusiame Porto vadovų susitikime COVID-19 klausimu daugiausia dėmesio skirta vakcinos gamybai ir paskirstymui, pažangai kuriant skaitmeninį žaliąjį pažymėjimą, pagalbai trečiosioms šalims. </w:t>
            </w:r>
          </w:p>
          <w:p w:rsidR="00B82484" w:rsidRPr="00740BDA" w:rsidRDefault="00B82484" w:rsidP="007B79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r w:rsidRPr="00740BDA">
              <w:rPr>
                <w:rFonts w:hAnsi="Times New Roman" w:cs="Times New Roman"/>
                <w:lang w:val="lt-LT"/>
              </w:rPr>
              <w:lastRenderedPageBreak/>
              <w:t>Aktualių klausimų sąraše ir toliau išlieka sklandus vakcinos tiekimas (taip pat ir 2022-2023 m., EK jau pasirašė sutartį su Pfizer&amp;BioNTech dėl 1,8 mlrd. dozių tiekimo 2022-2023 m.; artimiausiu metu tikimasi pasirašyti sutartį su Novavax, deramasi su Moderna ir Valneva).</w:t>
            </w:r>
          </w:p>
          <w:p w:rsidR="001138F2" w:rsidRDefault="004441E0" w:rsidP="007B79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r>
              <w:rPr>
                <w:rFonts w:hAnsi="Times New Roman" w:cs="Times New Roman"/>
                <w:lang w:val="lt-LT"/>
              </w:rPr>
              <w:t>Gegužės 12 d. EK</w:t>
            </w:r>
            <w:r w:rsidR="001138F2" w:rsidRPr="001138F2">
              <w:rPr>
                <w:rFonts w:hAnsi="Times New Roman" w:cs="Times New Roman"/>
                <w:lang w:val="lt-LT"/>
              </w:rPr>
              <w:t xml:space="preserve"> duomenimis, ES jau pristatyta 213,6 mln. dozių, iki gegužės 17 d. – 237 mln. dozių. Pateikti 945 eksporto autorizacijos prašymai, iš jų atmestas tik vienas; eksportuota 204 mln. dozių į 45 valstybes (daugiausiai – į Japoniją, JK, Kanadą, Meksiką, Šveicariją). 100 gyventojų ES tenka 38,2 suskiepytos dozės. Pirma doze paskiepyta beveik 121 mln. ES gyventojų, dvi dozes gavo 48 mln. gyventojų.</w:t>
            </w:r>
          </w:p>
          <w:p w:rsidR="00B82484" w:rsidRPr="00740BDA" w:rsidRDefault="00B82484" w:rsidP="007B79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r w:rsidRPr="00740BDA">
              <w:rPr>
                <w:rFonts w:hAnsi="Times New Roman" w:cs="Times New Roman"/>
                <w:lang w:val="lt-LT"/>
              </w:rPr>
              <w:t>Taip pat artėjama prie tarpinstitucinio susitarimo dėl skaitmeninio žaliojo pažymėjimo (išlaikomas tikslas jį pradėti naudoti antroje birželio mėn. pusėje), siekiama susitarti ir dėl koordinuoto požiūrio į nebūtinas keliones iš trečiųjų šalių, siekiant įsileisti pilnai paskiepytus asmenis. ES stiprina savo globalų vaidmenį, ne tik prisidėdama prie COVAX priemonės, bet ir teikdama paramą vakcina ir dvišaliu pagrindu per ES dalijimosi vakcina mechanizmą.</w:t>
            </w:r>
          </w:p>
          <w:p w:rsidR="00B82484" w:rsidRPr="00740BDA" w:rsidRDefault="00B82484" w:rsidP="007B79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p>
          <w:p w:rsidR="00B82484" w:rsidRPr="00740BDA" w:rsidRDefault="00B82484" w:rsidP="007B79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hAnsi="Times New Roman" w:cs="Times New Roman"/>
                <w:lang w:val="lt-LT"/>
              </w:rPr>
            </w:pPr>
            <w:r w:rsidRPr="00740BDA">
              <w:rPr>
                <w:b/>
                <w:lang w:val="lt-LT"/>
              </w:rPr>
              <w:t>Lietuvos pozicija.</w:t>
            </w:r>
            <w:r w:rsidRPr="00740BDA">
              <w:rPr>
                <w:lang w:val="lt-LT"/>
              </w:rPr>
              <w:t xml:space="preserve"> </w:t>
            </w:r>
            <w:r w:rsidRPr="00740BDA">
              <w:rPr>
                <w:rFonts w:hAnsi="Times New Roman" w:cs="Times New Roman"/>
                <w:lang w:val="lt-LT"/>
              </w:rPr>
              <w:t xml:space="preserve">Lietuva nuosekliai pabrėžia būtinybę užtikrinti stiprų ir koordinuotą ES atsaką į pandemiją. Tai būtina ir švelninant ribojančias priemones. Remiame EK pastangas didinti vakcinų gamybos apimtis ir užtikrinti reguliarų tiekimą (taip pat ir 2022-2023 m., sveikiname susitarimą su Pfizer/ BioNTech dėl ilgalaikio vakcinos tiekimo). </w:t>
            </w:r>
          </w:p>
          <w:p w:rsidR="00B82484" w:rsidRPr="00740BDA" w:rsidRDefault="00B82484" w:rsidP="007B79E3">
            <w:pPr>
              <w:pStyle w:val="NormalWeb"/>
              <w:spacing w:before="0" w:beforeAutospacing="0" w:after="0" w:afterAutospacing="0"/>
              <w:jc w:val="both"/>
            </w:pPr>
            <w:r w:rsidRPr="00740BDA">
              <w:t xml:space="preserve">Pabrėžiame patvirtintų Tarybos rekomendacijų dėl koordinuoto požiūrio į laisvo judėjimo ribojimus ES viduje ir dėl nebūtinų kelionių iš trečiųjų šalių ribojimo įgyvendinimo svarbą, kartu užtikrinant Bendrosios rinkos ir Šengeno erdvės sklandų veikimą. </w:t>
            </w:r>
          </w:p>
          <w:p w:rsidR="00B82484" w:rsidRPr="00740BDA" w:rsidRDefault="00B82484" w:rsidP="007B79E3">
            <w:pPr>
              <w:pStyle w:val="NormalWeb"/>
              <w:spacing w:before="0" w:beforeAutospacing="0" w:after="0" w:afterAutospacing="0"/>
              <w:jc w:val="both"/>
            </w:pPr>
            <w:r w:rsidRPr="00740BDA">
              <w:t>Remiame kuo spartesnį „skaitmeninio žaliojo pažymėjimo“ vystymą, tikimės, kad tarpinstitucinis susitarimas bus pasiektas laiku, kad pažymėjimas pradėtų veikti jau birželį. Pritariame, kad šiame pažymėjime būtų informacija ne tik apie skiepijimą, bet ir persirgimą COVID-19 liga bei atliktus testus ir gautus neigiamus rezultatus. Išlaikome poziciją, kad turi būti pripažįstami tik sertifikatai, patvirtinantys skiepijimą Europos vaistų agentūros patvirtinta vakcina, todėl valstybės narės neturi būti įpareigotos savo teritorijoje pripažinti kitų, Europos vaistų agentūros neautorizuotų, vakcinų. Taip pat remiame diskusijas dėl galimybės pripažinti trečiųjų šalių išduodamus pažymėjimus (užtikrinant jų saugumą, taip pat abipusiškumą ES piliečių atžvilgiu), siekiant palengvinti keliones į ES šalių, kuriose skiepijama sparčiausiai ir kuriose epidemiologinė situac</w:t>
            </w:r>
            <w:r w:rsidR="00102177">
              <w:t>ija sparčiai gerėja, piliečiams</w:t>
            </w:r>
            <w:r w:rsidRPr="00740BDA">
              <w:t xml:space="preserve">. </w:t>
            </w:r>
          </w:p>
          <w:p w:rsidR="00B82484" w:rsidRPr="00740BDA" w:rsidRDefault="00B82484" w:rsidP="007B79E3">
            <w:pPr>
              <w:pStyle w:val="NormalWeb"/>
              <w:spacing w:before="0" w:beforeAutospacing="0" w:after="0" w:afterAutospacing="0"/>
              <w:jc w:val="both"/>
            </w:pPr>
            <w:r w:rsidRPr="00740BDA">
              <w:t>Skiepijimui ES įsibėgėjant, remiame didesnes ES globalias pastangas kontroliuoti pandemiją ir demonstruoti solidarumą su nuo pandemijos itin kenčiančiomis valstybėmis (Indijos pavyzdys). Lietuva nuosekliai kelia būtinybės padėti Rytų partnerystės valstybės klausimą, Rodydama lyderystę, Lietuva prisijungė prie šių pastangų ir priėmė sprendimą iki III ketv. pab. skirti 200 tūkst. vakcinos dozių Rytų partnerystės valstybėms. Labai svarbu, kad prie šios iniciatyvos prisi</w:t>
            </w:r>
            <w:r w:rsidR="005B4ADC" w:rsidRPr="00740BDA">
              <w:t>jungtų ir kitos valstybės narės</w:t>
            </w:r>
            <w:r w:rsidRPr="00740BDA">
              <w:t xml:space="preserve">. </w:t>
            </w:r>
            <w:r w:rsidR="005B4ADC" w:rsidRPr="00740BDA">
              <w:t>Tikimės ES institucijų koordinuotos pagalbos pristatant vakcinas per jau sukurtus dalijimosi vakcinomis mechanizmus.</w:t>
            </w:r>
          </w:p>
          <w:p w:rsidR="00B82484" w:rsidRPr="00740BDA" w:rsidRDefault="00B82484" w:rsidP="007B79E3">
            <w:pPr>
              <w:pStyle w:val="NormalWeb"/>
              <w:spacing w:before="0" w:beforeAutospacing="0" w:after="0" w:afterAutospacing="0"/>
              <w:jc w:val="both"/>
            </w:pPr>
            <w:r w:rsidRPr="00740BDA">
              <w:t xml:space="preserve">ES, būdama didžiausia pasaulyje vakcinos eksportuotoja ir donorė, turi stiprinti savo bendrą komunikaciją ir matomumą pasaulyje, ypač atsižvelgiant į Rusijos ir Kinijos vykdomą „vakcinos diplomatiją“. </w:t>
            </w:r>
          </w:p>
          <w:p w:rsidR="00B82484" w:rsidRPr="00740BDA" w:rsidRDefault="00B82484" w:rsidP="007B79E3">
            <w:pPr>
              <w:pStyle w:val="NormalWeb"/>
              <w:spacing w:before="0" w:beforeAutospacing="0" w:after="0" w:afterAutospacing="0"/>
              <w:jc w:val="both"/>
            </w:pPr>
            <w:r w:rsidRPr="00740BDA">
              <w:t xml:space="preserve">Pagrindinės nuostatos, dėl kurių </w:t>
            </w:r>
            <w:r w:rsidR="00E3692B">
              <w:t>siūlytina</w:t>
            </w:r>
            <w:r w:rsidRPr="00740BDA">
              <w:t xml:space="preserve"> pasisakyti:</w:t>
            </w:r>
          </w:p>
          <w:p w:rsidR="00B82484" w:rsidRPr="00740BDA" w:rsidRDefault="00B82484" w:rsidP="007B79E3">
            <w:pPr>
              <w:pStyle w:val="NormalWeb"/>
              <w:numPr>
                <w:ilvl w:val="0"/>
                <w:numId w:val="5"/>
              </w:numPr>
              <w:spacing w:before="0" w:beforeAutospacing="0" w:after="0" w:afterAutospacing="0"/>
              <w:jc w:val="both"/>
              <w:rPr>
                <w:color w:val="000000"/>
              </w:rPr>
            </w:pPr>
            <w:r w:rsidRPr="00740BDA">
              <w:t xml:space="preserve">išsakyti paramą tolesnėms bendroms ir koordinuotoms ES ir valstybių narių pastangoms suvaldyti pandemiją, įskaitant ir ribojančių priemonių švelninimą (greitas susitarimas dėl skaitmeninio žaliojo pažymėjimo bei dėl paskiepytų trečiųjų šalių piliečių atvykimo į ES). </w:t>
            </w:r>
          </w:p>
          <w:p w:rsidR="00B82484" w:rsidRPr="00740BDA" w:rsidRDefault="00B82484" w:rsidP="007B79E3">
            <w:pPr>
              <w:pStyle w:val="NormalWeb"/>
              <w:numPr>
                <w:ilvl w:val="0"/>
                <w:numId w:val="5"/>
              </w:numPr>
              <w:spacing w:before="0" w:beforeAutospacing="0" w:after="0" w:afterAutospacing="0"/>
              <w:jc w:val="both"/>
              <w:rPr>
                <w:color w:val="000000"/>
              </w:rPr>
            </w:pPr>
            <w:r w:rsidRPr="00740BDA">
              <w:lastRenderedPageBreak/>
              <w:t xml:space="preserve">Spartėjant skiepijimui ES, o vakcinos tiekimui tampant vis labiau nuspėjamu ir sklandžiu, pasisakyme siūlytume didesnį dėmesį skirti globaliam ES vaidmeniui pasaulyje, pabrėžiant būtinybę spartinti ES dalijimosi vakcina mechanizmo veikimą ir stiprinti ES komunikaciją bei matomumą. </w:t>
            </w:r>
          </w:p>
          <w:p w:rsidR="00B82484" w:rsidRPr="00740BDA" w:rsidRDefault="00B82484" w:rsidP="007B79E3">
            <w:pPr>
              <w:pStyle w:val="NormalWeb"/>
              <w:numPr>
                <w:ilvl w:val="0"/>
                <w:numId w:val="5"/>
              </w:numPr>
              <w:spacing w:before="0" w:beforeAutospacing="0" w:after="0" w:afterAutospacing="0"/>
              <w:jc w:val="both"/>
              <w:rPr>
                <w:color w:val="000000"/>
              </w:rPr>
            </w:pPr>
            <w:r w:rsidRPr="00740BDA">
              <w:t xml:space="preserve">Lietuva priėmė sprendimą iki III ketv. pabaigos Rytų partnerystės valstybėms skirti 200 tūkst. vakcinų dozių, todėl labai svarbu pakviesti kitas valstybes nares prisijungti prie šios iniciatyvos. </w:t>
            </w:r>
          </w:p>
          <w:p w:rsidR="006554F3" w:rsidRPr="00740BDA" w:rsidRDefault="006554F3" w:rsidP="007B79E3">
            <w:pPr>
              <w:pStyle w:val="BodyA"/>
              <w:jc w:val="both"/>
              <w:rPr>
                <w:rFonts w:hAnsi="Times New Roman" w:cs="Times New Roman"/>
                <w:lang w:val="lt-LT"/>
              </w:rPr>
            </w:pPr>
          </w:p>
        </w:tc>
      </w:tr>
    </w:tbl>
    <w:p w:rsidR="006554F3" w:rsidRPr="00740BDA" w:rsidRDefault="006554F3" w:rsidP="007B79E3">
      <w:pPr>
        <w:rPr>
          <w:lang w:val="lt-LT"/>
        </w:rPr>
      </w:pPr>
    </w:p>
    <w:p w:rsidR="006554F3" w:rsidRPr="00740BDA" w:rsidRDefault="006554F3" w:rsidP="007B79E3">
      <w:pPr>
        <w:rPr>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554F3" w:rsidRPr="00662ABE" w:rsidTr="00335338">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54F3" w:rsidRPr="00740BDA" w:rsidRDefault="001C6FBA" w:rsidP="007B79E3">
            <w:pPr>
              <w:pStyle w:val="BodyA"/>
              <w:jc w:val="both"/>
              <w:rPr>
                <w:rFonts w:hAnsi="Times New Roman" w:cs="Times New Roman"/>
                <w:b/>
                <w:color w:val="auto"/>
                <w:lang w:val="lt-LT"/>
              </w:rPr>
            </w:pPr>
            <w:r w:rsidRPr="00740BDA">
              <w:rPr>
                <w:rFonts w:hAnsi="Times New Roman" w:cs="Times New Roman"/>
                <w:b/>
                <w:color w:val="auto"/>
                <w:lang w:val="lt-LT"/>
              </w:rPr>
              <w:t>4</w:t>
            </w:r>
            <w:r w:rsidR="002B5760" w:rsidRPr="00740BDA">
              <w:rPr>
                <w:rFonts w:hAnsi="Times New Roman" w:cs="Times New Roman"/>
                <w:b/>
                <w:color w:val="auto"/>
                <w:lang w:val="lt-LT"/>
              </w:rPr>
              <w:t>.</w:t>
            </w:r>
            <w:r w:rsidRPr="00740BDA">
              <w:rPr>
                <w:rFonts w:hAnsi="Times New Roman" w:cs="Times New Roman"/>
                <w:b/>
                <w:color w:val="auto"/>
                <w:lang w:val="lt-LT"/>
              </w:rPr>
              <w:t xml:space="preserve"> </w:t>
            </w:r>
            <w:r w:rsidR="002B5760" w:rsidRPr="00740BDA">
              <w:rPr>
                <w:rFonts w:hAnsi="Times New Roman" w:cs="Times New Roman"/>
                <w:b/>
                <w:color w:val="auto"/>
                <w:lang w:val="lt-LT"/>
              </w:rPr>
              <w:t>S</w:t>
            </w:r>
            <w:r w:rsidRPr="00740BDA">
              <w:rPr>
                <w:rFonts w:hAnsi="Times New Roman" w:cs="Times New Roman"/>
                <w:b/>
                <w:color w:val="auto"/>
                <w:lang w:val="lt-LT"/>
              </w:rPr>
              <w:t xml:space="preserve">antykiai su Jungtine Karalyste (Prekybos ir bendradarbiavimo susitarimo įgyvendinimas) </w:t>
            </w:r>
          </w:p>
          <w:p w:rsidR="006554F3" w:rsidRPr="00740BDA" w:rsidRDefault="006554F3" w:rsidP="007B79E3">
            <w:pPr>
              <w:pStyle w:val="BodyA"/>
              <w:jc w:val="both"/>
              <w:rPr>
                <w:rFonts w:hAnsi="Times New Roman" w:cs="Times New Roman"/>
                <w:b/>
                <w:color w:val="auto"/>
                <w:lang w:val="lt-LT"/>
              </w:rPr>
            </w:pPr>
          </w:p>
          <w:p w:rsidR="006554F3" w:rsidRPr="00740BDA" w:rsidRDefault="006554F3" w:rsidP="007B79E3">
            <w:pPr>
              <w:ind w:firstLine="767"/>
              <w:jc w:val="both"/>
              <w:rPr>
                <w:rFonts w:eastAsia="Times New Roman"/>
                <w:lang w:val="lt-LT"/>
              </w:rPr>
            </w:pPr>
            <w:r w:rsidRPr="00740BDA">
              <w:rPr>
                <w:rFonts w:eastAsia="Times New Roman"/>
                <w:b/>
                <w:lang w:val="lt-LT"/>
              </w:rPr>
              <w:t>Klausimo esmė.</w:t>
            </w:r>
            <w:r w:rsidRPr="00740BDA">
              <w:rPr>
                <w:rFonts w:eastAsia="Times New Roman"/>
                <w:lang w:val="lt-LT"/>
              </w:rPr>
              <w:t xml:space="preserve"> </w:t>
            </w:r>
            <w:r w:rsidR="001538F4" w:rsidRPr="00740BDA">
              <w:rPr>
                <w:rFonts w:eastAsia="Times New Roman"/>
                <w:lang w:val="lt-LT"/>
              </w:rPr>
              <w:t xml:space="preserve">Klausimas į EVT darbotvarkę įtrauktas, siekiant aptarti problemas, su kuriomis susiduriama įgyvendinant Prekybos ir bendradarbiavimo susitarimą. Laukiama, kad EVT diskusijos rezultatas bus ES vienybės pareiškimas, pakartojantis pagrindinius ES principus. </w:t>
            </w:r>
          </w:p>
          <w:p w:rsidR="009868AA" w:rsidRPr="00740BDA" w:rsidRDefault="009868AA" w:rsidP="007B79E3">
            <w:pPr>
              <w:ind w:firstLine="767"/>
              <w:jc w:val="both"/>
              <w:rPr>
                <w:rFonts w:eastAsia="Times New Roman"/>
                <w:lang w:val="lt-LT"/>
              </w:rPr>
            </w:pPr>
            <w:r w:rsidRPr="00740BDA">
              <w:rPr>
                <w:rFonts w:eastAsia="Times New Roman"/>
                <w:lang w:val="lt-LT"/>
              </w:rPr>
              <w:t>Praėjus 4 mėn. nuo taikymo pradžios (2021 01 01), ES-JK Prekybos ir bendradarbiavimo susitarimas (TCA) susiduria su iššūkiais, daugumą kurių kelia JK pusės nukrypimai ar netikslios susitarimo nuostatų interpretacijos. Nuo sausio tebesitęsiant ES-JK deryboms dėl žuvininkystės kvotų, FR žvejų protestus sukėlė TCA neatitinkantys JK pusės ribojimai išduodant licencijas žvejybai JK vandenyse (ypač prie Džersio salos), dirbtinis tam tikrų JK vandenų teritorijų atribojimas ES laivams, remiantis moksliškai nepagrįstais aplinkosaugos reikalavimais. Lietuvai ir kitoms 4 susijusioms ES VN labiausiai aktualus iki šiol nesprendžiamas mūsų piliečių diskriminavimo dėl ilgalaikių darbo vizų mokesčio klausimas. Šių klausimų aptarimui su JK būtina kuo greičiau surengti TCA numatytas jungtines institucijas – ES-JK Partnerystės tarybą ir jai padedančius specializuotus komitetus.</w:t>
            </w:r>
          </w:p>
          <w:p w:rsidR="00AD27D2" w:rsidRPr="00740BDA" w:rsidRDefault="00AD27D2" w:rsidP="007B79E3">
            <w:pPr>
              <w:ind w:firstLine="767"/>
              <w:jc w:val="both"/>
              <w:rPr>
                <w:rFonts w:eastAsia="Times New Roman"/>
                <w:lang w:val="lt-LT"/>
              </w:rPr>
            </w:pPr>
            <w:r w:rsidRPr="00740BDA">
              <w:rPr>
                <w:rFonts w:eastAsia="Times New Roman"/>
                <w:lang w:val="lt-LT"/>
              </w:rPr>
              <w:t>JK taip pat neįgyvendina savo ES-JK Išstojimo susitarimo (WA) Airijai ir Šiaurės Airijai (NI) skirto Protokolo įsipareigojimų – sanitarijos ir fitosanitarijos (SPS), muitinės taisyklių įvežant prekes į ES Acquis taikančią NI iš likusios GB dalies ir pan. ES yra pradėjusi prieš JK nukreiptą pažeidimo procedūrą, taip pat tęsia technines konsultacijas, siekiant išspręsti šias grėsmę ES Vieningos rinkos integralumui keliančias problemas.</w:t>
            </w:r>
          </w:p>
          <w:p w:rsidR="00AD27D2" w:rsidRPr="00740BDA" w:rsidRDefault="00AD27D2" w:rsidP="007B79E3">
            <w:pPr>
              <w:ind w:firstLine="767"/>
              <w:jc w:val="both"/>
              <w:rPr>
                <w:rFonts w:eastAsia="Times New Roman"/>
                <w:lang w:val="lt-LT"/>
              </w:rPr>
            </w:pPr>
            <w:r w:rsidRPr="00740BDA">
              <w:rPr>
                <w:rFonts w:eastAsia="Times New Roman"/>
                <w:lang w:val="lt-LT"/>
              </w:rPr>
              <w:t xml:space="preserve">Atsižvelgiant į JK tarptautinių įsipareigojimų nesilaikymą, išstojimą iš ES Vieningos rinkos ir muitų sąjungos, ES Komisija parengė komunikatą, kuriuo iš esmės atmetė JK prašymą prisijungti prie Lugano konvencijos dėl teismo sprendimų civilinėse ir komercinėse bylose pripažinimo. Lietuva ir daugelis kitų ES VN palaikė šį JK prašymą, kadangi tai pirmiausia būtų naudinga mūsų pačių piliečiams ir verslui. </w:t>
            </w:r>
            <w:r w:rsidR="00F82580" w:rsidRPr="00740BDA">
              <w:rPr>
                <w:rFonts w:eastAsia="Times New Roman"/>
                <w:lang w:val="lt-LT"/>
              </w:rPr>
              <w:t>Vis tik, nesant vieningos VN pozicijos ES Komisija neteiks pasiūlymo dėl JK narystės Lugano konvencijoje</w:t>
            </w:r>
            <w:r w:rsidR="00AA4CEE">
              <w:rPr>
                <w:rFonts w:eastAsia="Times New Roman"/>
                <w:lang w:val="lt-LT"/>
              </w:rPr>
              <w:t xml:space="preserve">. </w:t>
            </w:r>
          </w:p>
          <w:p w:rsidR="00ED61F6" w:rsidRPr="00740BDA" w:rsidRDefault="00ED61F6" w:rsidP="007B79E3">
            <w:pPr>
              <w:ind w:firstLine="767"/>
              <w:jc w:val="both"/>
              <w:rPr>
                <w:lang w:val="lt-LT"/>
              </w:rPr>
            </w:pPr>
            <w:r w:rsidRPr="00740BDA">
              <w:rPr>
                <w:b/>
                <w:bCs/>
                <w:lang w:val="lt-LT"/>
              </w:rPr>
              <w:t>Lietuvos pozicija.</w:t>
            </w:r>
            <w:r w:rsidRPr="00740BDA">
              <w:rPr>
                <w:lang w:val="lt-LT"/>
              </w:rPr>
              <w:t xml:space="preserve"> Pagrindiniai Lietuvos pozicijos principai išlieka nuoseklūs: ES turi likti vieninga, o prekybos ir partnerystės susitarime numatyti įsipareigojimai privalo būti vykdomi. </w:t>
            </w:r>
            <w:r w:rsidR="00515448" w:rsidRPr="00740BDA">
              <w:rPr>
                <w:lang w:val="lt-LT"/>
              </w:rPr>
              <w:t>Lietuvai, kaip ir dar 4 ES šalims, svarbus Jungtinės Karalystės pritaikytos diskriminacinės ilgalaikių vizų kainos klausimas</w:t>
            </w:r>
            <w:r w:rsidR="00865EEB" w:rsidRPr="00740BDA">
              <w:rPr>
                <w:lang w:val="lt-LT"/>
              </w:rPr>
              <w:t xml:space="preserve"> – šis klausimas turi ir toliau išlikti ES-JK santykių darbotvarkėje ir būti nuolat keliamas TCA numatytose institucijose</w:t>
            </w:r>
            <w:r w:rsidR="00515448" w:rsidRPr="00740BDA">
              <w:rPr>
                <w:lang w:val="lt-LT"/>
              </w:rPr>
              <w:t xml:space="preserve">. </w:t>
            </w:r>
            <w:r w:rsidR="007977C2" w:rsidRPr="00740BDA">
              <w:rPr>
                <w:lang w:val="lt-LT"/>
              </w:rPr>
              <w:t xml:space="preserve">Glaudus bendradarbiavimas su Jungtine Karalyste yra svarbus Lietuvos interesas, taip pat ir saugumo ir gynybos srityje. </w:t>
            </w:r>
          </w:p>
          <w:p w:rsidR="007977C2" w:rsidRPr="00740BDA" w:rsidRDefault="007977C2" w:rsidP="007B79E3">
            <w:pPr>
              <w:ind w:firstLine="767"/>
              <w:jc w:val="both"/>
              <w:rPr>
                <w:lang w:val="lt-LT"/>
              </w:rPr>
            </w:pPr>
            <w:r w:rsidRPr="00740BDA">
              <w:rPr>
                <w:lang w:val="lt-LT"/>
              </w:rPr>
              <w:lastRenderedPageBreak/>
              <w:t xml:space="preserve">Pagrindinės nuostatos, dėl kurių </w:t>
            </w:r>
            <w:r w:rsidR="00AA4CEE">
              <w:rPr>
                <w:lang w:val="lt-LT"/>
              </w:rPr>
              <w:t>siūlytina</w:t>
            </w:r>
            <w:r w:rsidRPr="00740BDA">
              <w:rPr>
                <w:lang w:val="lt-LT"/>
              </w:rPr>
              <w:t xml:space="preserve"> pasisakyti:</w:t>
            </w:r>
          </w:p>
          <w:p w:rsidR="00E54F0C" w:rsidRPr="00740BDA" w:rsidRDefault="00E54F0C" w:rsidP="007B79E3">
            <w:pPr>
              <w:pStyle w:val="ListParagraph"/>
              <w:numPr>
                <w:ilvl w:val="0"/>
                <w:numId w:val="4"/>
              </w:numPr>
              <w:jc w:val="both"/>
              <w:rPr>
                <w:lang w:val="lt-LT"/>
              </w:rPr>
            </w:pPr>
            <w:r w:rsidRPr="00740BDA">
              <w:rPr>
                <w:lang w:val="lt-LT"/>
              </w:rPr>
              <w:t>Būtinybė pilnai įgyvendinti įsipareigojimus, kurie numatyti ES-JK Prekybos ir partnerystės susitarime (TCA) ir ES-JK Išstojimo susita</w:t>
            </w:r>
            <w:r w:rsidR="008977C5" w:rsidRPr="00740BDA">
              <w:rPr>
                <w:lang w:val="lt-LT"/>
              </w:rPr>
              <w:t>r</w:t>
            </w:r>
            <w:r w:rsidRPr="00740BDA">
              <w:rPr>
                <w:lang w:val="lt-LT"/>
              </w:rPr>
              <w:t>ime (WA).</w:t>
            </w:r>
          </w:p>
          <w:p w:rsidR="00AE3FAC" w:rsidRPr="00740BDA" w:rsidRDefault="00E54F0C" w:rsidP="007B79E3">
            <w:pPr>
              <w:pStyle w:val="ListParagraph"/>
              <w:numPr>
                <w:ilvl w:val="0"/>
                <w:numId w:val="4"/>
              </w:numPr>
              <w:jc w:val="both"/>
              <w:rPr>
                <w:lang w:val="lt-LT"/>
              </w:rPr>
            </w:pPr>
            <w:r w:rsidRPr="00740BDA">
              <w:rPr>
                <w:lang w:val="lt-LT"/>
              </w:rPr>
              <w:t>Solidarumas su kitomis ES valstybėmis narėmis, turinčiomis problemų dėl TCA įgyvendinimo. Viena iš tokių problemų – diskriminacinė ilgalaikių vizų kaina, darbas dėl šio klausimo turi būti tęsiamas</w:t>
            </w:r>
          </w:p>
        </w:tc>
      </w:tr>
    </w:tbl>
    <w:p w:rsidR="006554F3" w:rsidRPr="00740BDA" w:rsidRDefault="006554F3" w:rsidP="007B79E3">
      <w:pPr>
        <w:pStyle w:val="BodyA"/>
        <w:rPr>
          <w:i/>
          <w:lang w:val="lt-LT"/>
        </w:rPr>
      </w:pPr>
    </w:p>
    <w:p w:rsidR="00C36C09" w:rsidRPr="00740BDA" w:rsidRDefault="00215622" w:rsidP="007B79E3">
      <w:pPr>
        <w:rPr>
          <w:lang w:val="lt-LT"/>
        </w:rPr>
      </w:pPr>
    </w:p>
    <w:sectPr w:rsidR="00C36C09" w:rsidRPr="00740B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9D3"/>
    <w:multiLevelType w:val="hybridMultilevel"/>
    <w:tmpl w:val="514C4356"/>
    <w:lvl w:ilvl="0" w:tplc="F218244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45C0D"/>
    <w:multiLevelType w:val="hybridMultilevel"/>
    <w:tmpl w:val="3C669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C265E1"/>
    <w:multiLevelType w:val="hybridMultilevel"/>
    <w:tmpl w:val="58DC4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02604F"/>
    <w:multiLevelType w:val="hybridMultilevel"/>
    <w:tmpl w:val="AF0A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3654"/>
    <w:multiLevelType w:val="hybridMultilevel"/>
    <w:tmpl w:val="F9B64F1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31070740"/>
    <w:multiLevelType w:val="hybridMultilevel"/>
    <w:tmpl w:val="64207CE0"/>
    <w:lvl w:ilvl="0" w:tplc="4B855F97">
      <w:start w:val="1"/>
      <w:numFmt w:val="bullet"/>
      <w:lvlText w:val="·"/>
      <w:lvlJc w:val="left"/>
      <w:pPr>
        <w:ind w:left="720" w:hanging="360"/>
      </w:pPr>
      <w:rPr>
        <w:rFonts w:ascii="Symbol" w:hAnsi="Symbol"/>
      </w:rPr>
    </w:lvl>
    <w:lvl w:ilvl="1" w:tplc="540F5691">
      <w:start w:val="1"/>
      <w:numFmt w:val="bullet"/>
      <w:lvlText w:val="o"/>
      <w:lvlJc w:val="left"/>
      <w:pPr>
        <w:ind w:left="1440" w:hanging="360"/>
      </w:pPr>
      <w:rPr>
        <w:rFonts w:ascii="Symbol" w:hAnsi="Symbol"/>
      </w:rPr>
    </w:lvl>
    <w:lvl w:ilvl="2" w:tplc="7C1F8247">
      <w:start w:val="1"/>
      <w:numFmt w:val="bullet"/>
      <w:lvlText w:val="·"/>
      <w:lvlJc w:val="left"/>
      <w:pPr>
        <w:ind w:left="2160" w:hanging="360"/>
      </w:pPr>
      <w:rPr>
        <w:rFonts w:ascii="Symbol" w:hAnsi="Symbol"/>
      </w:rPr>
    </w:lvl>
    <w:lvl w:ilvl="3" w:tplc="674B798B">
      <w:start w:val="1"/>
      <w:numFmt w:val="bullet"/>
      <w:lvlText w:val="o"/>
      <w:lvlJc w:val="left"/>
      <w:pPr>
        <w:ind w:left="2880" w:hanging="360"/>
      </w:pPr>
      <w:rPr>
        <w:rFonts w:ascii="Symbol" w:hAnsi="Symbol"/>
      </w:rPr>
    </w:lvl>
    <w:lvl w:ilvl="4" w:tplc="7D84B0A4">
      <w:start w:val="1"/>
      <w:numFmt w:val="bullet"/>
      <w:lvlText w:val="·"/>
      <w:lvlJc w:val="left"/>
      <w:pPr>
        <w:ind w:left="3600" w:hanging="360"/>
      </w:pPr>
      <w:rPr>
        <w:rFonts w:ascii="Symbol" w:hAnsi="Symbol"/>
      </w:rPr>
    </w:lvl>
    <w:lvl w:ilvl="5" w:tplc="0DBB406C">
      <w:start w:val="1"/>
      <w:numFmt w:val="bullet"/>
      <w:lvlText w:val="o"/>
      <w:lvlJc w:val="left"/>
      <w:pPr>
        <w:ind w:left="4320" w:hanging="360"/>
      </w:pPr>
      <w:rPr>
        <w:rFonts w:ascii="Symbol" w:hAnsi="Symbol"/>
      </w:rPr>
    </w:lvl>
    <w:lvl w:ilvl="6" w:tplc="6564F50B">
      <w:start w:val="1"/>
      <w:numFmt w:val="bullet"/>
      <w:lvlText w:val="·"/>
      <w:lvlJc w:val="left"/>
      <w:pPr>
        <w:ind w:left="5040" w:hanging="360"/>
      </w:pPr>
      <w:rPr>
        <w:rFonts w:ascii="Symbol" w:hAnsi="Symbol"/>
      </w:rPr>
    </w:lvl>
    <w:lvl w:ilvl="7" w:tplc="1854D87B">
      <w:start w:val="1"/>
      <w:numFmt w:val="bullet"/>
      <w:lvlText w:val="o"/>
      <w:lvlJc w:val="left"/>
      <w:pPr>
        <w:ind w:left="5760" w:hanging="360"/>
      </w:pPr>
      <w:rPr>
        <w:rFonts w:ascii="Symbol" w:hAnsi="Symbol"/>
      </w:rPr>
    </w:lvl>
    <w:lvl w:ilvl="8" w:tplc="46810CD0">
      <w:start w:val="1"/>
      <w:numFmt w:val="bullet"/>
      <w:lvlText w:val="·"/>
      <w:lvlJc w:val="left"/>
      <w:pPr>
        <w:ind w:left="6480" w:hanging="360"/>
      </w:pPr>
      <w:rPr>
        <w:rFonts w:ascii="Symbol" w:hAnsi="Symbol"/>
      </w:rPr>
    </w:lvl>
  </w:abstractNum>
  <w:abstractNum w:abstractNumId="6" w15:restartNumberingAfterBreak="0">
    <w:nsid w:val="405B2E50"/>
    <w:multiLevelType w:val="hybridMultilevel"/>
    <w:tmpl w:val="D46A78FC"/>
    <w:lvl w:ilvl="0" w:tplc="1D8AC0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C3E9D"/>
    <w:multiLevelType w:val="hybridMultilevel"/>
    <w:tmpl w:val="A3268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4"/>
  </w:num>
  <w:num w:numId="6">
    <w:abstractNumId w:val="1"/>
  </w:num>
  <w:num w:numId="7">
    <w:abstractNumId w:val="5"/>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94"/>
    <w:rsid w:val="00021870"/>
    <w:rsid w:val="0007038A"/>
    <w:rsid w:val="00071EE2"/>
    <w:rsid w:val="00073108"/>
    <w:rsid w:val="00095646"/>
    <w:rsid w:val="000B3FE9"/>
    <w:rsid w:val="00102177"/>
    <w:rsid w:val="001138F2"/>
    <w:rsid w:val="001538F4"/>
    <w:rsid w:val="00166BF6"/>
    <w:rsid w:val="001C46E0"/>
    <w:rsid w:val="001C6FBA"/>
    <w:rsid w:val="00215622"/>
    <w:rsid w:val="002B5760"/>
    <w:rsid w:val="00324C2D"/>
    <w:rsid w:val="00325D2B"/>
    <w:rsid w:val="0041735A"/>
    <w:rsid w:val="004441E0"/>
    <w:rsid w:val="00460109"/>
    <w:rsid w:val="004E4DAA"/>
    <w:rsid w:val="0051017A"/>
    <w:rsid w:val="00510D8A"/>
    <w:rsid w:val="00515448"/>
    <w:rsid w:val="005209E7"/>
    <w:rsid w:val="005423F2"/>
    <w:rsid w:val="00551716"/>
    <w:rsid w:val="0055775F"/>
    <w:rsid w:val="005945CA"/>
    <w:rsid w:val="005B087A"/>
    <w:rsid w:val="005B4ADC"/>
    <w:rsid w:val="006554F3"/>
    <w:rsid w:val="00662ABE"/>
    <w:rsid w:val="00740BDA"/>
    <w:rsid w:val="007420D0"/>
    <w:rsid w:val="00773B92"/>
    <w:rsid w:val="00784452"/>
    <w:rsid w:val="007977C2"/>
    <w:rsid w:val="007B79E3"/>
    <w:rsid w:val="00865EEB"/>
    <w:rsid w:val="008977C5"/>
    <w:rsid w:val="009868AA"/>
    <w:rsid w:val="009908A2"/>
    <w:rsid w:val="009965FD"/>
    <w:rsid w:val="009A3DA5"/>
    <w:rsid w:val="00A913EE"/>
    <w:rsid w:val="00A92AE9"/>
    <w:rsid w:val="00A96AAB"/>
    <w:rsid w:val="00A97C79"/>
    <w:rsid w:val="00AA4CEE"/>
    <w:rsid w:val="00AA6FB2"/>
    <w:rsid w:val="00AC6794"/>
    <w:rsid w:val="00AD27D2"/>
    <w:rsid w:val="00AE3FAC"/>
    <w:rsid w:val="00B761B6"/>
    <w:rsid w:val="00B82484"/>
    <w:rsid w:val="00C53F29"/>
    <w:rsid w:val="00D00114"/>
    <w:rsid w:val="00D226A7"/>
    <w:rsid w:val="00D52504"/>
    <w:rsid w:val="00D975CB"/>
    <w:rsid w:val="00DB6524"/>
    <w:rsid w:val="00DC1C32"/>
    <w:rsid w:val="00DD3C58"/>
    <w:rsid w:val="00DF64FB"/>
    <w:rsid w:val="00E3692B"/>
    <w:rsid w:val="00E54F0C"/>
    <w:rsid w:val="00E71DDE"/>
    <w:rsid w:val="00E95877"/>
    <w:rsid w:val="00ED61F6"/>
    <w:rsid w:val="00F15FBD"/>
    <w:rsid w:val="00F82580"/>
    <w:rsid w:val="00F9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D9A9"/>
  <w15:chartTrackingRefBased/>
  <w15:docId w15:val="{9C7CB588-88CA-4AA6-A69E-0E64D88D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54F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554F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rmalWeb">
    <w:name w:val="Normal (Web)"/>
    <w:basedOn w:val="Normal"/>
    <w:uiPriority w:val="99"/>
    <w:unhideWhenUsed/>
    <w:qFormat/>
    <w:rsid w:val="006554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6554F3"/>
  </w:style>
  <w:style w:type="character" w:customStyle="1" w:styleId="tojvnm2t">
    <w:name w:val="tojvnm2t"/>
    <w:basedOn w:val="DefaultParagraphFont"/>
    <w:rsid w:val="006554F3"/>
  </w:style>
  <w:style w:type="paragraph" w:styleId="ListParagraph">
    <w:name w:val="List Paragraph"/>
    <w:basedOn w:val="Normal"/>
    <w:uiPriority w:val="34"/>
    <w:qFormat/>
    <w:rsid w:val="00797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93689">
      <w:bodyDiv w:val="1"/>
      <w:marLeft w:val="0"/>
      <w:marRight w:val="0"/>
      <w:marTop w:val="0"/>
      <w:marBottom w:val="0"/>
      <w:divBdr>
        <w:top w:val="none" w:sz="0" w:space="0" w:color="auto"/>
        <w:left w:val="none" w:sz="0" w:space="0" w:color="auto"/>
        <w:bottom w:val="none" w:sz="0" w:space="0" w:color="auto"/>
        <w:right w:val="none" w:sz="0" w:space="0" w:color="auto"/>
      </w:divBdr>
    </w:div>
    <w:div w:id="845562624">
      <w:bodyDiv w:val="1"/>
      <w:marLeft w:val="0"/>
      <w:marRight w:val="0"/>
      <w:marTop w:val="0"/>
      <w:marBottom w:val="0"/>
      <w:divBdr>
        <w:top w:val="none" w:sz="0" w:space="0" w:color="auto"/>
        <w:left w:val="none" w:sz="0" w:space="0" w:color="auto"/>
        <w:bottom w:val="none" w:sz="0" w:space="0" w:color="auto"/>
        <w:right w:val="none" w:sz="0" w:space="0" w:color="auto"/>
      </w:divBdr>
    </w:div>
    <w:div w:id="848641007">
      <w:bodyDiv w:val="1"/>
      <w:marLeft w:val="0"/>
      <w:marRight w:val="0"/>
      <w:marTop w:val="0"/>
      <w:marBottom w:val="0"/>
      <w:divBdr>
        <w:top w:val="none" w:sz="0" w:space="0" w:color="auto"/>
        <w:left w:val="none" w:sz="0" w:space="0" w:color="auto"/>
        <w:bottom w:val="none" w:sz="0" w:space="0" w:color="auto"/>
        <w:right w:val="none" w:sz="0" w:space="0" w:color="auto"/>
      </w:divBdr>
    </w:div>
    <w:div w:id="1088890860">
      <w:bodyDiv w:val="1"/>
      <w:marLeft w:val="0"/>
      <w:marRight w:val="0"/>
      <w:marTop w:val="0"/>
      <w:marBottom w:val="0"/>
      <w:divBdr>
        <w:top w:val="none" w:sz="0" w:space="0" w:color="auto"/>
        <w:left w:val="none" w:sz="0" w:space="0" w:color="auto"/>
        <w:bottom w:val="none" w:sz="0" w:space="0" w:color="auto"/>
        <w:right w:val="none" w:sz="0" w:space="0" w:color="auto"/>
      </w:divBdr>
    </w:div>
    <w:div w:id="1211647198">
      <w:bodyDiv w:val="1"/>
      <w:marLeft w:val="0"/>
      <w:marRight w:val="0"/>
      <w:marTop w:val="0"/>
      <w:marBottom w:val="0"/>
      <w:divBdr>
        <w:top w:val="none" w:sz="0" w:space="0" w:color="auto"/>
        <w:left w:val="none" w:sz="0" w:space="0" w:color="auto"/>
        <w:bottom w:val="none" w:sz="0" w:space="0" w:color="auto"/>
        <w:right w:val="none" w:sz="0" w:space="0" w:color="auto"/>
      </w:divBdr>
    </w:div>
    <w:div w:id="1309554177">
      <w:bodyDiv w:val="1"/>
      <w:marLeft w:val="0"/>
      <w:marRight w:val="0"/>
      <w:marTop w:val="0"/>
      <w:marBottom w:val="0"/>
      <w:divBdr>
        <w:top w:val="none" w:sz="0" w:space="0" w:color="auto"/>
        <w:left w:val="none" w:sz="0" w:space="0" w:color="auto"/>
        <w:bottom w:val="none" w:sz="0" w:space="0" w:color="auto"/>
        <w:right w:val="none" w:sz="0" w:space="0" w:color="auto"/>
      </w:divBdr>
    </w:div>
    <w:div w:id="1639796703">
      <w:bodyDiv w:val="1"/>
      <w:marLeft w:val="0"/>
      <w:marRight w:val="0"/>
      <w:marTop w:val="0"/>
      <w:marBottom w:val="0"/>
      <w:divBdr>
        <w:top w:val="none" w:sz="0" w:space="0" w:color="auto"/>
        <w:left w:val="none" w:sz="0" w:space="0" w:color="auto"/>
        <w:bottom w:val="none" w:sz="0" w:space="0" w:color="auto"/>
        <w:right w:val="none" w:sz="0" w:space="0" w:color="auto"/>
      </w:divBdr>
    </w:div>
    <w:div w:id="21230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KUPRYS</dc:creator>
  <cp:keywords/>
  <dc:description/>
  <cp:lastModifiedBy>Tomas KUPRYS</cp:lastModifiedBy>
  <cp:revision>67</cp:revision>
  <dcterms:created xsi:type="dcterms:W3CDTF">2021-05-13T12:59:00Z</dcterms:created>
  <dcterms:modified xsi:type="dcterms:W3CDTF">2021-05-19T07:39:00Z</dcterms:modified>
</cp:coreProperties>
</file>