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9DFD" w14:textId="77777777" w:rsidR="004A3B60" w:rsidRPr="00567096" w:rsidRDefault="004A3B60" w:rsidP="00B10EA0">
      <w:pPr>
        <w:tabs>
          <w:tab w:val="center" w:pos="4819"/>
          <w:tab w:val="right" w:pos="9638"/>
        </w:tabs>
        <w:rPr>
          <w:rFonts w:eastAsia="Calibri"/>
          <w:szCs w:val="24"/>
        </w:rPr>
      </w:pPr>
    </w:p>
    <w:p w14:paraId="6829D4EA" w14:textId="77777777" w:rsidR="004A3B60" w:rsidRPr="00567096" w:rsidRDefault="00C31D7C" w:rsidP="00B10EA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567096">
        <w:rPr>
          <w:b/>
          <w:szCs w:val="24"/>
          <w:lang w:eastAsia="lt-LT"/>
        </w:rPr>
        <w:t xml:space="preserve">                                                                                                     </w:t>
      </w:r>
      <w:r w:rsidR="005C1328" w:rsidRPr="00567096">
        <w:rPr>
          <w:b/>
          <w:szCs w:val="24"/>
          <w:lang w:eastAsia="lt-LT"/>
        </w:rPr>
        <w:t>Projekt</w:t>
      </w:r>
      <w:r w:rsidRPr="00567096">
        <w:rPr>
          <w:b/>
          <w:szCs w:val="24"/>
          <w:lang w:eastAsia="lt-LT"/>
        </w:rPr>
        <w:t>o</w:t>
      </w:r>
    </w:p>
    <w:p w14:paraId="27DA0554" w14:textId="77777777" w:rsidR="00C31D7C" w:rsidRPr="00567096" w:rsidRDefault="00C31D7C" w:rsidP="00B10EA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Cs w:val="24"/>
          <w:lang w:eastAsia="lt-LT"/>
        </w:rPr>
      </w:pPr>
      <w:r w:rsidRPr="00567096">
        <w:rPr>
          <w:b/>
          <w:szCs w:val="24"/>
          <w:lang w:eastAsia="lt-LT"/>
        </w:rPr>
        <w:t>lyginamasis variantas</w:t>
      </w:r>
    </w:p>
    <w:p w14:paraId="720B25B4" w14:textId="77777777" w:rsidR="004A3B60" w:rsidRPr="00567096" w:rsidRDefault="004A3B60" w:rsidP="00B10EA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center"/>
        <w:rPr>
          <w:rFonts w:eastAsia="Calibri"/>
          <w:szCs w:val="24"/>
        </w:rPr>
      </w:pPr>
    </w:p>
    <w:p w14:paraId="30B26174" w14:textId="77777777" w:rsidR="004A3B60" w:rsidRPr="00567096" w:rsidRDefault="004A3B60" w:rsidP="00B10EA0">
      <w:pPr>
        <w:ind w:firstLine="851"/>
        <w:jc w:val="center"/>
        <w:rPr>
          <w:rFonts w:eastAsia="Calibri"/>
          <w:szCs w:val="24"/>
        </w:rPr>
      </w:pPr>
    </w:p>
    <w:p w14:paraId="52DF22F2" w14:textId="76A880EC" w:rsidR="008A1954" w:rsidRDefault="005C1328" w:rsidP="008A1954">
      <w:pPr>
        <w:jc w:val="center"/>
        <w:rPr>
          <w:b/>
          <w:szCs w:val="24"/>
          <w:lang w:eastAsia="lt-LT"/>
        </w:rPr>
      </w:pPr>
      <w:r w:rsidRPr="00567096">
        <w:rPr>
          <w:rFonts w:eastAsia="Calibri"/>
          <w:b/>
          <w:szCs w:val="24"/>
        </w:rPr>
        <w:t>LIETUVOS RESPUBLIKOS</w:t>
      </w:r>
      <w:r w:rsidR="008A1954">
        <w:rPr>
          <w:rFonts w:eastAsia="Calibri"/>
          <w:b/>
          <w:szCs w:val="24"/>
        </w:rPr>
        <w:t xml:space="preserve"> </w:t>
      </w:r>
      <w:r w:rsidRPr="00567096">
        <w:rPr>
          <w:rFonts w:eastAsia="Calibri"/>
          <w:b/>
          <w:szCs w:val="24"/>
        </w:rPr>
        <w:t>ĮSTATYMO „DĖL UŽSIENIEČIŲ TEISINĖS PADĖTIES“ NR.</w:t>
      </w:r>
      <w:r w:rsidR="00184333" w:rsidRPr="00567096">
        <w:rPr>
          <w:rFonts w:eastAsia="Calibri"/>
          <w:b/>
          <w:szCs w:val="24"/>
        </w:rPr>
        <w:t xml:space="preserve"> </w:t>
      </w:r>
      <w:r w:rsidRPr="00567096">
        <w:rPr>
          <w:rFonts w:eastAsia="Calibri"/>
          <w:b/>
          <w:szCs w:val="24"/>
        </w:rPr>
        <w:t xml:space="preserve">IX-2206 </w:t>
      </w:r>
      <w:r w:rsidR="00EE10FB">
        <w:rPr>
          <w:rFonts w:eastAsia="Calibri"/>
          <w:b/>
          <w:szCs w:val="24"/>
        </w:rPr>
        <w:t>6</w:t>
      </w:r>
      <w:r w:rsidR="003A3BE8">
        <w:rPr>
          <w:rFonts w:eastAsia="Calibri"/>
          <w:b/>
          <w:szCs w:val="24"/>
        </w:rPr>
        <w:t>7</w:t>
      </w:r>
      <w:r w:rsidR="00EE10FB">
        <w:rPr>
          <w:b/>
          <w:szCs w:val="24"/>
          <w:lang w:eastAsia="lt-LT"/>
        </w:rPr>
        <w:t xml:space="preserve"> STRAIPSNIO</w:t>
      </w:r>
      <w:r w:rsidRPr="00567096">
        <w:rPr>
          <w:b/>
          <w:szCs w:val="24"/>
          <w:lang w:eastAsia="lt-LT"/>
        </w:rPr>
        <w:t xml:space="preserve"> PAKEITIMO</w:t>
      </w:r>
    </w:p>
    <w:p w14:paraId="042041BA" w14:textId="7230720F" w:rsidR="004A3B60" w:rsidRPr="00567096" w:rsidRDefault="005C1328" w:rsidP="008A1954">
      <w:pPr>
        <w:jc w:val="center"/>
        <w:rPr>
          <w:rFonts w:eastAsia="Calibri"/>
          <w:b/>
          <w:szCs w:val="24"/>
        </w:rPr>
      </w:pPr>
      <w:r w:rsidRPr="00567096">
        <w:rPr>
          <w:b/>
          <w:szCs w:val="24"/>
          <w:lang w:eastAsia="lt-LT"/>
        </w:rPr>
        <w:t>ĮSTATYMAS</w:t>
      </w:r>
    </w:p>
    <w:p w14:paraId="648629FA" w14:textId="77777777" w:rsidR="004A3B60" w:rsidRPr="00567096" w:rsidRDefault="004A3B60" w:rsidP="00B10EA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center"/>
        <w:rPr>
          <w:b/>
          <w:szCs w:val="24"/>
          <w:lang w:eastAsia="lt-LT"/>
        </w:rPr>
      </w:pPr>
    </w:p>
    <w:p w14:paraId="0A053883" w14:textId="77777777" w:rsidR="004A3B60" w:rsidRPr="00567096" w:rsidRDefault="005C1328" w:rsidP="00B10EA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center"/>
        <w:rPr>
          <w:szCs w:val="24"/>
          <w:lang w:eastAsia="lt-LT"/>
        </w:rPr>
      </w:pPr>
      <w:r w:rsidRPr="00567096">
        <w:rPr>
          <w:szCs w:val="24"/>
          <w:lang w:eastAsia="lt-LT"/>
        </w:rPr>
        <w:t>Nr.</w:t>
      </w:r>
      <w:r w:rsidR="00184333" w:rsidRPr="00567096">
        <w:rPr>
          <w:szCs w:val="24"/>
          <w:lang w:eastAsia="lt-LT"/>
        </w:rPr>
        <w:t xml:space="preserve"> </w:t>
      </w:r>
    </w:p>
    <w:p w14:paraId="0555A128" w14:textId="77777777" w:rsidR="004A3B60" w:rsidRPr="00567096" w:rsidRDefault="005C1328" w:rsidP="00B10EA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center"/>
        <w:rPr>
          <w:szCs w:val="24"/>
          <w:lang w:eastAsia="lt-LT"/>
        </w:rPr>
      </w:pPr>
      <w:r w:rsidRPr="00567096">
        <w:rPr>
          <w:szCs w:val="24"/>
          <w:lang w:eastAsia="lt-LT"/>
        </w:rPr>
        <w:t>Vilnius</w:t>
      </w:r>
    </w:p>
    <w:p w14:paraId="41142B69" w14:textId="77777777" w:rsidR="004A3B60" w:rsidRPr="00567096" w:rsidRDefault="004A3B60" w:rsidP="00B10EA0">
      <w:pPr>
        <w:ind w:firstLine="851"/>
        <w:jc w:val="both"/>
        <w:rPr>
          <w:rFonts w:eastAsia="Calibri"/>
          <w:b/>
          <w:szCs w:val="24"/>
        </w:rPr>
      </w:pPr>
    </w:p>
    <w:p w14:paraId="20A01971" w14:textId="77777777" w:rsidR="00194958" w:rsidRPr="00567096" w:rsidRDefault="00194958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b/>
          <w:szCs w:val="24"/>
        </w:rPr>
      </w:pPr>
    </w:p>
    <w:p w14:paraId="0A3BA6D6" w14:textId="3B48C755" w:rsidR="00EE10FB" w:rsidRDefault="00F81C8D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b/>
          <w:szCs w:val="24"/>
        </w:rPr>
      </w:pPr>
      <w:r w:rsidRPr="00567096">
        <w:rPr>
          <w:rFonts w:eastAsia="Calibri"/>
          <w:b/>
          <w:szCs w:val="24"/>
        </w:rPr>
        <w:t xml:space="preserve">1 straipsnis. </w:t>
      </w:r>
      <w:r w:rsidR="00EE10FB">
        <w:rPr>
          <w:rFonts w:eastAsia="Calibri"/>
          <w:b/>
          <w:szCs w:val="24"/>
        </w:rPr>
        <w:t>6</w:t>
      </w:r>
      <w:r w:rsidR="003A3BE8">
        <w:rPr>
          <w:rFonts w:eastAsia="Calibri"/>
          <w:b/>
          <w:szCs w:val="24"/>
        </w:rPr>
        <w:t>7</w:t>
      </w:r>
      <w:r w:rsidR="00EE10FB">
        <w:rPr>
          <w:rFonts w:eastAsia="Calibri"/>
          <w:b/>
          <w:szCs w:val="24"/>
        </w:rPr>
        <w:t xml:space="preserve"> straipsnio pakeitimas</w:t>
      </w:r>
    </w:p>
    <w:p w14:paraId="0DF12663" w14:textId="7C1B2BCD" w:rsidR="00EE10FB" w:rsidRPr="00EE10FB" w:rsidRDefault="00EE10FB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Cs w:val="24"/>
        </w:rPr>
      </w:pPr>
      <w:r w:rsidRPr="00EE10FB">
        <w:rPr>
          <w:rFonts w:eastAsia="Calibri"/>
          <w:szCs w:val="24"/>
        </w:rPr>
        <w:t>1. Papildyti 6</w:t>
      </w:r>
      <w:r w:rsidR="003A3BE8">
        <w:rPr>
          <w:rFonts w:eastAsia="Calibri"/>
          <w:szCs w:val="24"/>
        </w:rPr>
        <w:t>7</w:t>
      </w:r>
      <w:r w:rsidRPr="00EE10FB">
        <w:rPr>
          <w:rFonts w:eastAsia="Calibri"/>
          <w:szCs w:val="24"/>
        </w:rPr>
        <w:t xml:space="preserve"> straipsnį 1</w:t>
      </w:r>
      <w:r w:rsidRPr="00EE10FB">
        <w:rPr>
          <w:rFonts w:eastAsia="Calibri"/>
          <w:szCs w:val="24"/>
          <w:vertAlign w:val="superscript"/>
        </w:rPr>
        <w:t>1</w:t>
      </w:r>
      <w:r w:rsidRPr="00EE10FB">
        <w:rPr>
          <w:rFonts w:eastAsia="Calibri"/>
          <w:szCs w:val="24"/>
        </w:rPr>
        <w:t xml:space="preserve"> dalimi:</w:t>
      </w:r>
    </w:p>
    <w:p w14:paraId="55B43E33" w14:textId="2BCC1421" w:rsidR="0006307C" w:rsidRPr="00567096" w:rsidRDefault="00EE10FB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b/>
          <w:szCs w:val="24"/>
        </w:rPr>
      </w:pPr>
      <w:r w:rsidRPr="00765266">
        <w:rPr>
          <w:rFonts w:eastAsia="Calibri"/>
          <w:szCs w:val="24"/>
        </w:rPr>
        <w:t>„</w:t>
      </w:r>
      <w:r>
        <w:rPr>
          <w:rFonts w:eastAsia="Calibri"/>
          <w:b/>
          <w:szCs w:val="24"/>
        </w:rPr>
        <w:t>1</w:t>
      </w:r>
      <w:r>
        <w:rPr>
          <w:rFonts w:eastAsia="Calibri"/>
          <w:b/>
          <w:szCs w:val="24"/>
          <w:vertAlign w:val="superscript"/>
        </w:rPr>
        <w:t>1</w:t>
      </w:r>
      <w:r>
        <w:rPr>
          <w:rFonts w:eastAsia="Calibri"/>
          <w:b/>
          <w:szCs w:val="24"/>
        </w:rPr>
        <w:t xml:space="preserve">. </w:t>
      </w:r>
      <w:r w:rsidRPr="00EE10FB">
        <w:rPr>
          <w:rFonts w:eastAsia="Calibri"/>
          <w:b/>
          <w:szCs w:val="24"/>
        </w:rPr>
        <w:t>Paskelbus karo padėtį, nepaprastąją padėtį, taip pat ekstremaliąją situaciją ar ekstremalųjį įvykį dėl masinio užsieniečių antplūdžio</w:t>
      </w:r>
      <w:r w:rsidR="0006307C" w:rsidRPr="00567096">
        <w:rPr>
          <w:b/>
          <w:szCs w:val="24"/>
        </w:rPr>
        <w:t xml:space="preserve"> </w:t>
      </w:r>
      <w:r>
        <w:rPr>
          <w:b/>
          <w:szCs w:val="24"/>
        </w:rPr>
        <w:t>u</w:t>
      </w:r>
      <w:r w:rsidR="0006307C" w:rsidRPr="00567096">
        <w:rPr>
          <w:b/>
          <w:szCs w:val="24"/>
        </w:rPr>
        <w:t>žsieniečio prašymas suteikti prieglobstį gali būti pateiktas:</w:t>
      </w:r>
    </w:p>
    <w:p w14:paraId="7EC317C5" w14:textId="306CE567" w:rsidR="0006307C" w:rsidRDefault="0006307C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b/>
          <w:szCs w:val="24"/>
        </w:rPr>
      </w:pPr>
      <w:r w:rsidRPr="00567096">
        <w:rPr>
          <w:b/>
          <w:szCs w:val="24"/>
        </w:rPr>
        <w:t>1) pasienio kontrolės punktuose</w:t>
      </w:r>
      <w:r w:rsidR="00EB617E">
        <w:rPr>
          <w:b/>
          <w:szCs w:val="24"/>
        </w:rPr>
        <w:t xml:space="preserve"> ar </w:t>
      </w:r>
      <w:r w:rsidRPr="00567096">
        <w:rPr>
          <w:b/>
          <w:szCs w:val="24"/>
        </w:rPr>
        <w:t>tranzito zonose</w:t>
      </w:r>
      <w:r w:rsidR="00EB617E">
        <w:rPr>
          <w:b/>
          <w:szCs w:val="24"/>
        </w:rPr>
        <w:t xml:space="preserve"> </w:t>
      </w:r>
      <w:r w:rsidRPr="00567096">
        <w:rPr>
          <w:b/>
          <w:szCs w:val="24"/>
        </w:rPr>
        <w:t>– Valstybės sienos apsaugos tarnybai;</w:t>
      </w:r>
    </w:p>
    <w:p w14:paraId="68018BCC" w14:textId="77777777" w:rsidR="00EB617E" w:rsidRDefault="0006307C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b/>
          <w:szCs w:val="24"/>
        </w:rPr>
      </w:pPr>
      <w:r w:rsidRPr="00567096">
        <w:rPr>
          <w:b/>
          <w:szCs w:val="24"/>
        </w:rPr>
        <w:t xml:space="preserve">2) Lietuvos Respublikos teritorijoje, </w:t>
      </w:r>
      <w:r w:rsidR="00D86FB6" w:rsidRPr="00567096">
        <w:rPr>
          <w:b/>
          <w:szCs w:val="24"/>
        </w:rPr>
        <w:t>kai į Lietuvos Respubliką užsienietis atvyko teisėtai</w:t>
      </w:r>
      <w:r w:rsidRPr="00567096">
        <w:rPr>
          <w:b/>
          <w:szCs w:val="24"/>
        </w:rPr>
        <w:t>,</w:t>
      </w:r>
      <w:r w:rsidR="00710253">
        <w:rPr>
          <w:b/>
          <w:szCs w:val="24"/>
        </w:rPr>
        <w:t xml:space="preserve"> </w:t>
      </w:r>
      <w:r w:rsidRPr="00567096">
        <w:rPr>
          <w:b/>
          <w:szCs w:val="24"/>
        </w:rPr>
        <w:t>– Migracijos departamentui.</w:t>
      </w:r>
    </w:p>
    <w:p w14:paraId="1D73DA54" w14:textId="64059FC8" w:rsidR="0006307C" w:rsidRDefault="00EB617E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b/>
          <w:szCs w:val="24"/>
        </w:rPr>
      </w:pPr>
      <w:r>
        <w:rPr>
          <w:b/>
          <w:szCs w:val="24"/>
        </w:rPr>
        <w:t>3) užsienio valstybėje – užsienio reikalų ministro nurodytose Lietuvos Respublikos diplomatinėse atstovybėse ar konsulinėse įstaigose</w:t>
      </w:r>
      <w:r w:rsidRPr="00F1590B">
        <w:rPr>
          <w:szCs w:val="24"/>
        </w:rPr>
        <w:t>.</w:t>
      </w:r>
      <w:r w:rsidR="00EE10FB" w:rsidRPr="00765266">
        <w:rPr>
          <w:szCs w:val="24"/>
        </w:rPr>
        <w:t>“</w:t>
      </w:r>
    </w:p>
    <w:p w14:paraId="34739BD3" w14:textId="0D18D1D7" w:rsidR="00EE10FB" w:rsidRPr="00EE10FB" w:rsidRDefault="00EE10FB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szCs w:val="24"/>
        </w:rPr>
      </w:pPr>
      <w:r w:rsidRPr="00EE10FB">
        <w:rPr>
          <w:szCs w:val="24"/>
        </w:rPr>
        <w:t>2. Papildyti 6</w:t>
      </w:r>
      <w:r w:rsidR="003A3BE8">
        <w:rPr>
          <w:szCs w:val="24"/>
        </w:rPr>
        <w:t>7</w:t>
      </w:r>
      <w:r w:rsidRPr="00EE10FB">
        <w:rPr>
          <w:szCs w:val="24"/>
        </w:rPr>
        <w:t xml:space="preserve"> straipsnį 1</w:t>
      </w:r>
      <w:r w:rsidRPr="00EE10FB">
        <w:rPr>
          <w:szCs w:val="24"/>
          <w:vertAlign w:val="superscript"/>
        </w:rPr>
        <w:t xml:space="preserve">2 </w:t>
      </w:r>
      <w:r w:rsidRPr="00EE10FB">
        <w:rPr>
          <w:szCs w:val="24"/>
        </w:rPr>
        <w:t>dalimi:</w:t>
      </w:r>
    </w:p>
    <w:p w14:paraId="46CFB9FC" w14:textId="17323790" w:rsidR="00EB617E" w:rsidRDefault="00EE10FB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b/>
          <w:szCs w:val="24"/>
        </w:rPr>
      </w:pPr>
      <w:r w:rsidRPr="00881FC5">
        <w:rPr>
          <w:szCs w:val="24"/>
        </w:rPr>
        <w:t>„</w:t>
      </w:r>
      <w:r w:rsidRPr="00881FC5">
        <w:rPr>
          <w:b/>
          <w:szCs w:val="24"/>
        </w:rPr>
        <w:t>1</w:t>
      </w:r>
      <w:r w:rsidRPr="00881FC5">
        <w:rPr>
          <w:b/>
          <w:szCs w:val="24"/>
          <w:vertAlign w:val="superscript"/>
        </w:rPr>
        <w:t>2</w:t>
      </w:r>
      <w:r w:rsidR="0006307C" w:rsidRPr="00881FC5">
        <w:rPr>
          <w:b/>
          <w:szCs w:val="24"/>
        </w:rPr>
        <w:t xml:space="preserve">. </w:t>
      </w:r>
      <w:r w:rsidR="0006307C" w:rsidRPr="00EB617E">
        <w:rPr>
          <w:b/>
          <w:szCs w:val="24"/>
        </w:rPr>
        <w:t>Užsieniečio prašymas suteikti prieglobstį, pateiktas nesilaikant šio straipsnio 1</w:t>
      </w:r>
      <w:r w:rsidRPr="00EB617E">
        <w:rPr>
          <w:b/>
          <w:szCs w:val="24"/>
          <w:vertAlign w:val="superscript"/>
        </w:rPr>
        <w:t>1</w:t>
      </w:r>
      <w:r w:rsidR="0006307C" w:rsidRPr="00EB617E">
        <w:rPr>
          <w:b/>
          <w:szCs w:val="24"/>
        </w:rPr>
        <w:t xml:space="preserve"> dalyje nurodytos tvarkos, nepriimamas</w:t>
      </w:r>
      <w:r w:rsidR="004D3DAC" w:rsidRPr="00EB617E">
        <w:rPr>
          <w:b/>
          <w:szCs w:val="24"/>
        </w:rPr>
        <w:t>, paaiškinant prašymo suteikti prieglobstį pateikimo tvarką</w:t>
      </w:r>
      <w:r w:rsidR="00106AFD" w:rsidRPr="00EB617E">
        <w:rPr>
          <w:b/>
          <w:szCs w:val="24"/>
        </w:rPr>
        <w:t xml:space="preserve">. Migracijos departamentas, atsižvelgęs į užsieniečio pažeidžiamumą ar kitas individualias aplinkybes, gali </w:t>
      </w:r>
      <w:r w:rsidR="00881FC5" w:rsidRPr="00EB617E">
        <w:rPr>
          <w:b/>
          <w:szCs w:val="24"/>
        </w:rPr>
        <w:t xml:space="preserve">nuspręsti </w:t>
      </w:r>
      <w:r w:rsidR="00106AFD" w:rsidRPr="00EB617E">
        <w:rPr>
          <w:b/>
          <w:szCs w:val="24"/>
        </w:rPr>
        <w:t>priimti užsieniečio, neteisėtai kirtusio Lietuvos Respublikos valstybės sieną, prašymą suteikti prieglobstį.</w:t>
      </w:r>
      <w:r w:rsidR="0039757E" w:rsidRPr="0039757E">
        <w:rPr>
          <w:szCs w:val="24"/>
        </w:rPr>
        <w:t>“</w:t>
      </w:r>
    </w:p>
    <w:p w14:paraId="42C16402" w14:textId="55526C05" w:rsidR="00EB617E" w:rsidRPr="00EB617E" w:rsidRDefault="00EB617E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szCs w:val="24"/>
        </w:rPr>
      </w:pPr>
      <w:r w:rsidRPr="00EB617E">
        <w:rPr>
          <w:szCs w:val="24"/>
        </w:rPr>
        <w:t>3. Pa</w:t>
      </w:r>
      <w:r w:rsidR="00D44740">
        <w:rPr>
          <w:szCs w:val="24"/>
        </w:rPr>
        <w:t>pildyti</w:t>
      </w:r>
      <w:r w:rsidRPr="00EB617E">
        <w:rPr>
          <w:szCs w:val="24"/>
        </w:rPr>
        <w:t xml:space="preserve"> 67 straipsn</w:t>
      </w:r>
      <w:r w:rsidR="00D44740">
        <w:rPr>
          <w:szCs w:val="24"/>
        </w:rPr>
        <w:t>į</w:t>
      </w:r>
      <w:r w:rsidRPr="00EB617E">
        <w:rPr>
          <w:szCs w:val="24"/>
        </w:rPr>
        <w:t xml:space="preserve"> </w:t>
      </w:r>
      <w:r w:rsidR="00D44740">
        <w:rPr>
          <w:szCs w:val="24"/>
        </w:rPr>
        <w:t>7</w:t>
      </w:r>
      <w:r w:rsidRPr="00EB617E">
        <w:rPr>
          <w:szCs w:val="24"/>
        </w:rPr>
        <w:t xml:space="preserve"> dal</w:t>
      </w:r>
      <w:r w:rsidR="00D44740">
        <w:rPr>
          <w:szCs w:val="24"/>
        </w:rPr>
        <w:t>imi</w:t>
      </w:r>
      <w:r w:rsidRPr="00EB617E">
        <w:rPr>
          <w:szCs w:val="24"/>
        </w:rPr>
        <w:t>:</w:t>
      </w:r>
      <w:bookmarkStart w:id="0" w:name="_GoBack"/>
      <w:bookmarkEnd w:id="0"/>
    </w:p>
    <w:p w14:paraId="0317C5D4" w14:textId="5AC868AE" w:rsidR="003124DE" w:rsidRPr="00EB617E" w:rsidRDefault="00EB617E" w:rsidP="0071025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b/>
          <w:szCs w:val="24"/>
        </w:rPr>
      </w:pPr>
      <w:r w:rsidRPr="00D44740">
        <w:rPr>
          <w:szCs w:val="24"/>
        </w:rPr>
        <w:t>„</w:t>
      </w:r>
      <w:r w:rsidR="00D44740" w:rsidRPr="00D44740">
        <w:rPr>
          <w:b/>
          <w:szCs w:val="24"/>
        </w:rPr>
        <w:t>7</w:t>
      </w:r>
      <w:r w:rsidRPr="00D44740">
        <w:rPr>
          <w:b/>
          <w:szCs w:val="24"/>
        </w:rPr>
        <w:t>. Tvarką, reglamentuojančią užsieniečių prašymų suteikti prieglobstį pateikimą</w:t>
      </w:r>
      <w:r w:rsidR="00D44740" w:rsidRPr="00D44740">
        <w:rPr>
          <w:b/>
          <w:szCs w:val="24"/>
        </w:rPr>
        <w:t xml:space="preserve"> šio Įstatymo 1</w:t>
      </w:r>
      <w:r w:rsidR="00D44740" w:rsidRPr="00D44740">
        <w:rPr>
          <w:b/>
          <w:szCs w:val="24"/>
          <w:vertAlign w:val="superscript"/>
        </w:rPr>
        <w:t xml:space="preserve">1 </w:t>
      </w:r>
      <w:r w:rsidR="00D44740" w:rsidRPr="00D44740">
        <w:rPr>
          <w:b/>
          <w:szCs w:val="24"/>
        </w:rPr>
        <w:t>dalies 3 punkte nurodytu atveju nustato užsienio reikalų ministras</w:t>
      </w:r>
      <w:r w:rsidRPr="00D44740">
        <w:rPr>
          <w:b/>
          <w:szCs w:val="24"/>
        </w:rPr>
        <w:t>.</w:t>
      </w:r>
      <w:r w:rsidR="00EE10FB" w:rsidRPr="00EB617E">
        <w:rPr>
          <w:szCs w:val="24"/>
        </w:rPr>
        <w:t>“</w:t>
      </w:r>
    </w:p>
    <w:p w14:paraId="2C6B37A7" w14:textId="77777777" w:rsidR="00106AFD" w:rsidRPr="00EB617E" w:rsidRDefault="00106AFD" w:rsidP="00EB617E">
      <w:pPr>
        <w:jc w:val="both"/>
        <w:rPr>
          <w:rFonts w:eastAsia="Calibri"/>
          <w:b/>
          <w:szCs w:val="24"/>
        </w:rPr>
      </w:pPr>
    </w:p>
    <w:p w14:paraId="0FD2A818" w14:textId="11F5CBCA" w:rsidR="004A3B60" w:rsidRPr="00EB617E" w:rsidRDefault="00B659F6" w:rsidP="00B10EA0">
      <w:pPr>
        <w:ind w:firstLine="851"/>
        <w:jc w:val="both"/>
        <w:rPr>
          <w:rFonts w:eastAsia="Calibri"/>
          <w:b/>
          <w:szCs w:val="24"/>
        </w:rPr>
      </w:pPr>
      <w:r w:rsidRPr="00EB617E">
        <w:rPr>
          <w:rFonts w:eastAsia="Calibri"/>
          <w:b/>
          <w:szCs w:val="24"/>
        </w:rPr>
        <w:t>2</w:t>
      </w:r>
      <w:r w:rsidR="005C1328" w:rsidRPr="00EB617E">
        <w:rPr>
          <w:rFonts w:eastAsia="Calibri"/>
          <w:b/>
          <w:szCs w:val="24"/>
        </w:rPr>
        <w:t xml:space="preserve"> straipsnis. Įstatymo taikymas</w:t>
      </w:r>
      <w:r w:rsidR="007F1156" w:rsidRPr="00EB617E">
        <w:rPr>
          <w:rFonts w:eastAsia="Calibri"/>
          <w:b/>
          <w:szCs w:val="24"/>
        </w:rPr>
        <w:t xml:space="preserve"> ir įgyvendinimas</w:t>
      </w:r>
    </w:p>
    <w:p w14:paraId="1F8747D5" w14:textId="6F1F1C5B" w:rsidR="004A3B60" w:rsidRPr="00567096" w:rsidRDefault="005C1328" w:rsidP="00B10EA0">
      <w:pPr>
        <w:ind w:firstLine="851"/>
        <w:jc w:val="both"/>
        <w:rPr>
          <w:rFonts w:eastAsia="Calibri"/>
          <w:szCs w:val="24"/>
        </w:rPr>
      </w:pPr>
      <w:r w:rsidRPr="00EB617E">
        <w:rPr>
          <w:rFonts w:eastAsia="Calibri"/>
          <w:szCs w:val="24"/>
        </w:rPr>
        <w:t>1.</w:t>
      </w:r>
      <w:r w:rsidR="00A264BA" w:rsidRPr="00EB617E">
        <w:rPr>
          <w:rFonts w:eastAsia="Calibri"/>
          <w:szCs w:val="24"/>
        </w:rPr>
        <w:t xml:space="preserve"> Užsieniečių prašymai suteikti prieglobstį Lietuvos Respublikoje, pateikti iki šio įstatymo įsigaliojimo, baigiami nagrinėti ir sprendimai priimami vadovaujantis</w:t>
      </w:r>
      <w:r w:rsidR="00A264BA" w:rsidRPr="00B10EA0">
        <w:rPr>
          <w:rFonts w:eastAsia="Calibri"/>
          <w:szCs w:val="24"/>
        </w:rPr>
        <w:t xml:space="preserve"> iki šio įstatymo įsigaliojimo dienos galiojusio Lietuvos Respublikos įstatymo „Dėl užsieniečių teisinės padėties“</w:t>
      </w:r>
      <w:r w:rsidR="00A264BA">
        <w:rPr>
          <w:rFonts w:eastAsia="Calibri"/>
          <w:szCs w:val="24"/>
        </w:rPr>
        <w:t xml:space="preserve"> nuostatomis.</w:t>
      </w:r>
      <w:r w:rsidR="00A264BA" w:rsidRPr="00B10EA0">
        <w:rPr>
          <w:rFonts w:eastAsia="Calibri"/>
          <w:szCs w:val="24"/>
        </w:rPr>
        <w:t xml:space="preserve"> </w:t>
      </w:r>
      <w:r w:rsidRPr="00567096">
        <w:rPr>
          <w:rFonts w:eastAsia="Calibri"/>
          <w:szCs w:val="24"/>
        </w:rPr>
        <w:t xml:space="preserve"> </w:t>
      </w:r>
    </w:p>
    <w:p w14:paraId="382A522C" w14:textId="19896594" w:rsidR="004A3B60" w:rsidRPr="00567096" w:rsidRDefault="00765266" w:rsidP="00B10EA0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5C1328" w:rsidRPr="00567096">
        <w:rPr>
          <w:rFonts w:eastAsia="Calibri"/>
          <w:szCs w:val="24"/>
        </w:rPr>
        <w:t>. Lietuvos Respublikos vidaus reikalų ministras</w:t>
      </w:r>
      <w:r w:rsidR="00242C53" w:rsidRPr="00567096">
        <w:rPr>
          <w:rFonts w:eastAsia="Calibri"/>
          <w:szCs w:val="24"/>
        </w:rPr>
        <w:t xml:space="preserve"> </w:t>
      </w:r>
      <w:r w:rsidR="00D44740">
        <w:rPr>
          <w:rFonts w:eastAsia="Calibri"/>
          <w:szCs w:val="24"/>
        </w:rPr>
        <w:t xml:space="preserve">ir Lietuvos Respublikos užsienio reikalų ministras </w:t>
      </w:r>
      <w:r w:rsidR="005C1328" w:rsidRPr="00567096">
        <w:rPr>
          <w:rFonts w:eastAsia="Calibri"/>
          <w:szCs w:val="24"/>
        </w:rPr>
        <w:t>iki šio įstatymo įsigaliojimo priima šio įstatymo įgyvendinamuosius teisės aktus.</w:t>
      </w:r>
    </w:p>
    <w:p w14:paraId="4A9F3F1F" w14:textId="77777777" w:rsidR="004A3B60" w:rsidRPr="00567096" w:rsidRDefault="004A3B60" w:rsidP="00B10EA0">
      <w:pPr>
        <w:ind w:firstLine="851"/>
        <w:jc w:val="both"/>
        <w:rPr>
          <w:rFonts w:eastAsia="Calibri"/>
          <w:szCs w:val="24"/>
        </w:rPr>
      </w:pPr>
    </w:p>
    <w:p w14:paraId="5A4559A2" w14:textId="77777777" w:rsidR="004A3B60" w:rsidRPr="00567096" w:rsidRDefault="004A3B60" w:rsidP="00B10EA0">
      <w:pPr>
        <w:ind w:firstLine="851"/>
        <w:jc w:val="both"/>
        <w:rPr>
          <w:rFonts w:eastAsia="Calibri"/>
          <w:szCs w:val="24"/>
        </w:rPr>
      </w:pPr>
    </w:p>
    <w:p w14:paraId="318C7FBB" w14:textId="77777777" w:rsidR="004A3B60" w:rsidRPr="00567096" w:rsidRDefault="004A3B60" w:rsidP="00B10EA0">
      <w:pPr>
        <w:ind w:firstLine="851"/>
        <w:jc w:val="both"/>
        <w:rPr>
          <w:rFonts w:eastAsia="Calibri"/>
          <w:szCs w:val="24"/>
        </w:rPr>
      </w:pPr>
    </w:p>
    <w:p w14:paraId="760D07A4" w14:textId="77777777" w:rsidR="004A3B60" w:rsidRPr="00567096" w:rsidRDefault="005C1328" w:rsidP="00B10EA0">
      <w:pPr>
        <w:tabs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szCs w:val="24"/>
          <w:lang w:eastAsia="lt-LT"/>
        </w:rPr>
      </w:pPr>
      <w:r w:rsidRPr="00567096">
        <w:rPr>
          <w:i/>
          <w:szCs w:val="24"/>
          <w:lang w:eastAsia="lt-LT"/>
        </w:rPr>
        <w:t>Skelbiu šį Lietuvos Respublikos Seimo priimtą įstatymą.</w:t>
      </w:r>
    </w:p>
    <w:p w14:paraId="6CEB0F31" w14:textId="77777777" w:rsidR="004A3B60" w:rsidRPr="00567096" w:rsidRDefault="004A3B60" w:rsidP="00B10EA0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eastAsia="lt-LT"/>
        </w:rPr>
      </w:pPr>
    </w:p>
    <w:p w14:paraId="10B2CB4E" w14:textId="77777777" w:rsidR="004A3B60" w:rsidRPr="00567096" w:rsidRDefault="004A3B60" w:rsidP="00B10EA0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eastAsia="lt-LT"/>
        </w:rPr>
      </w:pPr>
    </w:p>
    <w:p w14:paraId="362E3698" w14:textId="77777777" w:rsidR="004A3B60" w:rsidRPr="00567096" w:rsidRDefault="004A3B60" w:rsidP="00B10EA0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eastAsia="lt-LT"/>
        </w:rPr>
      </w:pPr>
    </w:p>
    <w:p w14:paraId="25F13518" w14:textId="77777777" w:rsidR="004A3B60" w:rsidRPr="00567096" w:rsidRDefault="005C1328" w:rsidP="00B10EA0">
      <w:pPr>
        <w:tabs>
          <w:tab w:val="left" w:pos="567"/>
          <w:tab w:val="left" w:pos="183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Calibri"/>
          <w:b/>
          <w:szCs w:val="24"/>
        </w:rPr>
      </w:pPr>
      <w:r w:rsidRPr="00567096">
        <w:rPr>
          <w:szCs w:val="24"/>
          <w:lang w:eastAsia="lt-LT"/>
        </w:rPr>
        <w:t>Respublikos Prezidentas</w:t>
      </w:r>
    </w:p>
    <w:sectPr w:rsidR="004A3B60" w:rsidRPr="00567096" w:rsidSect="005670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43CB2" w16cex:dateUtc="2021-08-03T19:07:00Z"/>
  <w16cex:commentExtensible w16cex:durableId="24B43E30" w16cex:dateUtc="2021-08-03T19:14:00Z"/>
  <w16cex:commentExtensible w16cex:durableId="24B43FCB" w16cex:dateUtc="2021-08-03T19:20:00Z"/>
  <w16cex:commentExtensible w16cex:durableId="24B442B0" w16cex:dateUtc="2021-08-03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7A5FC3" w16cid:durableId="24B43C90"/>
  <w16cid:commentId w16cid:paraId="7D7C4921" w16cid:durableId="24B43C91"/>
  <w16cid:commentId w16cid:paraId="240E7159" w16cid:durableId="24B43C92"/>
  <w16cid:commentId w16cid:paraId="591F2EA2" w16cid:durableId="24B43C93"/>
  <w16cid:commentId w16cid:paraId="1C4CEBBF" w16cid:durableId="24B43C94"/>
  <w16cid:commentId w16cid:paraId="4DFCD1A2" w16cid:durableId="24B43C95"/>
  <w16cid:commentId w16cid:paraId="7703061F" w16cid:durableId="24B43C96"/>
  <w16cid:commentId w16cid:paraId="6C571374" w16cid:durableId="24B43CB2"/>
  <w16cid:commentId w16cid:paraId="4A0EBE09" w16cid:durableId="24B43C97"/>
  <w16cid:commentId w16cid:paraId="329D32F7" w16cid:durableId="24B43C98"/>
  <w16cid:commentId w16cid:paraId="53B90373" w16cid:durableId="24B43C99"/>
  <w16cid:commentId w16cid:paraId="7BC624D2" w16cid:durableId="24B43C9A"/>
  <w16cid:commentId w16cid:paraId="7B7F8884" w16cid:durableId="24B43C9B"/>
  <w16cid:commentId w16cid:paraId="66A53673" w16cid:durableId="24B43C9C"/>
  <w16cid:commentId w16cid:paraId="195ECA34" w16cid:durableId="24B43E30"/>
  <w16cid:commentId w16cid:paraId="6B26B56A" w16cid:durableId="24B43C9D"/>
  <w16cid:commentId w16cid:paraId="470A82F7" w16cid:durableId="24B43C9E"/>
  <w16cid:commentId w16cid:paraId="4B192F24" w16cid:durableId="24B43FCB"/>
  <w16cid:commentId w16cid:paraId="794F2773" w16cid:durableId="24B43C9F"/>
  <w16cid:commentId w16cid:paraId="6CA9724B" w16cid:durableId="24B43CA0"/>
  <w16cid:commentId w16cid:paraId="7FB0EC40" w16cid:durableId="24B43CA1"/>
  <w16cid:commentId w16cid:paraId="41AE71C8" w16cid:durableId="24B43CA2"/>
  <w16cid:commentId w16cid:paraId="63C4E85E" w16cid:durableId="24B44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AA46B" w14:textId="77777777" w:rsidR="00D971A4" w:rsidRDefault="00D971A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57722035" w14:textId="77777777" w:rsidR="00D971A4" w:rsidRDefault="00D971A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  <w:endnote w:type="continuationNotice" w:id="1">
    <w:p w14:paraId="5342FAA6" w14:textId="77777777" w:rsidR="00D971A4" w:rsidRDefault="00D971A4">
      <w:pPr>
        <w:rPr>
          <w:rFonts w:ascii="Calibri" w:eastAsia="Calibri" w:hAnsi="Calibr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52635" w14:textId="77777777" w:rsidR="00B72209" w:rsidRDefault="00B7220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8516E" w14:textId="77777777" w:rsidR="00B72209" w:rsidRDefault="00B7220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83249" w14:textId="77777777" w:rsidR="00B72209" w:rsidRDefault="00B7220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4777B" w14:textId="77777777" w:rsidR="00D971A4" w:rsidRDefault="00D971A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2D64B162" w14:textId="77777777" w:rsidR="00D971A4" w:rsidRDefault="00D971A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type="continuationNotice" w:id="1">
    <w:p w14:paraId="14391E56" w14:textId="77777777" w:rsidR="00D971A4" w:rsidRDefault="00D971A4">
      <w:pPr>
        <w:rPr>
          <w:rFonts w:ascii="Calibri" w:eastAsia="Calibri" w:hAnsi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66217" w14:textId="77777777" w:rsidR="00B72209" w:rsidRDefault="00B7220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A49" w14:textId="77777777" w:rsidR="00B72209" w:rsidRDefault="00B72209">
    <w:pPr>
      <w:tabs>
        <w:tab w:val="center" w:pos="4819"/>
        <w:tab w:val="right" w:pos="9638"/>
      </w:tabs>
      <w:jc w:val="center"/>
      <w:rPr>
        <w:rFonts w:eastAsia="Calibri"/>
        <w:sz w:val="22"/>
        <w:szCs w:val="22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 w:rsidR="00EE10FB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23DC3430" w14:textId="77777777" w:rsidR="00B72209" w:rsidRDefault="00B7220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BEB25" w14:textId="77777777" w:rsidR="00B72209" w:rsidRDefault="00B7220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91965"/>
    <w:multiLevelType w:val="hybridMultilevel"/>
    <w:tmpl w:val="2E806906"/>
    <w:lvl w:ilvl="0" w:tplc="DCB0FF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DF40E4"/>
    <w:multiLevelType w:val="hybridMultilevel"/>
    <w:tmpl w:val="2828D338"/>
    <w:lvl w:ilvl="0" w:tplc="F03A9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96"/>
    <w:rsid w:val="00005570"/>
    <w:rsid w:val="00011D34"/>
    <w:rsid w:val="00023227"/>
    <w:rsid w:val="000250E3"/>
    <w:rsid w:val="000338B4"/>
    <w:rsid w:val="000407A1"/>
    <w:rsid w:val="00042E6D"/>
    <w:rsid w:val="000435A9"/>
    <w:rsid w:val="000442CA"/>
    <w:rsid w:val="0006167B"/>
    <w:rsid w:val="0006307C"/>
    <w:rsid w:val="000927D2"/>
    <w:rsid w:val="00095859"/>
    <w:rsid w:val="000A0936"/>
    <w:rsid w:val="000A5A0C"/>
    <w:rsid w:val="000A5A86"/>
    <w:rsid w:val="000B6D01"/>
    <w:rsid w:val="000C395A"/>
    <w:rsid w:val="000D0DD5"/>
    <w:rsid w:val="000D7CE3"/>
    <w:rsid w:val="000E455F"/>
    <w:rsid w:val="000F40AA"/>
    <w:rsid w:val="00104540"/>
    <w:rsid w:val="00106AFD"/>
    <w:rsid w:val="001103A3"/>
    <w:rsid w:val="001117A0"/>
    <w:rsid w:val="00121A4C"/>
    <w:rsid w:val="00121CE2"/>
    <w:rsid w:val="00125F03"/>
    <w:rsid w:val="001521F8"/>
    <w:rsid w:val="00153534"/>
    <w:rsid w:val="00160A6D"/>
    <w:rsid w:val="001728B7"/>
    <w:rsid w:val="00177408"/>
    <w:rsid w:val="00180C2E"/>
    <w:rsid w:val="001840BE"/>
    <w:rsid w:val="00184333"/>
    <w:rsid w:val="0018507D"/>
    <w:rsid w:val="00186778"/>
    <w:rsid w:val="0019157C"/>
    <w:rsid w:val="00191BD7"/>
    <w:rsid w:val="00192650"/>
    <w:rsid w:val="00194958"/>
    <w:rsid w:val="001B737E"/>
    <w:rsid w:val="001C22FD"/>
    <w:rsid w:val="001C58F0"/>
    <w:rsid w:val="001D4CF4"/>
    <w:rsid w:val="001E1B29"/>
    <w:rsid w:val="001E3C36"/>
    <w:rsid w:val="001E4756"/>
    <w:rsid w:val="001F08CF"/>
    <w:rsid w:val="001F333E"/>
    <w:rsid w:val="001F51C2"/>
    <w:rsid w:val="002126A3"/>
    <w:rsid w:val="00217567"/>
    <w:rsid w:val="002206A1"/>
    <w:rsid w:val="00233EEF"/>
    <w:rsid w:val="002411F3"/>
    <w:rsid w:val="00242C53"/>
    <w:rsid w:val="00243AFF"/>
    <w:rsid w:val="002508F5"/>
    <w:rsid w:val="00254148"/>
    <w:rsid w:val="00261EE1"/>
    <w:rsid w:val="00263E6D"/>
    <w:rsid w:val="0026515F"/>
    <w:rsid w:val="00272AA0"/>
    <w:rsid w:val="002810E7"/>
    <w:rsid w:val="002818CD"/>
    <w:rsid w:val="002855DB"/>
    <w:rsid w:val="00294710"/>
    <w:rsid w:val="002A2395"/>
    <w:rsid w:val="002A2828"/>
    <w:rsid w:val="002B4405"/>
    <w:rsid w:val="002C227B"/>
    <w:rsid w:val="002C5EDF"/>
    <w:rsid w:val="002C6512"/>
    <w:rsid w:val="002D6968"/>
    <w:rsid w:val="002D6EF9"/>
    <w:rsid w:val="00303282"/>
    <w:rsid w:val="003110F7"/>
    <w:rsid w:val="003124DE"/>
    <w:rsid w:val="00315E8A"/>
    <w:rsid w:val="0031791C"/>
    <w:rsid w:val="003215CC"/>
    <w:rsid w:val="003300A4"/>
    <w:rsid w:val="00340179"/>
    <w:rsid w:val="003518E0"/>
    <w:rsid w:val="00375823"/>
    <w:rsid w:val="003770EC"/>
    <w:rsid w:val="00385A41"/>
    <w:rsid w:val="0039757E"/>
    <w:rsid w:val="003A39DF"/>
    <w:rsid w:val="003A3BE8"/>
    <w:rsid w:val="003D0FD9"/>
    <w:rsid w:val="003D1120"/>
    <w:rsid w:val="003D313A"/>
    <w:rsid w:val="003E3212"/>
    <w:rsid w:val="004052ED"/>
    <w:rsid w:val="00410398"/>
    <w:rsid w:val="0042256F"/>
    <w:rsid w:val="00422ED8"/>
    <w:rsid w:val="004304D5"/>
    <w:rsid w:val="00433EA7"/>
    <w:rsid w:val="004366B3"/>
    <w:rsid w:val="0044516C"/>
    <w:rsid w:val="0044552F"/>
    <w:rsid w:val="004561F4"/>
    <w:rsid w:val="0046047E"/>
    <w:rsid w:val="00466AD7"/>
    <w:rsid w:val="00480B38"/>
    <w:rsid w:val="004843EB"/>
    <w:rsid w:val="00485654"/>
    <w:rsid w:val="00494067"/>
    <w:rsid w:val="00495E38"/>
    <w:rsid w:val="004A3B60"/>
    <w:rsid w:val="004A4583"/>
    <w:rsid w:val="004B5ABF"/>
    <w:rsid w:val="004C717D"/>
    <w:rsid w:val="004D28D9"/>
    <w:rsid w:val="004D3DAC"/>
    <w:rsid w:val="004D6DA6"/>
    <w:rsid w:val="004E48A2"/>
    <w:rsid w:val="004E4CDA"/>
    <w:rsid w:val="004E6337"/>
    <w:rsid w:val="004F06DA"/>
    <w:rsid w:val="005016F7"/>
    <w:rsid w:val="00501F57"/>
    <w:rsid w:val="00502FC1"/>
    <w:rsid w:val="00510E21"/>
    <w:rsid w:val="005177CC"/>
    <w:rsid w:val="005231A1"/>
    <w:rsid w:val="00535E63"/>
    <w:rsid w:val="00537BB0"/>
    <w:rsid w:val="00540857"/>
    <w:rsid w:val="00541579"/>
    <w:rsid w:val="00542178"/>
    <w:rsid w:val="00551924"/>
    <w:rsid w:val="0056561D"/>
    <w:rsid w:val="00566A89"/>
    <w:rsid w:val="00567096"/>
    <w:rsid w:val="00567261"/>
    <w:rsid w:val="005A0E56"/>
    <w:rsid w:val="005A2E09"/>
    <w:rsid w:val="005A354D"/>
    <w:rsid w:val="005A70CC"/>
    <w:rsid w:val="005A7645"/>
    <w:rsid w:val="005C1328"/>
    <w:rsid w:val="005C3572"/>
    <w:rsid w:val="005C5B1B"/>
    <w:rsid w:val="005E64E8"/>
    <w:rsid w:val="005E7F97"/>
    <w:rsid w:val="005F1788"/>
    <w:rsid w:val="005F214C"/>
    <w:rsid w:val="005F57C8"/>
    <w:rsid w:val="00611FD2"/>
    <w:rsid w:val="006147CB"/>
    <w:rsid w:val="00615CF9"/>
    <w:rsid w:val="00617882"/>
    <w:rsid w:val="006223CC"/>
    <w:rsid w:val="0062629F"/>
    <w:rsid w:val="00631637"/>
    <w:rsid w:val="00632389"/>
    <w:rsid w:val="00643478"/>
    <w:rsid w:val="00650ABF"/>
    <w:rsid w:val="00665B13"/>
    <w:rsid w:val="00687DBB"/>
    <w:rsid w:val="006A0DA5"/>
    <w:rsid w:val="006B018E"/>
    <w:rsid w:val="006B6B1E"/>
    <w:rsid w:val="006C70D8"/>
    <w:rsid w:val="006D09A9"/>
    <w:rsid w:val="006D2992"/>
    <w:rsid w:val="006D7C03"/>
    <w:rsid w:val="006E20A6"/>
    <w:rsid w:val="006E67C9"/>
    <w:rsid w:val="006F5DD4"/>
    <w:rsid w:val="00710253"/>
    <w:rsid w:val="007133CB"/>
    <w:rsid w:val="00715A2F"/>
    <w:rsid w:val="00720160"/>
    <w:rsid w:val="007237D9"/>
    <w:rsid w:val="007238CD"/>
    <w:rsid w:val="00724D67"/>
    <w:rsid w:val="0073177A"/>
    <w:rsid w:val="007479CE"/>
    <w:rsid w:val="00751DE3"/>
    <w:rsid w:val="007554AA"/>
    <w:rsid w:val="00765266"/>
    <w:rsid w:val="007675FB"/>
    <w:rsid w:val="007713EF"/>
    <w:rsid w:val="00775946"/>
    <w:rsid w:val="00776423"/>
    <w:rsid w:val="00776DA7"/>
    <w:rsid w:val="0079185E"/>
    <w:rsid w:val="00791D30"/>
    <w:rsid w:val="00793FE2"/>
    <w:rsid w:val="00794DEF"/>
    <w:rsid w:val="007962E9"/>
    <w:rsid w:val="007A1E62"/>
    <w:rsid w:val="007A73DA"/>
    <w:rsid w:val="007B0ED0"/>
    <w:rsid w:val="007B2317"/>
    <w:rsid w:val="007C11B8"/>
    <w:rsid w:val="007C4C60"/>
    <w:rsid w:val="007D67E7"/>
    <w:rsid w:val="007E3952"/>
    <w:rsid w:val="007E6213"/>
    <w:rsid w:val="007E76B9"/>
    <w:rsid w:val="007F1156"/>
    <w:rsid w:val="007F26DD"/>
    <w:rsid w:val="007F6B68"/>
    <w:rsid w:val="00806C5C"/>
    <w:rsid w:val="00811838"/>
    <w:rsid w:val="008142C8"/>
    <w:rsid w:val="008365CB"/>
    <w:rsid w:val="00845EA7"/>
    <w:rsid w:val="00846138"/>
    <w:rsid w:val="00847308"/>
    <w:rsid w:val="00850258"/>
    <w:rsid w:val="00881FC5"/>
    <w:rsid w:val="0088305E"/>
    <w:rsid w:val="00884F93"/>
    <w:rsid w:val="008873EA"/>
    <w:rsid w:val="0089237A"/>
    <w:rsid w:val="008A1954"/>
    <w:rsid w:val="008A3058"/>
    <w:rsid w:val="008A3112"/>
    <w:rsid w:val="008A40CE"/>
    <w:rsid w:val="008A4CA9"/>
    <w:rsid w:val="008C0B1E"/>
    <w:rsid w:val="008D380E"/>
    <w:rsid w:val="008D4BF3"/>
    <w:rsid w:val="008E26A2"/>
    <w:rsid w:val="008E5F3E"/>
    <w:rsid w:val="008F5426"/>
    <w:rsid w:val="0090643A"/>
    <w:rsid w:val="00906CB7"/>
    <w:rsid w:val="00912465"/>
    <w:rsid w:val="00913C9D"/>
    <w:rsid w:val="00921AB3"/>
    <w:rsid w:val="0092236D"/>
    <w:rsid w:val="009267E9"/>
    <w:rsid w:val="00926FB9"/>
    <w:rsid w:val="009369E8"/>
    <w:rsid w:val="00937E0C"/>
    <w:rsid w:val="00961D26"/>
    <w:rsid w:val="009666D4"/>
    <w:rsid w:val="00971D94"/>
    <w:rsid w:val="0097302D"/>
    <w:rsid w:val="00975BF4"/>
    <w:rsid w:val="00994841"/>
    <w:rsid w:val="0099638C"/>
    <w:rsid w:val="009C4D1E"/>
    <w:rsid w:val="009C6986"/>
    <w:rsid w:val="009C72CD"/>
    <w:rsid w:val="009D1D2F"/>
    <w:rsid w:val="009D406E"/>
    <w:rsid w:val="009D533A"/>
    <w:rsid w:val="009E1BB7"/>
    <w:rsid w:val="009F71CE"/>
    <w:rsid w:val="00A107FF"/>
    <w:rsid w:val="00A12263"/>
    <w:rsid w:val="00A16B12"/>
    <w:rsid w:val="00A20F65"/>
    <w:rsid w:val="00A21D08"/>
    <w:rsid w:val="00A264BA"/>
    <w:rsid w:val="00A310C6"/>
    <w:rsid w:val="00A33E28"/>
    <w:rsid w:val="00A37447"/>
    <w:rsid w:val="00A3783C"/>
    <w:rsid w:val="00A378E5"/>
    <w:rsid w:val="00A445FB"/>
    <w:rsid w:val="00A51D58"/>
    <w:rsid w:val="00A54E13"/>
    <w:rsid w:val="00A71B95"/>
    <w:rsid w:val="00A73838"/>
    <w:rsid w:val="00A767C8"/>
    <w:rsid w:val="00A76C73"/>
    <w:rsid w:val="00A80C37"/>
    <w:rsid w:val="00A81298"/>
    <w:rsid w:val="00A84877"/>
    <w:rsid w:val="00A87A13"/>
    <w:rsid w:val="00A9151C"/>
    <w:rsid w:val="00AA65B4"/>
    <w:rsid w:val="00AB45E8"/>
    <w:rsid w:val="00AC7980"/>
    <w:rsid w:val="00AE73FA"/>
    <w:rsid w:val="00B01EF0"/>
    <w:rsid w:val="00B0519F"/>
    <w:rsid w:val="00B070C3"/>
    <w:rsid w:val="00B10587"/>
    <w:rsid w:val="00B10EA0"/>
    <w:rsid w:val="00B15CD4"/>
    <w:rsid w:val="00B22B70"/>
    <w:rsid w:val="00B237A1"/>
    <w:rsid w:val="00B363E5"/>
    <w:rsid w:val="00B44C88"/>
    <w:rsid w:val="00B45917"/>
    <w:rsid w:val="00B474B5"/>
    <w:rsid w:val="00B51BA7"/>
    <w:rsid w:val="00B5339A"/>
    <w:rsid w:val="00B55014"/>
    <w:rsid w:val="00B659F6"/>
    <w:rsid w:val="00B6659D"/>
    <w:rsid w:val="00B71661"/>
    <w:rsid w:val="00B72209"/>
    <w:rsid w:val="00B767D5"/>
    <w:rsid w:val="00B76E6B"/>
    <w:rsid w:val="00B9378A"/>
    <w:rsid w:val="00BA0284"/>
    <w:rsid w:val="00BA05B8"/>
    <w:rsid w:val="00BA6AF4"/>
    <w:rsid w:val="00BC394F"/>
    <w:rsid w:val="00BC6F70"/>
    <w:rsid w:val="00BC7943"/>
    <w:rsid w:val="00BD0A39"/>
    <w:rsid w:val="00BD3A1E"/>
    <w:rsid w:val="00BF1E28"/>
    <w:rsid w:val="00BF7F88"/>
    <w:rsid w:val="00C06165"/>
    <w:rsid w:val="00C21EC4"/>
    <w:rsid w:val="00C24BA9"/>
    <w:rsid w:val="00C31D7C"/>
    <w:rsid w:val="00C429BF"/>
    <w:rsid w:val="00C42D51"/>
    <w:rsid w:val="00C4467B"/>
    <w:rsid w:val="00C47996"/>
    <w:rsid w:val="00C532FA"/>
    <w:rsid w:val="00C543C8"/>
    <w:rsid w:val="00C61054"/>
    <w:rsid w:val="00C61CB2"/>
    <w:rsid w:val="00C653AF"/>
    <w:rsid w:val="00C677FF"/>
    <w:rsid w:val="00C71D22"/>
    <w:rsid w:val="00C807AE"/>
    <w:rsid w:val="00C82526"/>
    <w:rsid w:val="00C85426"/>
    <w:rsid w:val="00C87EBA"/>
    <w:rsid w:val="00C93DF3"/>
    <w:rsid w:val="00C97559"/>
    <w:rsid w:val="00C97AA0"/>
    <w:rsid w:val="00CA497E"/>
    <w:rsid w:val="00CB1034"/>
    <w:rsid w:val="00CC2099"/>
    <w:rsid w:val="00CC357B"/>
    <w:rsid w:val="00CC3F2F"/>
    <w:rsid w:val="00CC6D1D"/>
    <w:rsid w:val="00CD3834"/>
    <w:rsid w:val="00CD4F03"/>
    <w:rsid w:val="00CD7793"/>
    <w:rsid w:val="00CE504B"/>
    <w:rsid w:val="00CE6684"/>
    <w:rsid w:val="00CE7D1B"/>
    <w:rsid w:val="00D228BC"/>
    <w:rsid w:val="00D35FE4"/>
    <w:rsid w:val="00D44740"/>
    <w:rsid w:val="00D65A5B"/>
    <w:rsid w:val="00D76497"/>
    <w:rsid w:val="00D817B0"/>
    <w:rsid w:val="00D86FB6"/>
    <w:rsid w:val="00D87848"/>
    <w:rsid w:val="00D971A4"/>
    <w:rsid w:val="00DA38CD"/>
    <w:rsid w:val="00DC0D6A"/>
    <w:rsid w:val="00DD0A45"/>
    <w:rsid w:val="00DD7EE0"/>
    <w:rsid w:val="00DE020F"/>
    <w:rsid w:val="00E40A8A"/>
    <w:rsid w:val="00E46556"/>
    <w:rsid w:val="00E62CE5"/>
    <w:rsid w:val="00E638AC"/>
    <w:rsid w:val="00E678EB"/>
    <w:rsid w:val="00E67B1A"/>
    <w:rsid w:val="00E8051C"/>
    <w:rsid w:val="00E81EEA"/>
    <w:rsid w:val="00E84688"/>
    <w:rsid w:val="00E93709"/>
    <w:rsid w:val="00EA002C"/>
    <w:rsid w:val="00EA72A2"/>
    <w:rsid w:val="00EB1108"/>
    <w:rsid w:val="00EB617E"/>
    <w:rsid w:val="00ED0AEB"/>
    <w:rsid w:val="00ED2AA2"/>
    <w:rsid w:val="00EE10FB"/>
    <w:rsid w:val="00EE1509"/>
    <w:rsid w:val="00EE3E63"/>
    <w:rsid w:val="00F01378"/>
    <w:rsid w:val="00F05FBC"/>
    <w:rsid w:val="00F152E6"/>
    <w:rsid w:val="00F1590B"/>
    <w:rsid w:val="00F34695"/>
    <w:rsid w:val="00F3632B"/>
    <w:rsid w:val="00F474F6"/>
    <w:rsid w:val="00F47F1C"/>
    <w:rsid w:val="00F50508"/>
    <w:rsid w:val="00F50B1E"/>
    <w:rsid w:val="00F5577B"/>
    <w:rsid w:val="00F57842"/>
    <w:rsid w:val="00F60ACF"/>
    <w:rsid w:val="00F629F1"/>
    <w:rsid w:val="00F74B27"/>
    <w:rsid w:val="00F80DEA"/>
    <w:rsid w:val="00F81C8D"/>
    <w:rsid w:val="00F83EB0"/>
    <w:rsid w:val="00F95BD3"/>
    <w:rsid w:val="00FA59F4"/>
    <w:rsid w:val="00FB2939"/>
    <w:rsid w:val="00FB38E8"/>
    <w:rsid w:val="00FC2A63"/>
    <w:rsid w:val="00FC313F"/>
    <w:rsid w:val="00FD0A41"/>
    <w:rsid w:val="00FD1281"/>
    <w:rsid w:val="00FE4AD8"/>
    <w:rsid w:val="00FF3046"/>
    <w:rsid w:val="00FF3D5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9471"/>
  <w15:docId w15:val="{1147B15C-8DCA-454D-A26C-D81CF688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843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18433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semiHidden/>
    <w:unhideWhenUsed/>
    <w:rsid w:val="00AB45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45E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AB45E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B45E8"/>
    <w:rPr>
      <w:b/>
      <w:bCs/>
    </w:rPr>
  </w:style>
  <w:style w:type="character" w:customStyle="1" w:styleId="KomentarotemaDiagrama">
    <w:name w:val="Komentaro tema Diagrama"/>
    <w:link w:val="Komentarotema"/>
    <w:semiHidden/>
    <w:rsid w:val="00AB45E8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F80D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A33E28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33E28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A33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21" Target="commentsIds.xml"
                 Type="http://schemas.microsoft.com/office/2016/09/relationships/commentsIds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302b2cb72c44defb7af2249f9e89b86" PartId="dd4701fb423f4df186f95c011d966ef6">
    <Part Type="straipsnis" Nr="1" Abbr="1 str." Title="5 straipsnio pakeitimas" DocPartId="23208ee36abb472098eb8f7ec704486b" PartId="7cdd493a1afb4d9597d7cb667c67ae5e">
      <Part Type="strDalis" Nr="1" Abbr="1 str. 1 d." DocPartId="099580dc334a4a9aa0e762bb36b70224" PartId="0f5cec3067e04d6a87626eacdf7e09f4">
        <Part Type="citata" DocPartId="e1494715dbfc4b80974b5e5545f9f10e" PartId="3d231c762c594ee782f661b1ee757d75">
          <Part Type="straipsnis" Nr="5" Abbr="5 str." Title="Užsieniečių atvykimas į Lietuvos Respubliką" DocPartId="199f047774bc4388a6b90ad347de2b38" PartId="e72178cf25494e85a5e4587fc9ee4912">
            <Part Type="strDalis" Nr="1" Abbr="5 str. 1 d." DocPartId="8a66a0d9e0554cd1be6e98ffb0a5509e" PartId="a998e9ed881942769a11b5283d4fa279"/>
            <Part Type="strDalis" Nr="2" Abbr="5 str. 2 d." DocPartId="4bc93c321ef84a479bed69433226f6b5" PartId="467d7457218c43cebd8d3d02c911b575"/>
            <Part Type="strDalis" Nr="3" Abbr="5 str. 3 d." DocPartId="b37987cfe931464eb316c147216e6df8" PartId="e14a8cd87f17424fbd5ed9f8f21a76fb"/>
            <Part Type="strDalis" Nr="4" Abbr="5 str. 4 d." DocPartId="1e60303b4ea24d5897fdc8494f38647a" PartId="0703447c9a634483b5ee16c97354dd13"/>
            <Part Type="strDalis" Nr="5" Abbr="5 str. 5 d." DocPartId="517bc4afee9a48749e711ea60ebffc8c" PartId="d57939078bdc4b4ea992376c32001ffc"/>
            <Part Type="strDalis" Nr="6" Abbr="5 str. 6 d." DocPartId="0123b2f55e824bf3b81805427384fba6" PartId="af10b50506f0428ab2a842667244a136"/>
            <Part Type="strDalis" Nr="7" Abbr="5 str. 7 d." DocPartId="8b7a875feb2841bcb0d7c29593e4d4ff" PartId="ce3656f694074ec183fbf7b5c35c3084"/>
            <Part Type="strDalis" Nr="8" Abbr="5 str. 8 d." DocPartId="af60d505615d49edbd4e0dd7326a6433" PartId="661ac276f3e245c9883f71b942ea7f2a"/>
            <Part Type="strDalis" Nr="9" Abbr="5 str. 9 d." DocPartId="515d22ea6d444e8fb230f0a65d131151" PartId="6281dabcfb2b460f86aadaaaeed99c82"/>
            <Part Type="strDalis" Nr="10" Abbr="5 str. 10 d." DocPartId="73bb7f56ffc84c4180eeea40b07a88b3" PartId="6eaa9f1ecf2040b59f3a482b45ce36d1"/>
            <Part Type="strDalis" Nr="11" Abbr="5 str. 11 d." DocPartId="19c85f8c8a564dd18638e9fe2eb59c0d" PartId="f5c688305f704d349d18524cbab632c0"/>
            <Part Type="strDalis" Nr="12" Abbr="5 str. 12 d." DocPartId="63ca85a3e0df4fcf84d2e43e0bca9793" PartId="377b32c4cbf44ef58a83869f66c96a7e"/>
          </Part>
        </Part>
      </Part>
    </Part>
    <Part Type="straipsnis" Nr="2" Abbr="2 str." Title="71 straipsnio pakeitimas" DocPartId="92f7769f13e84b74b0b506674eb1d5c2" PartId="aafcd3e48d8b446db35e14b52a497ab4">
      <Part Type="strDalis" Nr="1" Abbr="2 str. 1 d." DocPartId="6cf2112f56124899b97eba35a5b5b7d2" PartId="1332985bfc3441cda30ea175810e57dc">
        <Part Type="citata" DocPartId="84138e8071e743258e3e5a60f9e11318" PartId="050d525f3ac0401e9199bc7e07d58004">
          <Part Type="strDalis" Nr="1-1" Abbr="1-1 d." DocPartId="649fc86a58494e1b82eb77f80493307e" PartId="7b0a6d132f13474f92d5be595c336e32"/>
        </Part>
      </Part>
    </Part>
    <Part Type="straipsnis" Nr="3" Abbr="3 str." Title="76 straipsnio pakeitimas" DocPartId="bba2f305004944928d19b13ffdd9b963" PartId="69831fb62a7347da96dea0cc64683886">
      <Part Type="strDalis" Nr="1" Abbr="3 str. 1 d." DocPartId="abec471f24bc48f884e0884d52f3dd9e" PartId="3df6f70b49de4b8b9fcc9d3e6759eae2"/>
      <Part Type="strDalis" Nr="2" Abbr="3 str. 2 d." DocPartId="15668760b3c3463f943a0dee3ff61f4f" PartId="311f75cfbd7741739d19cf6c3526d101">
        <Part Type="citata" DocPartId="bd95c97a645e491f82be0d0ba6126758" PartId="7f47cfa90b034488a6c80691b04bf0ce">
          <Part Type="strDalis" Nr="6" Abbr="6 d." DocPartId="2470edd289a44dd1b61e4685d0dad257" PartId="f5d331100f124237b43fa233164cfdc1"/>
        </Part>
      </Part>
    </Part>
    <Part Type="straipsnis" Nr="4" Abbr="4 str." Title="77 straipsnio pakeitimas" DocPartId="86f2cbebbb0947b59dcd5c1046e9065d" PartId="1791984cbf0046089d8970d09bd4ddf1">
      <Part Type="strDalis" Nr="1" Abbr="4 str. 1 d." DocPartId="2a9b1f93ef224c33b72259ffce72bf86" PartId="395031f6c5dd460b874f6543e9b81ac7">
        <Part Type="citata" DocPartId="7d7f4bd961f34baf8a805ecdbc3b1f5d" PartId="9ad7d33baa454339a67b8e31ff305564">
          <Part Type="strDalis" Nr="3" Abbr="3 d." DocPartId="272bee71a59c470ab1f41e36ed9d7d2a" PartId="75faf3eb5447474b8bcfcb7066798343"/>
        </Part>
      </Part>
    </Part>
    <Part Type="straipsnis" Nr="5" Abbr="5 str." Title="79 straipsnio pakeitimas" DocPartId="ba9b71382e4d4c12aa60812550e58e06" PartId="8c5104455bd34454907716369be1c148">
      <Part Type="strDalis" Nr="1" Abbr="5 str. 1 d." DocPartId="826ed016f5c545ecbc8e78d489278251" PartId="786f63749a4e4ab1b66737ddef2e9c28">
        <Part Type="citata" DocPartId="bb5cdf5077714aeebfc655e90e98a9a8" PartId="9f664e0200504f048dec4fbed26bbe10">
          <Part Type="strDalis" Nr="1" Abbr="1 d." DocPartId="1638a740dbf44da6aa15e1ee557c9d99" PartId="9c11132a5d314d0185f2eff8efc5b984"/>
        </Part>
      </Part>
      <Part Type="strDalis" Nr="2" Abbr="5 str. 2 d." DocPartId="55a10bf15ee6431fb7cc00f6ce3a660c" PartId="15bea6f801c04ea5a69c52d59592c788">
        <Part Type="citata" DocPartId="524b16607d3e4c62840aa0485e45ecf6" PartId="da095037241d41a181263124cb39ab12">
          <Part Type="strDalis" Nr="4" Abbr="4 d." DocPartId="a1759ed76aa54e2f9cf950b9121ab6be" PartId="90a34458e35a421bbedf5dcb3729bcbe"/>
        </Part>
      </Part>
    </Part>
    <Part Type="straipsnis" Nr="6" Abbr="6 str." Title="113 straipsnio pakeitimas" DocPartId="3de4687ac6d04d4787e8481ba368e173" PartId="8018d91d2bf543ad9f29d1dfa44d1615">
      <Part Type="strDalis" Nr="1" Abbr="6 str. 1 d." DocPartId="c9b7ec528c484d559e1537663ce27488" PartId="51c84e639661405f8527742d3ca500ca">
        <Part Type="citata" DocPartId="7043e71f4df047bab3ced93480b57407" PartId="528a307cf04f41e7a4544ca1a849451d">
          <Part Type="strPunktas" Nr="1-1" Abbr="1-1 p." DocPartId="862b4249efaf4c27a534b353562a0737" PartId="d7b876cc6b8e47999723629802975b3f"/>
        </Part>
      </Part>
    </Part>
    <Part Type="straipsnis" Nr="7" Abbr="7 str." Title="131 straipsnio pakeitimas." DocPartId="d270f91cf59a481da18a3f50fab48459" PartId="4a3a710c5b904b68b97cef19c02fb78b">
      <Part Type="strDalis" Nr="1" Abbr="7 str. 1 d." DocPartId="219dcaed28de4277a1c1e5c681df3929" PartId="951ff33c44394423b4e2907788eb4f31">
        <Part Type="citata" DocPartId="96032692d37a4a0cb74747b75b7e3754" PartId="748c16393021433c8b22af5f7b0e4ca0">
          <Part Type="strDalis" Nr="4" Abbr="4 d." DocPartId="d033509070624718b2044d4ea726dd86" PartId="e16a9706f2714b5bafa30be0a8c6d5cf"/>
        </Part>
      </Part>
    </Part>
    <Part Type="straipsnis" Nr="8" Abbr="8 str." Title="Įstatymo papildymas IX¹ skyriumi" DocPartId="d030e859d42d4e97987424ff079ce19a" PartId="79c0efcaf9a347fdaf3058093e1d9441">
      <Part Type="strDalis" Nr="1" Abbr="8 str. 1 d." DocPartId="42fb881b7fd2441ea5318f4a3e6941a6" PartId="f0799465d8e045af8875e1be0e20a919">
        <Part Type="citata" DocPartId="2cb0f92728ff46e794a848410626f8e0" PartId="4aca6875bbc74b9cb21ae4ada795f129">
          <Part Type="skyrius" Nr="9-1" Title="SPRENDIMŲ DĖL PRAŠYMŲ SUTEIKTI PRIEGLOBSTĮ APSKUNDIMAS IKITEISMINE TVARKA" DocPartId="dcb991c76f26498b9bf9d61fe225d63a" PartId="fbb1d0c360ce424a803c596a4987a0cd">
            <Part Type="straipsnis" Nr="135-1" Abbr="135-1 str." Title="Skundo padavimas" DocPartId="a488d4005a074d889d5f2d7802a72268" PartId="5239593fe792488283f34885026d02bc">
              <Part Type="strDalis" Nr="1" Abbr="135-1 str. 1 d." DocPartId="b18580799c314a0d84bfcb501ce0c3b4" PartId="2c2fb7e423454cc5933d2c9169c0fe5d"/>
              <Part Type="strDalis" Nr="2" Abbr="135-1 str. 2 d." DocPartId="3d727b0e5e91465bbe8525656a725845" PartId="1a35968e47a04c709f46f8239d4cae5a"/>
              <Part Type="strDalis" Nr="3" Abbr="135-1 str. 3 d." DocPartId="acbfc55e15e84f4ea2453d86a71b7022" PartId="d1d79da527ac46368be1f52e2eb71c07"/>
            </Part>
            <Part Type="straipsnis" Nr="135-2" Abbr="135-2 str." Title="Skundo nagrinėjimas ir sprendimo priėmimas" DocPartId="f279d3ac43b840c4a33c3c08b94799e5" PartId="a0e4694af6ec48c6a95be8d61b9a1c3e">
              <Part Type="strDalis" Nr="1" Abbr="135-2 str. 1 d." DocPartId="5bf7c66421774a878c258c8b908cf2a5" PartId="fe7797ccac2149878df9b1d6bde2b31d"/>
              <Part Type="strDalis" Nr="2" Abbr="135-2 str. 2 d." DocPartId="8d0b5834718f44afb39ed4c4f3be8e8d" PartId="0e7f488b619045219fdd459e7abc688b"/>
            </Part>
          </Part>
        </Part>
      </Part>
    </Part>
    <Part Type="straipsnis" Nr="9" Abbr="9 str." Title="136 straipsnio pakeitimas" DocPartId="0a60229a330647219f18b066d5a1d0ab" PartId="b76fbe099b1344ba924533207a8dea45">
      <Part Type="strDalis" Nr="1" Abbr="9 str. 1 d." DocPartId="5298ae096d354eeba90eede5b4aa0f94" PartId="c9448a483e074aa9b05070afffb36240">
        <Part Type="citata" DocPartId="dc9b648930cc4f47aa53b2df5e690b51" PartId="623a31d715874b86a69ae613422d9883">
          <Part Type="straipsnis" Nr="136" Abbr="136 str." Title="Sprendimo apskundimo teisė" DocPartId="2dedd243e0804c61aa74a223facb23d1" PartId="2bca1d429c034b0fafbc8ec9006b3f28">
            <Part Type="strDalis" Nr="1" Abbr="136 str. 1 d." DocPartId="963262d7ac524df9839bcc492f6dbab4" PartId="c272dc87d6a346e081f7064ea45db72f"/>
          </Part>
        </Part>
      </Part>
    </Part>
    <Part Type="straipsnis" Nr="10" Abbr="10 str." Title="138 straipsnio pakeitimas" DocPartId="5a18b5e610be43e49a470dc2c78c6f65" PartId="dcbf698f599d4f219946e23d4390baaa">
      <Part Type="strDalis" Nr="1" Abbr="10 str. 1 d." DocPartId="8e9c7c08eb3f42ef95755812ce666dc2" PartId="658ab383e93c42e7b2c39fb4e3724f41">
        <Part Type="citata" DocPartId="3eeca951a0394b46b04e21c602231e35" PartId="0f10323e06b14e8b87b3b27bc7e7cd6d">
          <Part Type="strDalis" Nr="2" Abbr="2 d." DocPartId="6d71a906c7c947a5bf73f8d3556bc2a1" PartId="73751f7511a0418a8831a868d5fc8e78"/>
        </Part>
      </Part>
    </Part>
    <Part Type="straipsnis" Nr="11" Abbr="11 str." Title="139 straipsnio pakeitimas" DocPartId="ca4a85038a5d443190ca35e85fc07b9d" PartId="4d358e26be4b42118a2478ffc604bf0f">
      <Part Type="strDalis" Nr="1" Abbr="11 str. 1 d." DocPartId="3e2c3ec3810d4ea4b4bee466aee1945e" PartId="477458af89f34f0f823e0873cfc7182b">
        <Part Type="citata" DocPartId="f4f8b9d26f5843deac8a70aa1c6a7def" PartId="5633887de97e4b04918b10510eb57501">
          <Part Type="strPunktas" Nr="1" Abbr="1 p." DocPartId="9f2b054779f342688c4765f52f27c923" PartId="4d3df11750ca4cc6b7bd4fe73a3ef2a8"/>
          <Part Type="strPunktas" Nr="2" Abbr="2 p." DocPartId="05fcaac438fb43a68c707f92124771b9" PartId="1175b2c2f4614a0a92858f9d0a37441a"/>
        </Part>
      </Part>
    </Part>
    <Part Type="straipsnis" Nr="12" Abbr="12 str." Title="140 straipsnio pakeitimas" DocPartId="988b8d8fe59f48a6bf98bfa57eb5d13b" PartId="d0fa41b77c3745578a45310b4f3e740d">
      <Part Type="strDalis" Nr="1" Abbr="12 str. 1 d." DocPartId="a6e55b83bc474f368fae2c3db2380ec5" PartId="199a0d3a76e641cbb64af875917f0cd7">
        <Part Type="citata" DocPartId="e7feb37e8e9f4decb6736b155269eaff" PartId="a3c41fa989bf4caba48102cc4ff3dbe7">
          <Part Type="strDalis" Nr="4" Abbr="4 d." DocPartId="c51391a4ae09404b94b24d7b08e7f08f" PartId="e375201163a54a9594699a07eb2221c3"/>
        </Part>
      </Part>
      <Part Type="strDalis" Nr="2" Abbr="12 str. 2 d." DocPartId="692e133047a64050947cb3eb7345e50a" PartId="1705d42ac892461687e42c6dc2c85b89">
        <Part Type="citata" DocPartId="6bd26fb082b54793b9a9748ec270462d" PartId="3540737a557b40d696332f7b5f93e468">
          <Part Type="strDalis" Nr="4-1" Abbr="4-1 d." DocPartId="6a83d1f168974fdabf69246b453ce5ed" PartId="399c74d3255748538bb2a134752d0e82"/>
        </Part>
      </Part>
    </Part>
    <Part Type="straipsnis" Nr="13" Abbr="13 str." Title="Įstatymo įgyvendinimas ir taikymas" DocPartId="86385e0ea593492492e7edba59eb668d" PartId="9b20298b64c046538f121ead76359ab8">
      <Part Type="strDalis" Nr="1" Abbr="13 str. 1 d." DocPartId="b5062857e17643cbabeb5261969ebb5f" PartId="00c8845172da41d4afaa122de4993fab"/>
      <Part Type="strDalis" Nr="2" Abbr="13 str. 2 d." DocPartId="591a2d8f6fbf435294a15d339fad23a5" PartId="78c9fe5bd70843b79104616367547255"/>
      <Part Type="strDalis" Nr="3" Abbr="13 str. 3 d." DocPartId="1e6ab2dce0c048b097241b7646540a3a" PartId="0582b20f364f49d5be33ef4f930c44bf"/>
    </Part>
    <Part Type="signatura" DocPartId="4c905bdf6c084a569b51b9846b896f1e" PartId="5ba1d4a4a4f74774a78a37d590ece1b8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65A7-65D3-417A-9362-E01F59174C27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35C8D762-E593-4781-9649-8E2A8552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Base/>
  <HLinks>
    <vt:vector size="6" baseType="variant"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http://eur-lex.europa.eu/legal-content/LIT/TXT/?uri=CELEX:3399R2016&amp;locale=lt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2021-08-06T07:32:00Z</dcterms:created>
  <dc:creator>Sonata Gendvilaitė</dc:creator>
  <cp:lastModifiedBy>Rūta Jasulaitienė</cp:lastModifiedBy>
  <cp:lastPrinted>2021-08-06T06:42:00Z</cp:lastPrinted>
  <dcterms:modified xsi:type="dcterms:W3CDTF">2021-08-06T09:06:00Z</dcterms:modified>
  <cp:revision>4</cp:revision>
</cp:coreProperties>
</file>